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Vendor Security Policy</w:t>
      </w:r>
    </w:p>
    <w:p>
      <w:pPr>
        <w:pStyle w:val="Heading1"/>
      </w:pPr>
      <w:r>
        <w:t>1. Purpose and Scope</w:t>
      </w:r>
    </w:p>
    <w:p>
      <w:r>
        <w:t>This policy defines the minimum security requirements that third-party vendors must meet before receiving access to Acme systems or data. It applies to all vendors classified as Tier 1 or Tier 2 under Acme's vendor risk framework.</w:t>
      </w:r>
    </w:p>
    <w:p>
      <w:pPr>
        <w:pStyle w:val="Heading1"/>
      </w:pPr>
      <w:r>
        <w:t>2. Vendor Risk Tiers</w:t>
      </w:r>
    </w:p>
    <w:p>
      <w:r>
        <w:t>Vendors are assigned a risk tier at onboarding based on the sensitivity of data they can access and the criticality of the systems they touch.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Criteria</w:t>
            </w:r>
          </w:p>
        </w:tc>
        <w:tc>
          <w:tcPr>
            <w:tcW w:type="dxa" w:w="2880"/>
          </w:tcPr>
          <w:p>
            <w:r>
              <w:t>Review Frequency</w:t>
            </w:r>
          </w:p>
        </w:tc>
      </w:tr>
      <w:tr>
        <w:tc>
          <w:tcPr>
            <w:tcW w:type="dxa" w:w="2880"/>
          </w:tcPr>
          <w:p>
            <w:r>
              <w:t>Tier 1</w:t>
            </w:r>
          </w:p>
        </w:tc>
        <w:tc>
          <w:tcPr>
            <w:tcW w:type="dxa" w:w="2880"/>
          </w:tcPr>
          <w:p>
            <w:r>
              <w:t>Access to customer PII or production systems</w:t>
            </w:r>
          </w:p>
        </w:tc>
        <w:tc>
          <w:tcPr>
            <w:tcW w:type="dxa" w:w="2880"/>
          </w:tcPr>
          <w:p>
            <w:r>
              <w:t>Annual, on-site audit</w:t>
            </w:r>
          </w:p>
        </w:tc>
      </w:tr>
      <w:tr>
        <w:tc>
          <w:tcPr>
            <w:tcW w:type="dxa" w:w="2880"/>
          </w:tcPr>
          <w:p>
            <w:r>
              <w:t>Tier 2</w:t>
            </w:r>
          </w:p>
        </w:tc>
        <w:tc>
          <w:tcPr>
            <w:tcW w:type="dxa" w:w="2880"/>
          </w:tcPr>
          <w:p>
            <w:r>
              <w:t>Access to internal-only, non-customer data</w:t>
            </w:r>
          </w:p>
        </w:tc>
        <w:tc>
          <w:tcPr>
            <w:tcW w:type="dxa" w:w="2880"/>
          </w:tcPr>
          <w:p>
            <w:r>
              <w:t>Annual, self-assessment</w:t>
            </w:r>
          </w:p>
        </w:tc>
      </w:tr>
      <w:tr>
        <w:tc>
          <w:tcPr>
            <w:tcW w:type="dxa" w:w="2880"/>
          </w:tcPr>
          <w:p>
            <w:r>
              <w:t>Tier 3</w:t>
            </w:r>
          </w:p>
        </w:tc>
        <w:tc>
          <w:tcPr>
            <w:tcW w:type="dxa" w:w="2880"/>
          </w:tcPr>
          <w:p>
            <w:r>
              <w:t>No data access (e.g. facilities vendors)</w:t>
            </w:r>
          </w:p>
        </w:tc>
        <w:tc>
          <w:tcPr>
            <w:tcW w:type="dxa" w:w="2880"/>
          </w:tcPr>
          <w:p>
            <w:r>
              <w:t>Every 3 years</w:t>
            </w:r>
          </w:p>
        </w:tc>
      </w:tr>
    </w:tbl>
    <w:p>
      <w:pPr>
        <w:pStyle w:val="Heading1"/>
      </w:pPr>
      <w:r>
        <w:t>3. Minimum Security Requirements</w:t>
      </w:r>
    </w:p>
    <w:p>
      <w:r>
        <w:t>Tier 1 vendors must maintain SOC 2 Type II certification (or equivalent), encrypt data at rest and in transit using AES-256 or stronger, and notify Acme of any security incident affecting Acme data within 24 hours of discovery.</w:t>
      </w:r>
    </w:p>
    <w:p>
      <w:r>
        <w:t>Tier 2 vendors must maintain a documented information security policy and encrypt data in transit using TLS 1.2 or higher. A formal certification is recommended but not required.</w:t>
      </w:r>
    </w:p>
    <w:p>
      <w:pPr>
        <w:pStyle w:val="Heading1"/>
      </w:pPr>
      <w:r>
        <w:t>4. Offboarding</w:t>
      </w:r>
    </w:p>
    <w:p>
      <w:r>
        <w:t>When a vendor relationship ends, Acme revokes all vendor system access within 5 business days and requires written confirmation that any Acme data held by the vendor has been securely deleted within 30 days.</w:t>
      </w:r>
    </w:p>
    <w:p>
      <w:pPr>
        <w:pStyle w:val="Heading1"/>
      </w:pPr>
      <w:r>
        <w:t>5. Contract Review Cadence</w:t>
      </w:r>
    </w:p>
    <w:p>
      <w:r>
        <w:t>Tier 1 vendor contracts are reviewed annually by Legal and Security jointly. In Q2 2025, 14 of Acme's 19 Tier 1 vendor contracts were renewed with updated security addenda; the remaining 5 are scheduled for renewal in Q3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Vendor Security Policy</dc:title>
  <dc:subject/>
  <dc:creator>Acme Corporation Security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