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Corporation — Customer Support Service Level Agreement</w:t>
      </w:r>
    </w:p>
    <w:p>
      <w:pPr>
        <w:pStyle w:val="Heading1"/>
      </w:pPr>
      <w:r>
        <w:t>1. Support Tiers and Response Times</w:t>
      </w:r>
    </w:p>
    <w:p>
      <w:r>
        <w:t>Acme offers three customer support tiers, each with a distinct guaranteed first-response time and resolution target, detailed in the table below.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First Response</w:t>
            </w:r>
          </w:p>
        </w:tc>
        <w:tc>
          <w:tcPr>
            <w:tcW w:type="dxa" w:w="2160"/>
          </w:tcPr>
          <w:p>
            <w:r>
              <w:t>Critical Issue Resolution Target</w:t>
            </w:r>
          </w:p>
        </w:tc>
        <w:tc>
          <w:tcPr>
            <w:tcW w:type="dxa" w:w="2160"/>
          </w:tcPr>
          <w:p>
            <w:r>
              <w:t>Support Channels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1 business day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Email only</w:t>
            </w:r>
          </w:p>
        </w:tc>
      </w:tr>
      <w:tr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4 business hours</w:t>
            </w:r>
          </w:p>
        </w:tc>
        <w:tc>
          <w:tcPr>
            <w:tcW w:type="dxa" w:w="2160"/>
          </w:tcPr>
          <w:p>
            <w:r>
              <w:t>1 business day</w:t>
            </w:r>
          </w:p>
        </w:tc>
        <w:tc>
          <w:tcPr>
            <w:tcW w:type="dxa" w:w="2160"/>
          </w:tcPr>
          <w:p>
            <w:r>
              <w:t>Email and live chat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30 minutes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Email, live chat, and dedicated phone line</w:t>
            </w:r>
          </w:p>
        </w:tc>
      </w:tr>
    </w:tbl>
    <w:p>
      <w:pPr>
        <w:pStyle w:val="Heading1"/>
      </w:pPr>
      <w:r>
        <w:t>2. Uptime Guarantee and Service Credits</w:t>
      </w:r>
    </w:p>
    <w:p>
      <w:r>
        <w:t>Enterprise plan customers receive a contractual uptime guarantee of 99.9% measured monthly. If monthly uptime falls below 99.9%, the customer receives a service credit of 10% of that month's fees; if uptime falls below 99.0%, the credit increases to 25% of that month's fees. Service credits must be requested within 30 days of the qualifying month and are capped at 100% of that month's invoice.</w:t>
      </w:r>
    </w:p>
    <w:p>
      <w:pPr>
        <w:pStyle w:val="Heading1"/>
      </w:pPr>
      <w:r>
        <w:t>3. Escalation Path</w:t>
      </w:r>
    </w:p>
    <w:p>
      <w:r>
        <w:t>A support ticket that has not received a substantive update within twice its plan's first-response window is automatically escalated to a Senior Support Engineer. If an Enterprise customer's critical issue is not resolved within its 4-hour target, the ticket is automatically escalated to the Head of Customer Success, who must contact the customer directly within 30 minutes of escalation.</w:t>
      </w:r>
    </w:p>
    <w:p>
      <w:pPr>
        <w:pStyle w:val="Heading1"/>
      </w:pPr>
      <w:r>
        <w:t>4. Exclusions</w:t>
      </w:r>
    </w:p>
    <w:p>
      <w:r>
        <w:t>The uptime guarantee does not apply to scheduled maintenance windows (announced at least 48 hours in advance), outages caused by a customer's own misconfiguration, or force majeure events. Scheduled maintenance is capped at 4 hours per calendar month and is performed outside of 9am-6pm in the customer's primary time zone whenever possible.</w:t>
      </w:r>
    </w:p>
    <w:p>
      <w:pPr>
        <w:pStyle w:val="Heading1"/>
      </w:pPr>
      <w:r>
        <w:t>5. Plan Changes</w:t>
      </w:r>
    </w:p>
    <w:p>
      <w:r>
        <w:t>A customer may upgrade their support plan at any time, effective immediately upon confirmation. Downgrades take effect at the start of the next billing cycle, and a downgrade from Enterprise to any lower tier requires 15 days' written notice to allow for an orderly transition of any dedicated support arrangements.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Acme Customer Support SLA</dc:title>
  <dc:subject/>
  <dc:creator>Acme Corporation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