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/>
      </w:pPr>
      <w:r w:rsidDel="00000000" w:rsidR="00000000" w:rsidRPr="00000000">
        <w:rPr>
          <w:rFonts w:ascii="Roboto" w:cs="Roboto" w:eastAsia="Roboto" w:hAnsi="Roboto"/>
          <w:color w:val="313131"/>
          <w:sz w:val="21"/>
          <w:szCs w:val="21"/>
          <w:rtl w:val="0"/>
        </w:rPr>
        <w:t xml:space="preserve">¡Bienvenido a la primera entrega del proyecto aplicado!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primera fase del proyecto aplicado, deberá definir el proyecto que desea desarrollar. Para ello deberá desarrollar la etapa de entendimiento del negocio y escoger el conjunto de textos que va a emplear. Para esta entrega deberá definir: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Objetivos del negocio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Objetivo del proyecto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Planeación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Código de carga y adquisición del corpus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pueda servir como guía a la hora de definir los aspectos base de su proyecto. Tener en cuenta que el documento es una guía, por lo que puede modificar el contenido y la estructura tanto como lo considere necesario: agregar nuevas preguntas, añadir secciones o aclaraciones.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[Notebook] Entendimiento del negocio y carga de textos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ktk8ok1ankmo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primera entrega corresponde al primer criterio de evaluación. Puede consultar la rúbrica completa en la unidad 6.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616044" cy="25595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044" cy="255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drive/1K33HT3fiutxe8GgxUHihw-MIa8l0C4Yp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