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1d74tmcxhhd9" w:id="0"/>
      <w:bookmarkEnd w:id="0"/>
      <w:r w:rsidDel="00000000" w:rsidR="00000000" w:rsidRPr="00000000">
        <w:rPr>
          <w:rFonts w:ascii="Roboto" w:cs="Roboto" w:eastAsia="Roboto" w:hAnsi="Roboto"/>
          <w:color w:val="0075b4"/>
        </w:rPr>
        <w:drawing>
          <wp:inline distB="114300" distT="114300" distL="114300" distR="114300">
            <wp:extent cx="5200650" cy="1390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139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before="200" w:lineRule="auto"/>
        <w:rPr>
          <w:rFonts w:ascii="Roboto" w:cs="Roboto" w:eastAsia="Roboto" w:hAnsi="Roboto"/>
          <w:color w:val="0075b4"/>
        </w:rPr>
      </w:pPr>
      <w:bookmarkStart w:colFirst="0" w:colLast="0" w:name="_ow6w9m4ukpwj" w:id="1"/>
      <w:bookmarkEnd w:id="1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Proyecto aplicado - Fase 2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313131"/>
          <w:sz w:val="24"/>
          <w:szCs w:val="24"/>
          <w:rtl w:val="0"/>
        </w:rPr>
        <w:t xml:space="preserve">Grupos:</w:t>
      </w: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 3 personas.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¡Bienvenido a la segunda entrega del proyecto aplicado!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En esta segunda fase del proyecto aplicado van a preparar el corpus a utilizar. Para ello deberán desarrollar un entendimiento de este, además de aplicar un proceso de limpieza. Para esta entrega deben trabajar en: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Análisis exploratorio del corpus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Análisis descriptivo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Visualización de la información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0" w:beforeAutospacing="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Limpieza de datos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Hemos preparado el siguiente notebook para que les pueda servir como guía a la hora de definir los aspectos base de su proyecto. Tengan en cuenta que el documento es una guía, por lo que pueden modificar el contenido y la estructura tanto como lo vean necesario: modificar o añadir pasos, intercambiar orden, etc.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60" w:before="220" w:line="335.99999999999994" w:lineRule="auto"/>
        <w:ind w:left="720" w:hanging="360"/>
        <w:rPr>
          <w:rFonts w:ascii="Roboto" w:cs="Roboto" w:eastAsia="Roboto" w:hAnsi="Roboto"/>
          <w:color w:val="313131"/>
          <w:sz w:val="21"/>
          <w:szCs w:val="21"/>
        </w:rPr>
      </w:pPr>
      <w:hyperlink r:id="rId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u w:val="single"/>
            <w:rtl w:val="0"/>
          </w:rPr>
          <w:t xml:space="preserve">[Notebook] Entendimiento y preparación del corpus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zijk0cb11b1k" w:id="2"/>
      <w:bookmarkEnd w:id="2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Rúbrica del proyecto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="335.99999999999994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es la rúbrica que será utilizada para calificar el proyecto aplicado. Esta segunda entrega corresponde al segundo criterio de evaluación. Puede consultar la rúbrica completa en la unidad 6.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  <w:rtl w:val="0"/>
        </w:rPr>
        <w:t xml:space="preserve">Esta entrega es parcial y equivale a un 10% del proyecto aplicado. Si se requiere, para la entrega final podrá hacer modificaciones a cada una de las entregas parciales.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313131"/>
          <w:sz w:val="24"/>
          <w:szCs w:val="24"/>
        </w:rPr>
        <w:drawing>
          <wp:inline distB="114300" distT="114300" distL="114300" distR="114300">
            <wp:extent cx="8491538" cy="2505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491538" cy="250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40" w:before="300" w:line="384.00000000000006" w:lineRule="auto"/>
        <w:rPr>
          <w:rFonts w:ascii="Roboto" w:cs="Roboto" w:eastAsia="Roboto" w:hAnsi="Roboto"/>
          <w:color w:val="0075b4"/>
        </w:rPr>
      </w:pPr>
      <w:bookmarkStart w:colFirst="0" w:colLast="0" w:name="_xcsj6juntfuu" w:id="3"/>
      <w:bookmarkEnd w:id="3"/>
      <w:r w:rsidDel="00000000" w:rsidR="00000000" w:rsidRPr="00000000">
        <w:rPr>
          <w:rFonts w:ascii="Roboto" w:cs="Roboto" w:eastAsia="Roboto" w:hAnsi="Roboto"/>
          <w:color w:val="0075b4"/>
          <w:rtl w:val="0"/>
        </w:rPr>
        <w:t xml:space="preserve">Instrucciones de entrega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Tenga en cuenta que la entrega debe ser realizada junto a su equipo de trabajo (3 personas).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Todos los participantes deben subir el notebook desarrollado, es decir, un archivo </w:t>
      </w:r>
      <w:r w:rsidDel="00000000" w:rsidR="00000000" w:rsidRPr="00000000">
        <w:rPr>
          <w:rFonts w:ascii="Roboto" w:cs="Roboto" w:eastAsia="Roboto" w:hAnsi="Roboto"/>
          <w:i w:val="1"/>
          <w:iCs w:val="1"/>
          <w:sz w:val="24"/>
          <w:szCs w:val="24"/>
          <w:rtl w:val="0"/>
        </w:rPr>
        <w:t xml:space="preserve">.ipynb.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Ten presente hacer clic en “Entregar” una vez subido el archivo.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No se aceptan entregas realizadas por otros medios.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En caso de tener dificultades en la entrega, por favor, comunícate oportunamente con el profesor asistente o el equipo de apoyo del curso</w:t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="384.00000000000006" w:lineRule="auto"/>
        <w:ind w:right="0"/>
        <w:rPr>
          <w:rFonts w:ascii="Roboto" w:cs="Roboto" w:eastAsia="Roboto" w:hAnsi="Roboto"/>
          <w:color w:val="31313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colab.research.google.com/drive/13P4S6NoKsqfwpwQc63q8Pt_E6IcLRH8g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