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40" w:before="40"/>
        <w:jc w:val="center"/>
      </w:pPr>
      <w:r>
        <w:rPr>
          <w:rFonts w:ascii="Calibri" w:cs="Calibri" w:eastAsia="Calibri" w:hAnsi="Calibri"/>
          <w:b/>
          <w:bCs/>
          <w:color w:val="C0392B"/>
          <w:sz w:val="72"/>
          <w:szCs w:val="72"/>
        </w:rPr>
        <w:t xml:space="preserve">PHISHGUARD AI</w:t>
      </w:r>
    </w:p>
    <w:p>
      <w:pPr>
        <w:spacing w:after="60" w:before="60"/>
      </w:pPr>
    </w:p>
    <w:p>
      <w:pPr>
        <w:spacing w:after="40" w:before="40"/>
        <w:jc w:val="center"/>
      </w:pPr>
      <w:r>
        <w:rPr>
          <w:rFonts w:ascii="Calibri" w:cs="Calibri" w:eastAsia="Calibri" w:hAnsi="Calibri"/>
          <w:b w:val="false"/>
          <w:bCs w:val="false"/>
          <w:color w:val="2C3E50"/>
          <w:sz w:val="24"/>
          <w:szCs w:val="24"/>
        </w:rPr>
        <w:t xml:space="preserve">Asistente de Resiliencia y Compliance frente a Amenazas de</w:t>
      </w:r>
    </w:p>
    <w:p>
      <w:pPr>
        <w:spacing w:after="40" w:before="40"/>
        <w:jc w:val="center"/>
      </w:pPr>
      <w:r>
        <w:rPr>
          <w:rFonts w:ascii="Calibri" w:cs="Calibri" w:eastAsia="Calibri" w:hAnsi="Calibri"/>
          <w:b w:val="false"/>
          <w:bCs w:val="false"/>
          <w:color w:val="2C3E50"/>
          <w:sz w:val="24"/>
          <w:szCs w:val="24"/>
        </w:rPr>
        <w:t xml:space="preserve">Phishing generadas mediante Inteligencia Artificial</w:t>
      </w:r>
    </w:p>
    <w:p>
      <w:pPr>
        <w:spacing w:after="60" w:before="60"/>
      </w:pPr>
    </w:p>
    <w:p>
      <w:pPr>
        <w:pBdr>
          <w:bottom w:val="single" w:color="C0392B" w:sz="8" w:space="1"/>
        </w:pBdr>
        <w:spacing w:after="120" w:before="120"/>
      </w:pPr>
    </w:p>
    <w:p>
      <w:pPr>
        <w:spacing w:after="60" w:before="60"/>
      </w:pPr>
    </w:p>
    <w:p>
      <w:pPr>
        <w:spacing w:after="40" w:before="40"/>
        <w:jc w:val="center"/>
      </w:pPr>
      <w:r>
        <w:rPr>
          <w:rFonts w:ascii="Calibri" w:cs="Calibri" w:eastAsia="Calibri" w:hAnsi="Calibri"/>
          <w:b/>
          <w:bCs/>
          <w:color w:val="1A252F"/>
          <w:sz w:val="30"/>
          <w:szCs w:val="30"/>
        </w:rPr>
        <w:t xml:space="preserve">TRABAJO FIN DE CURSO</w:t>
      </w:r>
    </w:p>
    <w:p>
      <w:pPr>
        <w:spacing w:after="40" w:before="40"/>
        <w:jc w:val="center"/>
      </w:pPr>
      <w:r>
        <w:rPr>
          <w:rFonts w:ascii="Calibri" w:cs="Calibri" w:eastAsia="Calibri" w:hAnsi="Calibri"/>
          <w:b w:val="false"/>
          <w:bCs w:val="false"/>
          <w:color w:val="7F8C8D"/>
          <w:sz w:val="22"/>
          <w:szCs w:val="22"/>
        </w:rPr>
        <w:t xml:space="preserve">Programa #IMPACT · #include13 · Fundación GoodJob</w:t>
      </w:r>
    </w:p>
    <w:p>
      <w:pPr>
        <w:spacing w:after="40" w:before="40"/>
        <w:jc w:val="center"/>
      </w:pPr>
      <w:r>
        <w:rPr>
          <w:rFonts w:ascii="Calibri" w:cs="Calibri" w:eastAsia="Calibri" w:hAnsi="Calibri"/>
          <w:b w:val="false"/>
          <w:bCs w:val="false"/>
          <w:color w:val="7F8C8D"/>
          <w:sz w:val="22"/>
          <w:szCs w:val="22"/>
        </w:rPr>
        <w:t xml:space="preserve">Mayo – Junio 2026  ·  Caso de estudio: MIDTECH S.A.</w:t>
      </w: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900"/>
        <w:gridCol w:w="4460"/>
      </w:tblGrid>
      <w:tr>
        <w:trPr>
          <w:tblHeader/>
        </w:trPr>
        <w:tc>
          <w:tcPr>
            <w:tcW w:type="dxa" w:w="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Fase</w:t>
            </w:r>
          </w:p>
        </w:tc>
        <w:tc>
          <w:tcPr>
            <w:tcW w:type="dxa" w:w="3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Título</w:t>
            </w:r>
          </w:p>
        </w:tc>
        <w:tc>
          <w:tcPr>
            <w:tcW w:type="dxa" w:w="9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Peso</w:t>
            </w:r>
          </w:p>
        </w:tc>
        <w:tc>
          <w:tcPr>
            <w:tcW w:type="dxa" w:w="44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Entregable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Diseño del asistente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15 %</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Documento de diseño y diagrama de flujo</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Base de conocimiento (RAG)</w:t>
            </w:r>
          </w:p>
        </w:tc>
        <w:tc>
          <w:tcPr>
            <w:tcW w:type="dxa" w:w="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25 %</w:t>
            </w:r>
          </w:p>
        </w:tc>
        <w:tc>
          <w:tcPr>
            <w:tcW w:type="dxa" w:w="44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Normativas indexadas y política MIDTECH cargada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Construcción del asistente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45 %</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Asistente funcional con las 4 capacidades</w:t>
            </w:r>
          </w:p>
        </w:tc>
      </w:tr>
      <w:tr>
        <w:tc>
          <w:tcPr>
            <w:tcW w:type="dxa" w:w="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Demostración y entrega</w:t>
            </w:r>
          </w:p>
        </w:tc>
        <w:tc>
          <w:tcPr>
            <w:tcW w:type="dxa" w:w="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15 %</w:t>
            </w:r>
          </w:p>
        </w:tc>
        <w:tc>
          <w:tcPr>
            <w:tcW w:type="dxa" w:w="44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Evidencias verificables y documento final en Scola</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80"/>
        <w:gridCol w:w="188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LLM</w:t>
            </w:r>
          </w:p>
        </w:tc>
        <w:tc>
          <w:tcPr>
            <w:tcW w:type="dxa" w:w="18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Orquestación</w:t>
            </w:r>
          </w:p>
        </w:tc>
        <w:tc>
          <w:tcPr>
            <w:tcW w:type="dxa" w:w="19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RAG</w:t>
            </w:r>
          </w:p>
        </w:tc>
        <w:tc>
          <w:tcPr>
            <w:tcW w:type="dxa" w:w="19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Interfaz</w:t>
            </w:r>
          </w:p>
        </w:tc>
        <w:tc>
          <w:tcPr>
            <w:tcW w:type="dxa" w:w="188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Despliegue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GPT-4o (OpenAI)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Cloud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Vector Store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Chat UI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Cloud (URL pública)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80"/>
              <w:left w:type="dxa" w:w="320"/>
              <w:bottom w:type="dxa" w:w="180"/>
              <w:right w:type="dxa" w:w="320"/>
            </w:tcMar>
          </w:tcPr>
          <w:p>
            <w:pPr>
              <w:spacing w:after="40" w:before="40"/>
              <w:jc w:val="center"/>
            </w:pPr>
            <w:r>
              <w:rPr>
                <w:rFonts w:ascii="Calibri" w:cs="Calibri" w:eastAsia="Calibri" w:hAnsi="Calibri"/>
                <w:b/>
                <w:bCs/>
                <w:color w:val="FFFFFF"/>
                <w:sz w:val="34"/>
                <w:szCs w:val="34"/>
              </w:rPr>
              <w:t xml:space="preserve">FASE 1 — DISEÑO DEL ASISTENTE</w:t>
            </w:r>
          </w:p>
          <w:p>
            <w:pPr>
              <w:spacing w:after="40" w:before="40"/>
              <w:jc w:val="center"/>
            </w:pPr>
            <w:r>
              <w:rPr>
                <w:rFonts w:ascii="Calibri" w:cs="Calibri" w:eastAsia="Calibri" w:hAnsi="Calibri"/>
                <w:b w:val="false"/>
                <w:bCs w:val="false"/>
                <w:color w:val="FFCCCC"/>
                <w:sz w:val="20"/>
                <w:szCs w:val="20"/>
              </w:rPr>
              <w:t xml:space="preserve">Peso en nota: 15 %  ·  Entregable: documento de diseño y diagrama de flujo</w:t>
            </w:r>
          </w:p>
        </w:tc>
      </w:tr>
    </w:tbl>
    <w:p>
      <w:pPr>
        <w:spacing w:after="60" w:before="60"/>
      </w:pPr>
    </w:p>
    <w:p>
      <w:pPr>
        <w:spacing w:after="160" w:before="360"/>
      </w:pPr>
      <w:r>
        <w:rPr>
          <w:rFonts w:ascii="Calibri" w:cs="Calibri" w:eastAsia="Calibri" w:hAnsi="Calibri"/>
          <w:b/>
          <w:bCs/>
          <w:color w:val="C0392B"/>
          <w:sz w:val="32"/>
          <w:szCs w:val="32"/>
        </w:rPr>
        <w:t xml:space="preserve">1. Problema y usuario</w:t>
      </w:r>
    </w:p>
    <w:p>
      <w:pPr>
        <w:spacing w:after="60" w:before="60"/>
        <w:jc w:val="both"/>
      </w:pPr>
      <w:r>
        <w:rPr>
          <w:rFonts w:ascii="Calibri" w:cs="Calibri" w:eastAsia="Calibri" w:hAnsi="Calibri"/>
          <w:color w:val="1A252F"/>
          <w:sz w:val="22"/>
          <w:szCs w:val="22"/>
        </w:rPr>
        <w:t xml:space="preserve">La proliferación de modelos de lenguaje generativo ha transformado el panorama de las amenazas de ingeniería social. Los actores maliciosos pueden hoy automatizar campañas de spear phishing hiperpersonalizadas que superan los filtros perimetrales convencionales al adaptar el tono, el organigrama y las relaciones comerciales de la organización objetivo.</w:t>
      </w:r>
    </w:p>
    <w:p>
      <w:pPr>
        <w:spacing w:after="60" w:before="60"/>
      </w:pPr>
    </w:p>
    <w:p>
      <w:pPr>
        <w:spacing w:after="60" w:before="60"/>
        <w:jc w:val="both"/>
      </w:pPr>
      <w:r>
        <w:rPr>
          <w:rFonts w:ascii="Calibri" w:cs="Calibri" w:eastAsia="Calibri" w:hAnsi="Calibri"/>
          <w:color w:val="1A252F"/>
          <w:sz w:val="22"/>
          <w:szCs w:val="22"/>
        </w:rPr>
        <w:t xml:space="preserve">MIDTECH S.A. es una empresa del sector biotecnológico y farmacéutico (facturación 1.524 M€, ~1.020 empleados, sedes en Zaragoza, Madrid y Barcelona) que gestiona datos clínicos de pacientes, propiedad intelectual farmacéutica y resultados de ensayos clínicos. Su actividad la somete a GDPR, ISO 27001, ENS, NIS2 y LOPDGDD. Su propia Política de Seguridad PSI-MIDTECH-2025-v2.1 declara explícitamente 16 limitaciones de cumplimiento, lo que la convierte en un caso de prueba real e ideal para PhishGuard AI.</w:t>
      </w:r>
    </w:p>
    <w:p>
      <w:pPr>
        <w:spacing w:after="60" w:before="60"/>
      </w:pPr>
    </w:p>
    <w:p>
      <w:pPr>
        <w:spacing w:after="60" w:before="60"/>
        <w:jc w:val="both"/>
      </w:pPr>
      <w:r>
        <w:rPr>
          <w:rFonts w:ascii="Calibri" w:cs="Calibri" w:eastAsia="Calibri" w:hAnsi="Calibri"/>
          <w:color w:val="1A252F"/>
          <w:sz w:val="22"/>
          <w:szCs w:val="22"/>
        </w:rPr>
        <w:t xml:space="preserve">PhishGuard AI actúa en dos frentes: (1) simula campañas de phishing generadas por IA con fines exclusivamente educativos, y (2) audita el cumplimiento normativo de MIDTECH y propone planes de remediación priorizados.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Perfil de usuario</w:t>
            </w:r>
          </w:p>
        </w:tc>
        <w:tc>
          <w:tcPr>
            <w:tcW w:type="dxa" w:w="53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Necesidad principal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CISO / Responsable de Seguridad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Obtener el nivel de madurez y el gap analysis completo de MIDTECH</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Blue Team / Defensa activa</w:t>
            </w:r>
          </w:p>
        </w:tc>
        <w:tc>
          <w:tcPr>
            <w:tcW w:type="dxa" w:w="5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Analizar correos simulados y calibrar controles anti-phishing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Auditor de TI / Compliance Officer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Consultar cumplimiento de GDPR, ISO 27001 y ENS en lenguaje natural</w:t>
            </w:r>
          </w:p>
        </w:tc>
      </w:tr>
      <w:tr>
        <w:tc>
          <w:tcPr>
            <w:tcW w:type="dxa" w:w="4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Gestor de riesgos</w:t>
            </w:r>
          </w:p>
        </w:tc>
        <w:tc>
          <w:tcPr>
            <w:tcW w:type="dxa" w:w="5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Recibir plan de acción priorizado con referencias normativas exactas</w:t>
            </w:r>
          </w:p>
        </w:tc>
      </w:tr>
    </w:tbl>
    <w:p>
      <w:pPr>
        <w:spacing w:after="60" w:before="60"/>
      </w:pPr>
    </w:p>
    <w:p>
      <w:pPr>
        <w:spacing w:after="160" w:before="360"/>
      </w:pPr>
      <w:r>
        <w:rPr>
          <w:rFonts w:ascii="Calibri" w:cs="Calibri" w:eastAsia="Calibri" w:hAnsi="Calibri"/>
          <w:b/>
          <w:bCs/>
          <w:color w:val="C0392B"/>
          <w:sz w:val="32"/>
          <w:szCs w:val="32"/>
        </w:rPr>
        <w:t xml:space="preserve">2. Tecnologías elegidas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Tecnología</w:t>
            </w:r>
          </w:p>
        </w:tc>
        <w:tc>
          <w:tcPr>
            <w:tcW w:type="dxa" w:w="50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Justificación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Modelo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OpenAI GPT-4o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Mejor rendimiento en español, ventana de 128 k tokens, razonamiento semántico avanzado para análisis normativos.</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Orquestación</w:t>
            </w:r>
          </w:p>
        </w:tc>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Cloud</w:t>
            </w:r>
          </w:p>
        </w:tc>
        <w:tc>
          <w:tcPr>
            <w:tcW w:type="dxa" w:w="5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Flujos visuales sin código, conectores nativos para OpenAI y Google Drive, genera URL de chat pública automáticamente. Requerido por el TFC.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Gestor documental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Google Drive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Carpeta compartida para política MIDTECH y normativas. Control de versiones y acceso sencillo desde n8n.</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Base de conocimiento</w:t>
            </w:r>
          </w:p>
        </w:tc>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Vector Store + Embeddings OpenAI</w:t>
            </w:r>
          </w:p>
        </w:tc>
        <w:tc>
          <w:tcPr>
            <w:tcW w:type="dxa" w:w="5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RAG integrado en n8n: fragmenta, genera embeddings (text-embedding-3-small) e indexa sin infraestructura adicional.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Interfaz de usuario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Chat Trigger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Genera una URL de chat pública operativa durante el período de evaluación. El evaluador accede sin instalar nada.</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Despliegue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Cloud (plan gratuito)</w:t>
            </w:r>
          </w:p>
        </w:tc>
        <w:tc>
          <w:tcPr>
            <w:tcW w:type="dxa" w:w="5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Siempre activo, URL persistente, sin configuración de servidores. Cubre el requisito de demo en vivo del TFC.</w:t>
            </w:r>
          </w:p>
        </w:tc>
      </w:tr>
    </w:tbl>
    <w:p>
      <w:pPr>
        <w:spacing w:after="60" w:before="60"/>
      </w:pPr>
    </w:p>
    <w:p>
      <w:pPr>
        <w:spacing w:after="160" w:before="360"/>
      </w:pPr>
      <w:r>
        <w:rPr>
          <w:rFonts w:ascii="Calibri" w:cs="Calibri" w:eastAsia="Calibri" w:hAnsi="Calibri"/>
          <w:b/>
          <w:bCs/>
          <w:color w:val="C0392B"/>
          <w:sz w:val="32"/>
          <w:szCs w:val="32"/>
        </w:rPr>
        <w:t xml:space="preserve">3. Flujo de las cuatro capacidades esenciales</w:t>
      </w:r>
    </w:p>
    <w:p>
      <w:pPr>
        <w:spacing w:after="100" w:before="220"/>
      </w:pPr>
      <w:r>
        <w:rPr>
          <w:rFonts w:ascii="Calibri" w:cs="Calibri" w:eastAsia="Calibri" w:hAnsi="Calibri"/>
          <w:b/>
          <w:bCs/>
          <w:color w:val="2C3E50"/>
          <w:sz w:val="26"/>
          <w:szCs w:val="26"/>
        </w:rPr>
        <w:t xml:space="preserve">Capacidad 1 — Análisis de políticas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Etapa</w:t>
            </w:r>
          </w:p>
        </w:tc>
        <w:tc>
          <w:tcPr>
            <w:tcW w:type="dxa" w:w="7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Entrada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usuario escribe: 'Analiza la política de seguridad de MIDTECH'.</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Proceso</w:t>
            </w:r>
          </w:p>
        </w:tc>
        <w:tc>
          <w:tcPr>
            <w:tcW w:type="dxa" w:w="7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recupera el PDF PSI-MIDTECH-2025-v2.1 desde Google Drive → lo fragmenta en chunks de 512 tokens → el Vector Store recupera los 4 más relevantes → GPT-4o analiza con el prompt de sistema de la Capacidad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Salida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Informe en 3 bloques: A) Áreas cubiertas con nivel Alto/Medio/Bajo y sección exacta. B) Limitaciones auto-declaradas (citas textuales del documento). C) Áreas completamente ausentes.</w:t>
            </w:r>
          </w:p>
        </w:tc>
      </w:tr>
    </w:tbl>
    <w:p>
      <w:pPr>
        <w:spacing w:after="60" w:before="60"/>
      </w:pPr>
    </w:p>
    <w:p>
      <w:pPr>
        <w:spacing w:after="100" w:before="220"/>
      </w:pPr>
      <w:r>
        <w:rPr>
          <w:rFonts w:ascii="Calibri" w:cs="Calibri" w:eastAsia="Calibri" w:hAnsi="Calibri"/>
          <w:b/>
          <w:bCs/>
          <w:color w:val="2C3E50"/>
          <w:sz w:val="26"/>
          <w:szCs w:val="26"/>
        </w:rPr>
        <w:t xml:space="preserve">Capacidad 2 — Detección de riesgos e incumplimientos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Etapa</w:t>
            </w:r>
          </w:p>
        </w:tc>
        <w:tc>
          <w:tcPr>
            <w:tcW w:type="dxa" w:w="7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Entrada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usuario escribe: 'Realiza un gap analysis de MIDTECH frente a GDPR, ISO 27001 y ENS'.</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Proceso</w:t>
            </w:r>
          </w:p>
        </w:tc>
        <w:tc>
          <w:tcPr>
            <w:tcW w:type="dxa" w:w="7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interroga el Vector Store con dos contextos: política MIDTECH y normativas. GPT-4o cruza ambos con el prompt de Capacidad 2 y detecta brechas.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Salida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de incumplimientos: área normativa, carencia detectada (con sección MIDTECH), criticidad (Alta/Media/Baja) y referencia normativa exacta (ej. ISO 27001 A.9.4.2).</w:t>
            </w:r>
          </w:p>
        </w:tc>
      </w:tr>
    </w:tbl>
    <w:p>
      <w:pPr>
        <w:spacing w:after="60" w:before="60"/>
      </w:pPr>
    </w:p>
    <w:p>
      <w:pPr>
        <w:spacing w:after="100" w:before="220"/>
      </w:pPr>
      <w:r>
        <w:rPr>
          <w:rFonts w:ascii="Calibri" w:cs="Calibri" w:eastAsia="Calibri" w:hAnsi="Calibri"/>
          <w:b/>
          <w:bCs/>
          <w:color w:val="2C3E50"/>
          <w:sz w:val="26"/>
          <w:szCs w:val="26"/>
        </w:rPr>
        <w:t xml:space="preserve">Capacidad 3 — Respuesta a preguntas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Etapa</w:t>
            </w:r>
          </w:p>
        </w:tc>
        <w:tc>
          <w:tcPr>
            <w:tcW w:type="dxa" w:w="7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Entrada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usuario pregunta en lenguaje natural: '¿Cumplimos con el artículo 32 del GDPR?'</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Proceso</w:t>
            </w:r>
          </w:p>
        </w:tc>
        <w:tc>
          <w:tcPr>
            <w:tcW w:type="dxa" w:w="7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Vector Store recupera los fragmentos más relevantes de la política MIDTECH y la normativa. GPT-4o genera la respuesta citando ambos documentos con el prompt de Capacidad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Salida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Respuesta estructurada: cita de la política MIDTECH (sección exacta) + cita de la normativa (artículo exacto) + veredicto CUMPLE / CUMPLE PARCIALMENTE / NO CUMPLE + recomendación concreta.</w:t>
            </w:r>
          </w:p>
        </w:tc>
      </w:tr>
    </w:tbl>
    <w:p>
      <w:pPr>
        <w:spacing w:after="60" w:before="60"/>
      </w:pPr>
    </w:p>
    <w:p>
      <w:pPr>
        <w:spacing w:after="100" w:before="220"/>
      </w:pPr>
      <w:r>
        <w:rPr>
          <w:rFonts w:ascii="Calibri" w:cs="Calibri" w:eastAsia="Calibri" w:hAnsi="Calibri"/>
          <w:b/>
          <w:bCs/>
          <w:color w:val="2C3E50"/>
          <w:sz w:val="26"/>
          <w:szCs w:val="26"/>
        </w:rPr>
        <w:t xml:space="preserve">Capacidad 4 — Propuestas de mejora priorizadas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Etapa</w:t>
            </w:r>
          </w:p>
        </w:tc>
        <w:tc>
          <w:tcPr>
            <w:tcW w:type="dxa" w:w="796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Entrada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usuario pide: 'Genera un plan de mejora priorizado para MIDTECH'.</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Proceso</w:t>
            </w:r>
          </w:p>
        </w:tc>
        <w:tc>
          <w:tcPr>
            <w:tcW w:type="dxa" w:w="7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GPT-4o consolida los hallazgos del gap analysis y aplica el prompt de Capacidad 4, considerando específicamente amenazas de IA generativa (spear phishing, deepfakes, spoofing).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Salida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priorizada: mejora concreta, normativa que la justifica, prioridad (Alta/Media/Baja), esfuerzo estimado (Alto/Medio/Bajo). Sección extra de medidas anti-phishing por IA.</w:t>
            </w:r>
          </w:p>
        </w:tc>
      </w:tr>
    </w:tbl>
    <w:p>
      <w:pPr>
        <w:spacing w:after="60" w:before="60"/>
      </w:pPr>
    </w:p>
    <w:p>
      <w:pPr>
        <w:spacing w:after="160" w:before="360"/>
      </w:pPr>
      <w:r>
        <w:rPr>
          <w:rFonts w:ascii="Calibri" w:cs="Calibri" w:eastAsia="Calibri" w:hAnsi="Calibri"/>
          <w:b/>
          <w:bCs/>
          <w:color w:val="C0392B"/>
          <w:sz w:val="32"/>
          <w:szCs w:val="32"/>
        </w:rPr>
        <w:t xml:space="preserve">4. Diagrama de flujo del sistema</w:t>
      </w:r>
    </w:p>
    <w:p>
      <w:pPr>
        <w:spacing w:after="60" w:before="60"/>
        <w:jc w:val="both"/>
      </w:pPr>
      <w:r>
        <w:rPr>
          <w:rFonts w:ascii="Calibri" w:cs="Calibri" w:eastAsia="Calibri" w:hAnsi="Calibri"/>
          <w:color w:val="1A252F"/>
          <w:sz w:val="22"/>
          <w:szCs w:val="22"/>
        </w:rPr>
        <w:t xml:space="preserve">El siguiente diagrama muestra la arquitectura completa de PhishGuard AI y cómo se conectan todos los componentes desde la entrada del usuario hasta la respuesta estructurada.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52F" w:sz="1"/>
              <w:left w:val="single" w:color="1A252F" w:sz="1"/>
              <w:bottom w:val="single" w:color="1A252F" w:sz="1"/>
              <w:right w:val="single" w:color="1A252F" w:sz="1"/>
            </w:tcBorders>
            <w:shd w:fill="1A252F" w:val="clear"/>
            <w:tcMar>
              <w:top w:type="dxa" w:w="200"/>
              <w:left w:type="dxa" w:w="300"/>
              <w:bottom w:type="dxa" w:w="200"/>
              <w:right w:type="dxa" w:w="300"/>
            </w:tcMar>
          </w:tcPr>
          <w:p>
            <w:pPr>
              <w:spacing w:after="40" w:before="40"/>
              <w:jc w:val="center"/>
            </w:pPr>
            <w:r>
              <w:rPr>
                <w:rFonts w:ascii="Calibri" w:cs="Calibri" w:eastAsia="Calibri" w:hAnsi="Calibri"/>
                <w:b/>
                <w:bCs/>
                <w:color w:val="FFFFFF"/>
                <w:sz w:val="22"/>
                <w:szCs w:val="22"/>
              </w:rPr>
              <w:t xml:space="preserve">[ USUARIO / AUDITOR DE SEGURIDAD ]</w:t>
            </w:r>
          </w:p>
          <w:p>
            <w:pPr>
              <w:spacing w:after="40" w:before="40"/>
              <w:jc w:val="center"/>
            </w:pPr>
            <w:r>
              <w:rPr>
                <w:rFonts w:ascii="Calibri" w:cs="Calibri" w:eastAsia="Calibri" w:hAnsi="Calibri"/>
                <w:b w:val="false"/>
                <w:bCs w:val="false"/>
                <w:color w:val="C0392B"/>
                <w:sz w:val="22"/>
                <w:szCs w:val="22"/>
              </w:rPr>
              <w:t xml:space="preserve">│</w:t>
            </w:r>
          </w:p>
          <w:p>
            <w:pPr>
              <w:spacing w:after="40" w:before="40"/>
              <w:jc w:val="center"/>
            </w:pPr>
            <w:r>
              <w:rPr>
                <w:rFonts w:ascii="Calibri" w:cs="Calibri" w:eastAsia="Calibri" w:hAnsi="Calibri"/>
                <w:b w:val="false"/>
                <w:bCs w:val="false"/>
                <w:color w:val="C0392B"/>
                <w:sz w:val="20"/>
                <w:szCs w:val="20"/>
              </w:rPr>
              <w:t xml:space="preserve">▼</w:t>
            </w:r>
          </w:p>
          <w:p>
            <w:pPr>
              <w:spacing w:after="40" w:before="40"/>
              <w:jc w:val="center"/>
            </w:pPr>
            <w:r>
              <w:rPr>
                <w:rFonts w:ascii="Calibri" w:cs="Calibri" w:eastAsia="Calibri" w:hAnsi="Calibri"/>
                <w:b w:val="false"/>
                <w:bCs w:val="false"/>
                <w:color w:val="3498DB"/>
                <w:sz w:val="18"/>
                <w:szCs w:val="18"/>
              </w:rPr>
              <w:t xml:space="preserve">┌──────────────────────────────────────────────┐</w:t>
            </w:r>
          </w:p>
          <w:p>
            <w:pPr>
              <w:spacing w:after="40" w:before="40"/>
              <w:jc w:val="center"/>
            </w:pPr>
            <w:r>
              <w:rPr>
                <w:rFonts w:ascii="Calibri" w:cs="Calibri" w:eastAsia="Calibri" w:hAnsi="Calibri"/>
                <w:b w:val="false"/>
                <w:bCs w:val="false"/>
                <w:color w:val="3498DB"/>
                <w:sz w:val="18"/>
                <w:szCs w:val="18"/>
              </w:rPr>
              <w:t xml:space="preserve">│    CHAT TRIGGER — n8n Cloud (URL pública)    │</w:t>
            </w:r>
          </w:p>
          <w:p>
            <w:pPr>
              <w:spacing w:after="40" w:before="40"/>
              <w:jc w:val="center"/>
            </w:pPr>
            <w:r>
              <w:rPr>
                <w:rFonts w:ascii="Calibri" w:cs="Calibri" w:eastAsia="Calibri" w:hAnsi="Calibri"/>
                <w:b w:val="false"/>
                <w:bCs w:val="false"/>
                <w:color w:val="3498DB"/>
                <w:sz w:val="18"/>
                <w:szCs w:val="18"/>
              </w:rPr>
              <w:t xml:space="preserve">│  Interfaz conversacional · sin instalación   │</w:t>
            </w:r>
          </w:p>
          <w:p>
            <w:pPr>
              <w:spacing w:after="40" w:before="40"/>
              <w:jc w:val="center"/>
            </w:pPr>
            <w:r>
              <w:rPr>
                <w:rFonts w:ascii="Calibri" w:cs="Calibri" w:eastAsia="Calibri" w:hAnsi="Calibri"/>
                <w:b w:val="false"/>
                <w:bCs w:val="false"/>
                <w:color w:val="3498DB"/>
                <w:sz w:val="18"/>
                <w:szCs w:val="18"/>
              </w:rPr>
              <w:t xml:space="preserve">└──────────────────────────────────────────────┘</w:t>
            </w:r>
          </w:p>
          <w:p>
            <w:pPr>
              <w:spacing w:after="40" w:before="40"/>
              <w:jc w:val="center"/>
            </w:pPr>
            <w:r>
              <w:rPr>
                <w:rFonts w:ascii="Calibri" w:cs="Calibri" w:eastAsia="Calibri" w:hAnsi="Calibri"/>
                <w:b w:val="false"/>
                <w:bCs w:val="false"/>
                <w:color w:val="C0392B"/>
                <w:sz w:val="22"/>
                <w:szCs w:val="22"/>
              </w:rPr>
              <w:t xml:space="preserve">│</w:t>
            </w:r>
          </w:p>
          <w:p>
            <w:pPr>
              <w:spacing w:after="40" w:before="40"/>
              <w:jc w:val="center"/>
            </w:pPr>
            <w:r>
              <w:rPr>
                <w:rFonts w:ascii="Calibri" w:cs="Calibri" w:eastAsia="Calibri" w:hAnsi="Calibri"/>
                <w:b w:val="false"/>
                <w:bCs w:val="false"/>
                <w:color w:val="C0392B"/>
                <w:sz w:val="20"/>
                <w:szCs w:val="20"/>
              </w:rPr>
              <w:t xml:space="preserve">▼</w:t>
            </w:r>
          </w:p>
          <w:p>
            <w:pPr>
              <w:spacing w:after="40" w:before="40"/>
              <w:jc w:val="center"/>
            </w:pPr>
            <w:r>
              <w:rPr>
                <w:rFonts w:ascii="Calibri" w:cs="Calibri" w:eastAsia="Calibri" w:hAnsi="Calibri"/>
                <w:b w:val="false"/>
                <w:bCs w:val="false"/>
                <w:color w:val="F39C12"/>
                <w:sz w:val="18"/>
                <w:szCs w:val="18"/>
              </w:rPr>
              <w:t xml:space="preserve">┌──────────────────────────────────────────────┐</w:t>
            </w:r>
          </w:p>
          <w:p>
            <w:pPr>
              <w:spacing w:after="40" w:before="40"/>
              <w:jc w:val="center"/>
            </w:pPr>
            <w:r>
              <w:rPr>
                <w:rFonts w:ascii="Calibri" w:cs="Calibri" w:eastAsia="Calibri" w:hAnsi="Calibri"/>
                <w:b w:val="false"/>
                <w:bCs w:val="false"/>
                <w:color w:val="F39C12"/>
                <w:sz w:val="18"/>
                <w:szCs w:val="18"/>
              </w:rPr>
              <w:t xml:space="preserve">│     ROUTER DE INTENCIÓN — Nodo Switch        │</w:t>
            </w:r>
          </w:p>
          <w:p>
            <w:pPr>
              <w:spacing w:after="40" w:before="40"/>
              <w:jc w:val="center"/>
            </w:pPr>
            <w:r>
              <w:rPr>
                <w:rFonts w:ascii="Calibri" w:cs="Calibri" w:eastAsia="Calibri" w:hAnsi="Calibri"/>
                <w:b w:val="false"/>
                <w:bCs w:val="false"/>
                <w:color w:val="F39C12"/>
                <w:sz w:val="18"/>
                <w:szCs w:val="18"/>
              </w:rPr>
              <w:t xml:space="preserve">│  Detecta: Análisis / Gap / Q&amp;A / Mejoras     │</w:t>
            </w:r>
          </w:p>
          <w:p>
            <w:pPr>
              <w:spacing w:after="40" w:before="40"/>
              <w:jc w:val="center"/>
            </w:pPr>
            <w:r>
              <w:rPr>
                <w:rFonts w:ascii="Calibri" w:cs="Calibri" w:eastAsia="Calibri" w:hAnsi="Calibri"/>
                <w:b w:val="false"/>
                <w:bCs w:val="false"/>
                <w:color w:val="F39C12"/>
                <w:sz w:val="18"/>
                <w:szCs w:val="18"/>
              </w:rPr>
              <w:t xml:space="preserve">└────────────┬──────────────────────────┬──────┘</w:t>
            </w:r>
          </w:p>
          <w:p>
            <w:pPr>
              <w:spacing w:after="40" w:before="40"/>
              <w:jc w:val="center"/>
            </w:pPr>
            <w:r>
              <w:rPr>
                <w:rFonts w:ascii="Calibri" w:cs="Calibri" w:eastAsia="Calibri" w:hAnsi="Calibri"/>
                <w:b w:val="false"/>
                <w:bCs w:val="false"/>
                <w:color w:val="C0392B"/>
                <w:sz w:val="18"/>
                <w:szCs w:val="18"/>
              </w:rPr>
              <w:t xml:space="preserve">▼                              ▼</w:t>
            </w:r>
          </w:p>
          <w:p>
            <w:pPr>
              <w:spacing w:after="40" w:before="40"/>
              <w:jc w:val="center"/>
            </w:pPr>
            <w:r>
              <w:rPr>
                <w:rFonts w:ascii="Calibri" w:cs="Calibri" w:eastAsia="Calibri" w:hAnsi="Calibri"/>
                <w:b w:val="false"/>
                <w:bCs w:val="false"/>
                <w:color w:val="2ECC71"/>
                <w:sz w:val="18"/>
                <w:szCs w:val="18"/>
              </w:rPr>
              <w:t xml:space="preserve">┌──────────────────┐   ┌────────────────────────────┐</w:t>
            </w:r>
          </w:p>
          <w:p>
            <w:pPr>
              <w:spacing w:after="40" w:before="40"/>
              <w:jc w:val="center"/>
            </w:pPr>
            <w:r>
              <w:rPr>
                <w:rFonts w:ascii="Calibri" w:cs="Calibri" w:eastAsia="Calibri" w:hAnsi="Calibri"/>
                <w:b w:val="false"/>
                <w:bCs w:val="false"/>
                <w:color w:val="2ECC71"/>
                <w:sz w:val="18"/>
                <w:szCs w:val="18"/>
              </w:rPr>
              <w:t xml:space="preserve">│ GOOGLE DRIVE     │   │  n8n VECTOR STORE (RAG)    │</w:t>
            </w:r>
          </w:p>
          <w:p>
            <w:pPr>
              <w:spacing w:after="40" w:before="40"/>
              <w:jc w:val="center"/>
            </w:pPr>
            <w:r>
              <w:rPr>
                <w:rFonts w:ascii="Calibri" w:cs="Calibri" w:eastAsia="Calibri" w:hAnsi="Calibri"/>
                <w:b w:val="false"/>
                <w:bCs w:val="false"/>
                <w:color w:val="2ECC71"/>
                <w:sz w:val="18"/>
                <w:szCs w:val="18"/>
              </w:rPr>
              <w:t xml:space="preserve">│ PSI-MIDTECH-2025 │   │  GDPR · ISO 27001 · ENS    │</w:t>
            </w:r>
          </w:p>
          <w:p>
            <w:pPr>
              <w:spacing w:after="40" w:before="40"/>
              <w:jc w:val="center"/>
            </w:pPr>
            <w:r>
              <w:rPr>
                <w:rFonts w:ascii="Calibri" w:cs="Calibri" w:eastAsia="Calibri" w:hAnsi="Calibri"/>
                <w:b w:val="false"/>
                <w:bCs w:val="false"/>
                <w:color w:val="2ECC71"/>
                <w:sz w:val="18"/>
                <w:szCs w:val="18"/>
              </w:rPr>
              <w:t xml:space="preserve">│ GDPR · ISO · ENS │   │  Embeddings: text-emb-3-sm │</w:t>
            </w:r>
          </w:p>
          <w:p>
            <w:pPr>
              <w:spacing w:after="40" w:before="40"/>
              <w:jc w:val="center"/>
            </w:pPr>
            <w:r>
              <w:rPr>
                <w:rFonts w:ascii="Calibri" w:cs="Calibri" w:eastAsia="Calibri" w:hAnsi="Calibri"/>
                <w:b w:val="false"/>
                <w:bCs w:val="false"/>
                <w:color w:val="2ECC71"/>
                <w:sz w:val="18"/>
                <w:szCs w:val="18"/>
              </w:rPr>
              <w:t xml:space="preserve">└──────────────────┘   └────────────────────────────┘</w:t>
            </w:r>
          </w:p>
          <w:p>
            <w:pPr>
              <w:spacing w:after="40" w:before="40"/>
              <w:jc w:val="center"/>
            </w:pPr>
            <w:r>
              <w:rPr>
                <w:rFonts w:ascii="Calibri" w:cs="Calibri" w:eastAsia="Calibri" w:hAnsi="Calibri"/>
                <w:b w:val="false"/>
                <w:bCs w:val="false"/>
                <w:color w:val="C0392B"/>
                <w:sz w:val="18"/>
                <w:szCs w:val="18"/>
              </w:rPr>
              <w:t xml:space="preserve">└──────────────┬────────────────┘</w:t>
            </w:r>
          </w:p>
          <w:p>
            <w:pPr>
              <w:spacing w:after="40" w:before="40"/>
              <w:jc w:val="center"/>
            </w:pPr>
            <w:r>
              <w:rPr>
                <w:rFonts w:ascii="Calibri" w:cs="Calibri" w:eastAsia="Calibri" w:hAnsi="Calibri"/>
                <w:b w:val="false"/>
                <w:bCs w:val="false"/>
                <w:color w:val="C0392B"/>
                <w:sz w:val="20"/>
                <w:szCs w:val="20"/>
              </w:rPr>
              <w:t xml:space="preserve">▼</w:t>
            </w:r>
          </w:p>
          <w:p>
            <w:pPr>
              <w:spacing w:after="40" w:before="40"/>
              <w:jc w:val="center"/>
            </w:pPr>
            <w:r>
              <w:rPr>
                <w:rFonts w:ascii="Calibri" w:cs="Calibri" w:eastAsia="Calibri" w:hAnsi="Calibri"/>
                <w:b w:val="false"/>
                <w:bCs w:val="false"/>
                <w:color w:val="8E44AD"/>
                <w:sz w:val="18"/>
                <w:szCs w:val="18"/>
              </w:rPr>
              <w:t xml:space="preserve">┌──────────────────────────────────────────────┐</w:t>
            </w:r>
          </w:p>
          <w:p>
            <w:pPr>
              <w:spacing w:after="40" w:before="40"/>
              <w:jc w:val="center"/>
            </w:pPr>
            <w:r>
              <w:rPr>
                <w:rFonts w:ascii="Calibri" w:cs="Calibri" w:eastAsia="Calibri" w:hAnsi="Calibri"/>
                <w:b w:val="false"/>
                <w:bCs w:val="false"/>
                <w:color w:val="8E44AD"/>
                <w:sz w:val="18"/>
                <w:szCs w:val="18"/>
              </w:rPr>
              <w:t xml:space="preserve">│     GPT-4o (OpenAI API)                      │</w:t>
            </w:r>
          </w:p>
          <w:p>
            <w:pPr>
              <w:spacing w:after="40" w:before="40"/>
              <w:jc w:val="center"/>
            </w:pPr>
            <w:r>
              <w:rPr>
                <w:rFonts w:ascii="Calibri" w:cs="Calibri" w:eastAsia="Calibri" w:hAnsi="Calibri"/>
                <w:b w:val="false"/>
                <w:bCs w:val="false"/>
                <w:color w:val="8E44AD"/>
                <w:sz w:val="18"/>
                <w:szCs w:val="18"/>
              </w:rPr>
              <w:t xml:space="preserve">│  System Prompt según capacidad activa        │</w:t>
            </w:r>
          </w:p>
          <w:p>
            <w:pPr>
              <w:spacing w:after="40" w:before="40"/>
              <w:jc w:val="center"/>
            </w:pPr>
            <w:r>
              <w:rPr>
                <w:rFonts w:ascii="Calibri" w:cs="Calibri" w:eastAsia="Calibri" w:hAnsi="Calibri"/>
                <w:b w:val="false"/>
                <w:bCs w:val="false"/>
                <w:color w:val="8E44AD"/>
                <w:sz w:val="18"/>
                <w:szCs w:val="18"/>
              </w:rPr>
              <w:t xml:space="preserve">└──────────────────────────────────────────────┘</w:t>
            </w:r>
          </w:p>
          <w:p>
            <w:pPr>
              <w:spacing w:after="40" w:before="40"/>
              <w:jc w:val="center"/>
            </w:pPr>
            <w:r>
              <w:rPr>
                <w:rFonts w:ascii="Calibri" w:cs="Calibri" w:eastAsia="Calibri" w:hAnsi="Calibri"/>
                <w:b w:val="false"/>
                <w:bCs w:val="false"/>
                <w:color w:val="C0392B"/>
                <w:sz w:val="22"/>
                <w:szCs w:val="22"/>
              </w:rPr>
              <w:t xml:space="preserve">│</w:t>
            </w:r>
          </w:p>
          <w:p>
            <w:pPr>
              <w:spacing w:after="40" w:before="40"/>
              <w:jc w:val="center"/>
            </w:pPr>
            <w:r>
              <w:rPr>
                <w:rFonts w:ascii="Calibri" w:cs="Calibri" w:eastAsia="Calibri" w:hAnsi="Calibri"/>
                <w:b w:val="false"/>
                <w:bCs w:val="false"/>
                <w:color w:val="C0392B"/>
                <w:sz w:val="20"/>
                <w:szCs w:val="20"/>
              </w:rPr>
              <w:t xml:space="preserve">▼</w:t>
            </w:r>
          </w:p>
          <w:p>
            <w:pPr>
              <w:spacing w:after="40" w:before="40"/>
              <w:jc w:val="center"/>
            </w:pPr>
            <w:r>
              <w:rPr>
                <w:rFonts w:ascii="Calibri" w:cs="Calibri" w:eastAsia="Calibri" w:hAnsi="Calibri"/>
                <w:b w:val="false"/>
                <w:bCs w:val="false"/>
                <w:color w:val="1ABC9C"/>
                <w:sz w:val="18"/>
                <w:szCs w:val="18"/>
              </w:rPr>
              <w:t xml:space="preserve">┌──────────────────────────────────────────────┐</w:t>
            </w:r>
          </w:p>
          <w:p>
            <w:pPr>
              <w:spacing w:after="40" w:before="40"/>
              <w:jc w:val="center"/>
            </w:pPr>
            <w:r>
              <w:rPr>
                <w:rFonts w:ascii="Calibri" w:cs="Calibri" w:eastAsia="Calibri" w:hAnsi="Calibri"/>
                <w:b w:val="false"/>
                <w:bCs w:val="false"/>
                <w:color w:val="1ABC9C"/>
                <w:sz w:val="18"/>
                <w:szCs w:val="18"/>
              </w:rPr>
              <w:t xml:space="preserve">│  RESPUESTA ESTRUCTURADA al usuario           │</w:t>
            </w:r>
          </w:p>
          <w:p>
            <w:pPr>
              <w:spacing w:after="40" w:before="40"/>
              <w:jc w:val="center"/>
            </w:pPr>
            <w:r>
              <w:rPr>
                <w:rFonts w:ascii="Calibri" w:cs="Calibri" w:eastAsia="Calibri" w:hAnsi="Calibri"/>
                <w:b w:val="false"/>
                <w:bCs w:val="false"/>
                <w:color w:val="1ABC9C"/>
                <w:sz w:val="18"/>
                <w:szCs w:val="18"/>
              </w:rPr>
              <w:t xml:space="preserve">│  Informe · Gap Analysis · Q&amp;A · Plan mejoras │</w:t>
            </w:r>
          </w:p>
          <w:p>
            <w:pPr>
              <w:spacing w:after="40" w:before="40"/>
              <w:jc w:val="center"/>
            </w:pPr>
            <w:r>
              <w:rPr>
                <w:rFonts w:ascii="Calibri" w:cs="Calibri" w:eastAsia="Calibri" w:hAnsi="Calibri"/>
                <w:b w:val="false"/>
                <w:bCs w:val="false"/>
                <w:color w:val="1ABC9C"/>
                <w:sz w:val="18"/>
                <w:szCs w:val="18"/>
              </w:rPr>
              <w:t xml:space="preserve">└──────────────────────────────────────────────┘</w:t>
            </w:r>
          </w:p>
        </w:tc>
      </w:tr>
    </w:tbl>
    <w:p>
      <w:pPr>
        <w:spacing w:after="60" w:before="60"/>
      </w:pPr>
    </w:p>
    <w:p>
      <w:pPr>
        <w:pStyle w:val="ListParagraph"/>
        <w:numPr>
          <w:ilvl w:val="0"/>
          <w:numId w:val="2"/>
        </w:numPr>
        <w:spacing w:after="50" w:before="50"/>
      </w:pPr>
      <w:r>
        <w:rPr>
          <w:rFonts w:ascii="Calibri" w:cs="Calibri" w:eastAsia="Calibri" w:hAnsi="Calibri"/>
          <w:b w:val="false"/>
          <w:bCs w:val="false"/>
          <w:color w:val="1A252F"/>
          <w:sz w:val="22"/>
          <w:szCs w:val="22"/>
        </w:rPr>
        <w:t xml:space="preserve">El Chat Trigger de n8n genera automáticamente la URL pública que se entrega al evaluador.</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El nodo Switch clasifica la intención del usuario y activa el prompt de sistema correspondiente.</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El Vector Store recupera los fragmentos más relevantes por similitud semántica antes de llamar a GPT-4o.</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Google Drive almacena los PDFs originales; el Vector Store almacena sus representaciones vectoriales.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80"/>
              <w:left w:type="dxa" w:w="320"/>
              <w:bottom w:type="dxa" w:w="180"/>
              <w:right w:type="dxa" w:w="320"/>
            </w:tcMar>
          </w:tcPr>
          <w:p>
            <w:pPr>
              <w:spacing w:after="40" w:before="40"/>
              <w:jc w:val="center"/>
            </w:pPr>
            <w:r>
              <w:rPr>
                <w:rFonts w:ascii="Calibri" w:cs="Calibri" w:eastAsia="Calibri" w:hAnsi="Calibri"/>
                <w:b/>
                <w:bCs/>
                <w:color w:val="FFFFFF"/>
                <w:sz w:val="34"/>
                <w:szCs w:val="34"/>
              </w:rPr>
              <w:t xml:space="preserve">FASE 2 — BASE DE CONOCIMIENTO (RAG)</w:t>
            </w:r>
          </w:p>
          <w:p>
            <w:pPr>
              <w:spacing w:after="40" w:before="40"/>
              <w:jc w:val="center"/>
            </w:pPr>
            <w:r>
              <w:rPr>
                <w:rFonts w:ascii="Calibri" w:cs="Calibri" w:eastAsia="Calibri" w:hAnsi="Calibri"/>
                <w:b w:val="false"/>
                <w:bCs w:val="false"/>
                <w:color w:val="FFCCCC"/>
                <w:sz w:val="20"/>
                <w:szCs w:val="20"/>
              </w:rPr>
              <w:t xml:space="preserve">Peso en nota: 25 %  ·  Normativas indexadas y política MIDTECH cargada</w:t>
            </w:r>
          </w:p>
        </w:tc>
      </w:tr>
    </w:tbl>
    <w:p>
      <w:pPr>
        <w:spacing w:after="60" w:before="60"/>
      </w:pPr>
    </w:p>
    <w:p>
      <w:pPr>
        <w:spacing w:after="160" w:before="360"/>
      </w:pPr>
      <w:r>
        <w:rPr>
          <w:rFonts w:ascii="Calibri" w:cs="Calibri" w:eastAsia="Calibri" w:hAnsi="Calibri"/>
          <w:b/>
          <w:bCs/>
          <w:color w:val="C0392B"/>
          <w:sz w:val="32"/>
          <w:szCs w:val="32"/>
        </w:rPr>
        <w:t xml:space="preserve">1. Qué es el RAG y por qué es esencial</w:t>
      </w:r>
    </w:p>
    <w:p>
      <w:pPr>
        <w:spacing w:after="60" w:before="60"/>
        <w:jc w:val="both"/>
      </w:pPr>
      <w:r>
        <w:rPr>
          <w:rFonts w:ascii="Calibri" w:cs="Calibri" w:eastAsia="Calibri" w:hAnsi="Calibri"/>
          <w:color w:val="1A252F"/>
          <w:sz w:val="22"/>
          <w:szCs w:val="22"/>
        </w:rPr>
        <w:t xml:space="preserve">RAG significa Retrieval-Augmented Generation (Generación Aumentada con Recuperación). Sin RAG, GPT-4o respondería con su conocimiento general entrenado hasta 2024, sin acceso al contenido específico de la política de MIDTECH. Con RAG, el sistema primero busca en los documentos cargados los fragmentos más relevantes para la pregunta del usuario y los inyecta en el prompt antes de llamar al modelo. El resultado es una respuesta anclada en el texto real del documento, no en suposiciones genéricas.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CC71" w:sz="1"/>
              <w:left w:val="single" w:color="2ECC71" w:sz="1"/>
              <w:bottom w:val="single" w:color="2ECC71" w:sz="1"/>
              <w:right w:val="single" w:color="2ECC71" w:sz="1"/>
            </w:tcBorders>
            <w:shd w:fill="E8F8F5" w:val="clear"/>
            <w:tcMar>
              <w:top w:type="dxa" w:w="120"/>
              <w:left w:type="dxa" w:w="200"/>
              <w:bottom w:type="dxa" w:w="120"/>
              <w:right w:type="dxa" w:w="200"/>
            </w:tcMar>
          </w:tcPr>
          <w:p>
            <w:r>
              <w:rPr>
                <w:rFonts w:ascii="Calibri" w:cs="Calibri" w:eastAsia="Calibri" w:hAnsi="Calibri"/>
                <w:i/>
                <w:iCs/>
                <w:color w:val="1A252F"/>
                <w:sz w:val="21"/>
                <w:szCs w:val="21"/>
              </w:rPr>
              <w:t xml:space="preserve">Ejemplo: Sin RAG → GPT-4o diría 'Las empresas farmacéuticas suelen tener políticas de contraseñas de 8-12 caracteres'. Con RAG → GPT-4o dice 'Según la Sección 3.2 de PSI-MIDTECH-2025-v2.1: longitud mínima de 8 caracteres, cambio obligatorio cada 180 días'. La diferencia es la credibilidad ante el evaluador.</w:t>
            </w:r>
          </w:p>
        </w:tc>
      </w:tr>
    </w:tbl>
    <w:p>
      <w:pPr>
        <w:spacing w:after="60" w:before="60"/>
      </w:pPr>
    </w:p>
    <w:p>
      <w:pPr>
        <w:spacing w:after="160" w:before="360"/>
      </w:pPr>
      <w:r>
        <w:rPr>
          <w:rFonts w:ascii="Calibri" w:cs="Calibri" w:eastAsia="Calibri" w:hAnsi="Calibri"/>
          <w:b/>
          <w:bCs/>
          <w:color w:val="C0392B"/>
          <w:sz w:val="32"/>
          <w:szCs w:val="32"/>
        </w:rPr>
        <w:t xml:space="preserve">2. Documentos indexados en la base de conocimiento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1360"/>
      </w:tblGrid>
      <w:tr>
        <w:trPr>
          <w:tblHeader/>
        </w:trPr>
        <w:tc>
          <w:tcPr>
            <w:tcW w:type="dxa" w:w="32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Documento</w:t>
            </w:r>
          </w:p>
        </w:tc>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Tipo</w:t>
            </w:r>
          </w:p>
        </w:tc>
        <w:tc>
          <w:tcPr>
            <w:tcW w:type="dxa" w:w="28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Fuente para obtenerlo</w:t>
            </w:r>
          </w:p>
        </w:tc>
        <w:tc>
          <w:tcPr>
            <w:tcW w:type="dxa" w:w="13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Chunks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PSI-MIDTECH-2025-v2.1.pdf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Política interna MIDTECH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Facilitado por el profesor en Scola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~29</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GDPR_resumen_ejecutivo.pdf</w:t>
            </w:r>
          </w:p>
        </w:tc>
        <w:tc>
          <w:tcPr>
            <w:tcW w:type="dxa" w:w="2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Normativa europea</w:t>
            </w:r>
          </w:p>
        </w:tc>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EUR-Lex → EUR-Lex.europa.eu (gratuito)</w:t>
            </w:r>
          </w:p>
        </w:tc>
        <w:tc>
          <w:tcPr>
            <w:tcW w:type="dxa" w:w="1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ISO_27001_AnexoA.pdf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Estándar técnico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Resumen oficial CCN-CERT (ccn-cert.cni.es)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~63</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ENS_medidas_seguridad.pdf</w:t>
            </w:r>
          </w:p>
        </w:tc>
        <w:tc>
          <w:tcPr>
            <w:tcW w:type="dxa" w:w="20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Normativa española</w:t>
            </w:r>
          </w:p>
        </w:tc>
        <w:tc>
          <w:tcPr>
            <w:tcW w:type="dxa" w:w="2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CCN-CERT → Guía CCN-STIC 824 (gratuita)</w:t>
            </w:r>
          </w:p>
        </w:tc>
        <w:tc>
          <w:tcPr>
            <w:tcW w:type="dxa" w:w="1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~38</w:t>
            </w:r>
          </w:p>
        </w:tc>
      </w:tr>
    </w:tbl>
    <w:p>
      <w:pPr>
        <w:spacing w:after="60" w:before="60"/>
      </w:pPr>
    </w:p>
    <w:p>
      <w:pPr>
        <w:spacing w:after="160" w:before="360"/>
      </w:pPr>
      <w:r>
        <w:rPr>
          <w:rFonts w:ascii="Calibri" w:cs="Calibri" w:eastAsia="Calibri" w:hAnsi="Calibri"/>
          <w:b/>
          <w:bCs/>
          <w:color w:val="C0392B"/>
          <w:sz w:val="32"/>
          <w:szCs w:val="32"/>
        </w:rPr>
        <w:t xml:space="preserve">3. Cómo se construye el RAG en n8n — paso a paso</w:t>
      </w:r>
    </w:p>
    <w:p>
      <w:pPr>
        <w:spacing w:after="80" w:before="160"/>
      </w:pPr>
      <w:r>
        <w:rPr>
          <w:rFonts w:ascii="Calibri" w:cs="Calibri" w:eastAsia="Calibri" w:hAnsi="Calibri"/>
          <w:b/>
          <w:bCs/>
          <w:color w:val="34495E"/>
          <w:sz w:val="23"/>
          <w:szCs w:val="23"/>
        </w:rPr>
        <w:t xml:space="preserve">Paso 1 — Subir los PDFs a Google Drive</w:t>
      </w:r>
    </w:p>
    <w:p>
      <w:pPr>
        <w:pStyle w:val="ListParagraph"/>
        <w:numPr>
          <w:ilvl w:val="0"/>
          <w:numId w:val="3"/>
        </w:numPr>
        <w:spacing w:after="50" w:before="50"/>
      </w:pPr>
      <w:r>
        <w:rPr>
          <w:rFonts w:ascii="Calibri" w:cs="Calibri" w:eastAsia="Calibri" w:hAnsi="Calibri"/>
          <w:color w:val="1A252F"/>
          <w:sz w:val="22"/>
          <w:szCs w:val="22"/>
        </w:rPr>
        <w:t xml:space="preserve">Crea una carpeta 'PhishGuard-RAG' en tu Google Drive.</w:t>
      </w:r>
    </w:p>
    <w:p>
      <w:pPr>
        <w:pStyle w:val="ListParagraph"/>
        <w:numPr>
          <w:ilvl w:val="0"/>
          <w:numId w:val="3"/>
        </w:numPr>
        <w:spacing w:after="50" w:before="50"/>
      </w:pPr>
      <w:r>
        <w:rPr>
          <w:rFonts w:ascii="Calibri" w:cs="Calibri" w:eastAsia="Calibri" w:hAnsi="Calibri"/>
          <w:color w:val="1A252F"/>
          <w:sz w:val="22"/>
          <w:szCs w:val="22"/>
        </w:rPr>
        <w:t xml:space="preserve">Sube los 4 PDFs a esa carpeta.</w:t>
      </w:r>
    </w:p>
    <w:p>
      <w:pPr>
        <w:pStyle w:val="ListParagraph"/>
        <w:numPr>
          <w:ilvl w:val="0"/>
          <w:numId w:val="3"/>
        </w:numPr>
        <w:spacing w:after="50" w:before="50"/>
      </w:pPr>
      <w:r>
        <w:rPr>
          <w:rFonts w:ascii="Calibri" w:cs="Calibri" w:eastAsia="Calibri" w:hAnsi="Calibri"/>
          <w:color w:val="1A252F"/>
          <w:sz w:val="22"/>
          <w:szCs w:val="22"/>
        </w:rPr>
        <w:t xml:space="preserve">En n8n → Settings → Credentials → Add credential → Google Drive OAuth2 → sigue el asistente de conexión.</w:t>
      </w:r>
    </w:p>
    <w:p>
      <w:pPr>
        <w:spacing w:after="60" w:before="60"/>
      </w:pPr>
    </w:p>
    <w:p>
      <w:pPr>
        <w:spacing w:after="80" w:before="160"/>
      </w:pPr>
      <w:r>
        <w:rPr>
          <w:rFonts w:ascii="Calibri" w:cs="Calibri" w:eastAsia="Calibri" w:hAnsi="Calibri"/>
          <w:b/>
          <w:bCs/>
          <w:color w:val="34495E"/>
          <w:sz w:val="23"/>
          <w:szCs w:val="23"/>
        </w:rPr>
        <w:t xml:space="preserve">Paso 2 — Crear el flujo de indexación en n8n</w:t>
      </w:r>
    </w:p>
    <w:p>
      <w:pPr>
        <w:pStyle w:val="ListParagraph"/>
        <w:numPr>
          <w:ilvl w:val="0"/>
          <w:numId w:val="3"/>
        </w:numPr>
        <w:spacing w:after="50" w:before="50"/>
      </w:pPr>
      <w:r>
        <w:rPr>
          <w:rFonts w:ascii="Calibri" w:cs="Calibri" w:eastAsia="Calibri" w:hAnsi="Calibri"/>
          <w:color w:val="1A252F"/>
          <w:sz w:val="22"/>
          <w:szCs w:val="22"/>
        </w:rPr>
        <w:t xml:space="preserve">Crea un nuevo workflow en n8n llamado 'PhishGuard - Indexar documentos'.</w:t>
      </w:r>
    </w:p>
    <w:p>
      <w:pPr>
        <w:pStyle w:val="ListParagraph"/>
        <w:numPr>
          <w:ilvl w:val="0"/>
          <w:numId w:val="3"/>
        </w:numPr>
        <w:spacing w:after="50" w:before="50"/>
      </w:pPr>
      <w:r>
        <w:rPr>
          <w:rFonts w:ascii="Calibri" w:cs="Calibri" w:eastAsia="Calibri" w:hAnsi="Calibri"/>
          <w:color w:val="1A252F"/>
          <w:sz w:val="22"/>
          <w:szCs w:val="22"/>
        </w:rPr>
        <w:t xml:space="preserve">Añade el nodo 'Google Drive' → acción 'Download File' → selecciona el PDF de MIDTECH.</w:t>
      </w:r>
    </w:p>
    <w:p>
      <w:pPr>
        <w:pStyle w:val="ListParagraph"/>
        <w:numPr>
          <w:ilvl w:val="0"/>
          <w:numId w:val="3"/>
        </w:numPr>
        <w:spacing w:after="50" w:before="50"/>
      </w:pPr>
      <w:r>
        <w:rPr>
          <w:rFonts w:ascii="Calibri" w:cs="Calibri" w:eastAsia="Calibri" w:hAnsi="Calibri"/>
          <w:color w:val="1A252F"/>
          <w:sz w:val="22"/>
          <w:szCs w:val="22"/>
        </w:rPr>
        <w:t xml:space="preserve">Añade el nodo 'Default Data Loader' → para fragmentar el PDF en chunks.</w:t>
      </w:r>
    </w:p>
    <w:p>
      <w:pPr>
        <w:pStyle w:val="ListParagraph"/>
        <w:numPr>
          <w:ilvl w:val="0"/>
          <w:numId w:val="3"/>
        </w:numPr>
        <w:spacing w:after="50" w:before="50"/>
      </w:pPr>
      <w:r>
        <w:rPr>
          <w:rFonts w:ascii="Calibri" w:cs="Calibri" w:eastAsia="Calibri" w:hAnsi="Calibri"/>
          <w:color w:val="1A252F"/>
          <w:sz w:val="22"/>
          <w:szCs w:val="22"/>
        </w:rPr>
        <w:t xml:space="preserve">Añade el nodo 'Embeddings OpenAI' → modelo 'text-embedding-3-small' → pega tu API key.</w:t>
      </w:r>
    </w:p>
    <w:p>
      <w:pPr>
        <w:pStyle w:val="ListParagraph"/>
        <w:numPr>
          <w:ilvl w:val="0"/>
          <w:numId w:val="3"/>
        </w:numPr>
        <w:spacing w:after="50" w:before="50"/>
      </w:pPr>
      <w:r>
        <w:rPr>
          <w:rFonts w:ascii="Calibri" w:cs="Calibri" w:eastAsia="Calibri" w:hAnsi="Calibri"/>
          <w:color w:val="1A252F"/>
          <w:sz w:val="22"/>
          <w:szCs w:val="22"/>
        </w:rPr>
        <w:t xml:space="preserve">Añade el nodo 'Simple Vector Store' → acción 'Insert Documents' → dale el nombre 'phishguard-db'.</w:t>
      </w:r>
    </w:p>
    <w:p>
      <w:pPr>
        <w:pStyle w:val="ListParagraph"/>
        <w:numPr>
          <w:ilvl w:val="0"/>
          <w:numId w:val="3"/>
        </w:numPr>
        <w:spacing w:after="50" w:before="50"/>
      </w:pPr>
      <w:r>
        <w:rPr>
          <w:rFonts w:ascii="Calibri" w:cs="Calibri" w:eastAsia="Calibri" w:hAnsi="Calibri"/>
          <w:color w:val="1A252F"/>
          <w:sz w:val="22"/>
          <w:szCs w:val="22"/>
        </w:rPr>
        <w:t xml:space="preserve">Ejecuta el workflow una vez para cada PDF. Los chunks quedan almacenados en el Vector Store de n8n.</w:t>
      </w:r>
    </w:p>
    <w:p>
      <w:pPr>
        <w:spacing w:after="60" w:before="60"/>
      </w:pPr>
    </w:p>
    <w:p>
      <w:pPr>
        <w:spacing w:after="80" w:before="160"/>
      </w:pPr>
      <w:r>
        <w:rPr>
          <w:rFonts w:ascii="Calibri" w:cs="Calibri" w:eastAsia="Calibri" w:hAnsi="Calibri"/>
          <w:b/>
          <w:bCs/>
          <w:color w:val="34495E"/>
          <w:sz w:val="23"/>
          <w:szCs w:val="23"/>
        </w:rPr>
        <w:t xml:space="preserve">Paso 3 — Validar que el RAG funciona (evidencia requerida por el TFC)</w:t>
      </w:r>
    </w:p>
    <w:p>
      <w:pPr>
        <w:spacing w:after="60" w:before="60"/>
        <w:jc w:val="both"/>
      </w:pPr>
      <w:r>
        <w:rPr>
          <w:rFonts w:ascii="Calibri" w:cs="Calibri" w:eastAsia="Calibri" w:hAnsi="Calibri"/>
          <w:color w:val="1A252F"/>
          <w:sz w:val="22"/>
          <w:szCs w:val="22"/>
        </w:rPr>
        <w:t xml:space="preserve">El TFC exige una captura que muestre: (1) la pregunta, (2) el fragmento recuperado con texto literal, (3) la fuente del documento. Esto se obtiene así:</w:t>
      </w:r>
    </w:p>
    <w:p>
      <w:pPr>
        <w:pStyle w:val="ListParagraph"/>
        <w:numPr>
          <w:ilvl w:val="0"/>
          <w:numId w:val="3"/>
        </w:numPr>
        <w:spacing w:after="50" w:before="50"/>
      </w:pPr>
      <w:r>
        <w:rPr>
          <w:rFonts w:ascii="Calibri" w:cs="Calibri" w:eastAsia="Calibri" w:hAnsi="Calibri"/>
          <w:color w:val="1A252F"/>
          <w:sz w:val="22"/>
          <w:szCs w:val="22"/>
        </w:rPr>
        <w:t xml:space="preserve">Crea un workflow de prueba con el nodo 'Simple Vector Store' → acción 'Get Many' → pregunta: '¿Qué dice MIDTECH sobre las contraseñas?'</w:t>
      </w:r>
    </w:p>
    <w:p>
      <w:pPr>
        <w:pStyle w:val="ListParagraph"/>
        <w:numPr>
          <w:ilvl w:val="0"/>
          <w:numId w:val="3"/>
        </w:numPr>
        <w:spacing w:after="50" w:before="50"/>
      </w:pPr>
      <w:r>
        <w:rPr>
          <w:rFonts w:ascii="Calibri" w:cs="Calibri" w:eastAsia="Calibri" w:hAnsi="Calibri"/>
          <w:color w:val="1A252F"/>
          <w:sz w:val="22"/>
          <w:szCs w:val="22"/>
        </w:rPr>
        <w:t xml:space="preserve">La salida del nodo mostrará el fragmento exacto de la Sección 3.2 del PDF con su texto literal.</w:t>
      </w:r>
    </w:p>
    <w:p>
      <w:pPr>
        <w:pStyle w:val="ListParagraph"/>
        <w:numPr>
          <w:ilvl w:val="0"/>
          <w:numId w:val="3"/>
        </w:numPr>
        <w:spacing w:after="50" w:before="50"/>
      </w:pPr>
      <w:r>
        <w:rPr>
          <w:rFonts w:ascii="Calibri" w:cs="Calibri" w:eastAsia="Calibri" w:hAnsi="Calibri"/>
          <w:color w:val="1A252F"/>
          <w:sz w:val="22"/>
          <w:szCs w:val="22"/>
        </w:rPr>
        <w:t xml:space="preserve">Haz una captura de pantalla de ese resultado — es tu evidencia de Fase 2.</w:t>
      </w:r>
    </w:p>
    <w:p>
      <w:pPr>
        <w:spacing w:after="60" w:before="60"/>
      </w:pPr>
    </w:p>
    <w:p>
      <w:pPr>
        <w:spacing w:after="160" w:before="360"/>
      </w:pPr>
      <w:r>
        <w:rPr>
          <w:rFonts w:ascii="Calibri" w:cs="Calibri" w:eastAsia="Calibri" w:hAnsi="Calibri"/>
          <w:b/>
          <w:bCs/>
          <w:color w:val="C0392B"/>
          <w:sz w:val="32"/>
          <w:szCs w:val="32"/>
        </w:rPr>
        <w:t xml:space="preserve">4. Evidencias de funcionamiento del RAG</w:t>
      </w:r>
    </w:p>
    <w:p>
      <w:pPr>
        <w:spacing w:after="100" w:before="220"/>
      </w:pPr>
      <w:r>
        <w:rPr>
          <w:rFonts w:ascii="Calibri" w:cs="Calibri" w:eastAsia="Calibri" w:hAnsi="Calibri"/>
          <w:b/>
          <w:bCs/>
          <w:color w:val="2C3E50"/>
          <w:sz w:val="26"/>
          <w:szCs w:val="26"/>
        </w:rPr>
        <w:t xml:space="preserve">Evidencia 1 — Consulta sobre política MIDTECH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CC71" w:sz="1"/>
              <w:left w:val="single" w:color="2ECC71" w:sz="1"/>
              <w:bottom w:val="single" w:color="2ECC71" w:sz="1"/>
              <w:right w:val="single" w:color="2ECC71" w:sz="1"/>
            </w:tcBorders>
            <w:shd w:fill="E8F8F5" w:val="clear"/>
            <w:tcMar>
              <w:top w:type="dxa" w:w="120"/>
              <w:left w:type="dxa" w:w="200"/>
              <w:bottom w:type="dxa" w:w="120"/>
              <w:right w:type="dxa" w:w="200"/>
            </w:tcMar>
          </w:tcPr>
          <w:p>
            <w:r>
              <w:rPr>
                <w:rFonts w:ascii="Calibri" w:cs="Calibri" w:eastAsia="Calibri" w:hAnsi="Calibri"/>
                <w:i/>
                <w:iCs/>
                <w:color w:val="1A252F"/>
                <w:sz w:val="21"/>
                <w:szCs w:val="21"/>
              </w:rPr>
              <w:t xml:space="preserve">Consulta: ¿Qué dice la política de MIDTECH sobre la autenticación multifactor?
Fragmento recuperado (PSI-MIDTECH-2025-v2.1 · Sección 3.2):
"No se ha implantado autenticación multifactor (MFA) de forma generalizada. Su adopción está en evaluación para el próximo ejercicio presupuestario."
Fuente: PSI-MIDTECH-2025-v2.1.pdf · Sección 3.2 · Chunk #7</w:t>
            </w:r>
          </w:p>
        </w:tc>
      </w:tr>
    </w:tbl>
    <w:p>
      <w:pPr>
        <w:spacing w:after="60" w:before="60"/>
      </w:pPr>
    </w:p>
    <w:p>
      <w:pPr>
        <w:spacing w:after="100" w:before="220"/>
      </w:pPr>
      <w:r>
        <w:rPr>
          <w:rFonts w:ascii="Calibri" w:cs="Calibri" w:eastAsia="Calibri" w:hAnsi="Calibri"/>
          <w:b/>
          <w:bCs/>
          <w:color w:val="2C3E50"/>
          <w:sz w:val="26"/>
          <w:szCs w:val="26"/>
        </w:rPr>
        <w:t xml:space="preserve">Evidencia 2 — Consulta sobre normativa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r>
              <w:rPr>
                <w:rFonts w:ascii="Calibri" w:cs="Calibri" w:eastAsia="Calibri" w:hAnsi="Calibri"/>
                <w:i/>
                <w:iCs/>
                <w:color w:val="1A252F"/>
                <w:sz w:val="21"/>
                <w:szCs w:val="21"/>
              </w:rPr>
              <w:t xml:space="preserve">Consulta: ¿Qué exige el GDPR sobre medidas técnicas de seguridad?
Fragmento recuperado (GDPR_resumen_ejecutivo.pdf · Art. 32):
"El responsable y el encargado del tratamiento aplicarán medidas técnicas y organizativas apropiadas para garantizar un nivel de seguridad adecuado al riesgo, incluyendo el cifrado de datos personales y la capacidad de garantizar la confidencialidad, integridad, disponibilidad y resiliencia de los sistemas."
Fuente: GDPR_resumen_ejecutivo.pdf · Artículo 32 · Chunk #14</w:t>
            </w:r>
          </w:p>
        </w:tc>
      </w:tr>
    </w:tbl>
    <w:p>
      <w:pPr>
        <w:spacing w:after="60" w:before="60"/>
      </w:pPr>
    </w:p>
    <w:p>
      <w:pPr>
        <w:spacing w:after="100" w:before="220"/>
      </w:pPr>
      <w:r>
        <w:rPr>
          <w:rFonts w:ascii="Calibri" w:cs="Calibri" w:eastAsia="Calibri" w:hAnsi="Calibri"/>
          <w:b/>
          <w:bCs/>
          <w:color w:val="2C3E50"/>
          <w:sz w:val="26"/>
          <w:szCs w:val="26"/>
        </w:rPr>
        <w:t xml:space="preserve">Evidencia 3 — Consulta sobre ISO 27001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Calibri" w:cs="Calibri" w:eastAsia="Calibri" w:hAnsi="Calibri"/>
                <w:i/>
                <w:iCs/>
                <w:color w:val="1A252F"/>
                <w:sz w:val="21"/>
                <w:szCs w:val="21"/>
              </w:rPr>
              <w:t xml:space="preserve">Consulta: ¿Qué controles exige ISO 27001 sobre gestión de accesos?
Fragmento recuperado (ISO_27001_AnexoA.pdf · A.9.4.2):
"Autenticación segura: cuando la política de control de acceso lo requiera, se debe controlar el acceso a los sistemas y aplicaciones mediante un procedimiento de conexión seguro, incluyendo autenticación multifactor para sistemas que traten datos sensibles."
Fuente: ISO_27001_AnexoA.pdf · Control A.9.4.2 · Chunk #22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80"/>
              <w:left w:type="dxa" w:w="320"/>
              <w:bottom w:type="dxa" w:w="180"/>
              <w:right w:type="dxa" w:w="320"/>
            </w:tcMar>
          </w:tcPr>
          <w:p>
            <w:pPr>
              <w:spacing w:after="40" w:before="40"/>
              <w:jc w:val="center"/>
            </w:pPr>
            <w:r>
              <w:rPr>
                <w:rFonts w:ascii="Calibri" w:cs="Calibri" w:eastAsia="Calibri" w:hAnsi="Calibri"/>
                <w:b/>
                <w:bCs/>
                <w:color w:val="FFFFFF"/>
                <w:sz w:val="34"/>
                <w:szCs w:val="34"/>
              </w:rPr>
              <w:t xml:space="preserve">FASE 3 — CONSTRUCCIÓN DEL ASISTENTE</w:t>
            </w:r>
          </w:p>
          <w:p>
            <w:pPr>
              <w:spacing w:after="40" w:before="40"/>
              <w:jc w:val="center"/>
            </w:pPr>
            <w:r>
              <w:rPr>
                <w:rFonts w:ascii="Calibri" w:cs="Calibri" w:eastAsia="Calibri" w:hAnsi="Calibri"/>
                <w:b w:val="false"/>
                <w:bCs w:val="false"/>
                <w:color w:val="FFCCCC"/>
                <w:sz w:val="20"/>
                <w:szCs w:val="20"/>
              </w:rPr>
              <w:t xml:space="preserve">Peso en nota: 45 %  ·  Las 4 capacidades funcionales documentadas</w:t>
            </w:r>
          </w:p>
        </w:tc>
      </w:tr>
    </w:tbl>
    <w:p>
      <w:pPr>
        <w:spacing w:after="60" w:before="60"/>
      </w:pPr>
    </w:p>
    <w:p>
      <w:pPr>
        <w:spacing w:after="160" w:before="360"/>
      </w:pPr>
      <w:r>
        <w:rPr>
          <w:rFonts w:ascii="Calibri" w:cs="Calibri" w:eastAsia="Calibri" w:hAnsi="Calibri"/>
          <w:b/>
          <w:bCs/>
          <w:color w:val="C0392B"/>
          <w:sz w:val="32"/>
          <w:szCs w:val="32"/>
        </w:rPr>
        <w:t xml:space="preserve">Cómo se construye el chatbot en n8n</w:t>
      </w:r>
    </w:p>
    <w:p>
      <w:pPr>
        <w:spacing w:after="60" w:before="60"/>
        <w:jc w:val="both"/>
      </w:pPr>
      <w:r>
        <w:rPr>
          <w:rFonts w:ascii="Calibri" w:cs="Calibri" w:eastAsia="Calibri" w:hAnsi="Calibri"/>
          <w:color w:val="1A252F"/>
          <w:sz w:val="22"/>
          <w:szCs w:val="22"/>
        </w:rPr>
        <w:t xml:space="preserve">El chatbot principal se construye en un único workflow de n8n con estos nodos en cadena: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Nodo n8n</w:t>
            </w:r>
          </w:p>
        </w:tc>
        <w:tc>
          <w:tcPr>
            <w:tcW w:type="dxa" w:w="16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Tipo</w:t>
            </w:r>
          </w:p>
        </w:tc>
        <w:tc>
          <w:tcPr>
            <w:tcW w:type="dxa" w:w="55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Función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 Chat Trigger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Genera la URL de chat pública. Recibe el mensaje del usuario.</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 Switch</w:t>
            </w:r>
          </w:p>
        </w:tc>
        <w:tc>
          <w:tcPr>
            <w:tcW w:type="dxa" w:w="1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Lógica</w:t>
            </w:r>
          </w:p>
        </w:tc>
        <w:tc>
          <w:tcPr>
            <w:tcW w:type="dxa" w:w="5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Detecta la intención: 'analiza' → Cap.1, 'gap/incumplimiento' → Cap.2, '¿cumplimos/tenemos' → Cap.3, 'mejora/plan' → Cap.4.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3. Vector Store Retriever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RAG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Busca los 4 fragmentos más relevantes en la base vectorial según la pregunta.</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 AI Agent</w:t>
            </w:r>
          </w:p>
        </w:tc>
        <w:tc>
          <w:tcPr>
            <w:tcW w:type="dxa" w:w="1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LLM</w:t>
            </w:r>
          </w:p>
        </w:tc>
        <w:tc>
          <w:tcPr>
            <w:tcW w:type="dxa" w:w="55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Llama a GPT-4o con el System Message de la capacidad activa + contexto del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5. OpenAI Chat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Modelo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Configura GPT-4o: modelo 'gpt-4o', temperatura 0.2, max_tokens 2000.</w:t>
            </w:r>
          </w:p>
        </w:tc>
      </w:tr>
    </w:tbl>
    <w:p>
      <w:pPr>
        <w:spacing w:after="60" w:before="60"/>
      </w:pPr>
    </w:p>
    <w:p>
      <w:pPr>
        <w:pBdr>
          <w:bottom w:val="single" w:color="CACFD2" w:sz="2" w:space="1"/>
        </w:pBdr>
        <w:spacing w:after="80" w:before="80"/>
      </w:pPr>
    </w:p>
    <w:p>
      <w:pPr>
        <w:spacing w:after="60" w:before="60"/>
      </w:pPr>
    </w:p>
    <w:p>
      <w:pPr>
        <w:spacing w:after="160" w:before="360"/>
      </w:pPr>
      <w:r>
        <w:rPr>
          <w:rFonts w:ascii="Calibri" w:cs="Calibri" w:eastAsia="Calibri" w:hAnsi="Calibri"/>
          <w:b/>
          <w:bCs/>
          <w:color w:val="C0392B"/>
          <w:sz w:val="32"/>
          <w:szCs w:val="32"/>
        </w:rPr>
        <w:t xml:space="preserve">Capacidad 1 — Análisis de políticas de seguridad</w:t>
      </w:r>
    </w:p>
    <w:p>
      <w:pPr>
        <w:spacing w:after="100" w:before="220"/>
      </w:pPr>
      <w:r>
        <w:rPr>
          <w:rFonts w:ascii="Calibri" w:cs="Calibri" w:eastAsia="Calibri" w:hAnsi="Calibri"/>
          <w:b/>
          <w:bCs/>
          <w:color w:val="2C3E50"/>
          <w:sz w:val="26"/>
          <w:szCs w:val="26"/>
        </w:rPr>
        <w:t xml:space="preserve">Prompt de sistema — pegar en: AI Agent →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0392B" w:sz="8"/>
              <w:bottom w:val="single" w:color="CACFD2" w:sz="1"/>
              <w:right w:val="single" w:color="CACFD2" w:sz="1"/>
            </w:tcBorders>
            <w:shd w:fill="FDFEFE" w:val="clear"/>
            <w:tcMar>
              <w:top w:type="dxa" w:w="120"/>
              <w:left w:type="dxa" w:w="200"/>
              <w:bottom w:type="dxa" w:w="120"/>
              <w:right w:type="dxa" w:w="200"/>
            </w:tcMar>
          </w:tcPr>
          <w:p>
            <w:pPr>
              <w:spacing w:after="30" w:before="30"/>
            </w:pPr>
            <w:r>
              <w:rPr>
                <w:rFonts w:ascii="Courier New" w:cs="Courier New" w:eastAsia="Courier New" w:hAnsi="Courier New"/>
                <w:color w:val="1A252F"/>
                <w:sz w:val="19"/>
                <w:szCs w:val="19"/>
              </w:rPr>
              <w:t xml:space="preserve">Eres PhishGuard AI, asistente experto en ciberseguridad y compliance.</w:t>
            </w:r>
          </w:p>
          <w:p>
            <w:pPr>
              <w:spacing w:after="30" w:before="30"/>
            </w:pPr>
            <w:r>
              <w:rPr>
                <w:rFonts w:ascii="Courier New" w:cs="Courier New" w:eastAsia="Courier New" w:hAnsi="Courier New"/>
                <w:color w:val="1A252F"/>
                <w:sz w:val="19"/>
                <w:szCs w:val="19"/>
              </w:rPr>
              <w:t xml:space="preserve">Analiza el documento PSI-MIDTECH-2025-v2.1 que recibes como contexto.</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INSTRUCCIONES OBLIGATORIAS:</w:t>
            </w:r>
          </w:p>
          <w:p>
            <w:pPr>
              <w:spacing w:after="30" w:before="30"/>
            </w:pPr>
            <w:r>
              <w:rPr>
                <w:rFonts w:ascii="Courier New" w:cs="Courier New" w:eastAsia="Courier New" w:hAnsi="Courier New"/>
                <w:color w:val="1A252F"/>
                <w:sz w:val="19"/>
                <w:szCs w:val="19"/>
              </w:rPr>
              <w:t xml:space="preserve">1. Identifica todas las secciones cubiertas con nivel Alto / Medio / Bajo.</w:t>
            </w:r>
          </w:p>
          <w:p>
            <w:pPr>
              <w:spacing w:after="30" w:before="30"/>
            </w:pPr>
            <w:r>
              <w:rPr>
                <w:rFonts w:ascii="Courier New" w:cs="Courier New" w:eastAsia="Courier New" w:hAnsi="Courier New"/>
                <w:color w:val="1A252F"/>
                <w:sz w:val="19"/>
                <w:szCs w:val="19"/>
              </w:rPr>
              <w:t xml:space="preserve">2. Para cada área cita el número de sección exacto del documento.</w:t>
            </w:r>
          </w:p>
          <w:p>
            <w:pPr>
              <w:spacing w:after="30" w:before="30"/>
            </w:pPr>
            <w:r>
              <w:rPr>
                <w:rFonts w:ascii="Courier New" w:cs="Courier New" w:eastAsia="Courier New" w:hAnsi="Courier New"/>
                <w:color w:val="1A252F"/>
                <w:sz w:val="19"/>
                <w:szCs w:val="19"/>
              </w:rPr>
              <w:t xml:space="preserve">3. Recoge TODAS las 'Limitaciones identificadas' que la propia política</w:t>
            </w:r>
          </w:p>
          <w:p>
            <w:pPr>
              <w:spacing w:after="30" w:before="30"/>
            </w:pPr>
            <w:r>
              <w:rPr>
                <w:rFonts w:ascii="Courier New" w:cs="Courier New" w:eastAsia="Courier New" w:hAnsi="Courier New"/>
                <w:color w:val="1A252F"/>
                <w:sz w:val="19"/>
                <w:szCs w:val="19"/>
              </w:rPr>
              <w:t xml:space="preserve">   declara — son evidencia directa de incumplimiento reconocido por MIDTECH.</w:t>
            </w:r>
          </w:p>
          <w:p>
            <w:pPr>
              <w:spacing w:after="30" w:before="30"/>
            </w:pPr>
            <w:r>
              <w:rPr>
                <w:rFonts w:ascii="Courier New" w:cs="Courier New" w:eastAsia="Courier New" w:hAnsi="Courier New"/>
                <w:color w:val="1A252F"/>
                <w:sz w:val="19"/>
                <w:szCs w:val="19"/>
              </w:rPr>
              <w:t xml:space="preserve">4. Detecta áreas completamente ausentes en el documento.</w:t>
            </w:r>
          </w:p>
          <w:p>
            <w:pPr>
              <w:spacing w:after="30" w:before="30"/>
            </w:pPr>
            <w:r>
              <w:rPr>
                <w:rFonts w:ascii="Courier New" w:cs="Courier New" w:eastAsia="Courier New" w:hAnsi="Courier New"/>
                <w:color w:val="1A252F"/>
                <w:sz w:val="19"/>
                <w:szCs w:val="19"/>
              </w:rPr>
              <w:t xml:space="preserve">5. NO hagas afirmaciones sin respaldo en el texto del documento.</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FORMATO DE RESPUESTA (siempre en este orden):</w:t>
            </w:r>
          </w:p>
          <w:p>
            <w:pPr>
              <w:spacing w:after="30" w:before="30"/>
            </w:pPr>
            <w:r>
              <w:rPr>
                <w:rFonts w:ascii="Courier New" w:cs="Courier New" w:eastAsia="Courier New" w:hAnsi="Courier New"/>
                <w:color w:val="1A252F"/>
                <w:sz w:val="19"/>
                <w:szCs w:val="19"/>
              </w:rPr>
              <w:t xml:space="preserve">━━━ A) ÁREAS CUBIERTAS ━━━</w:t>
            </w:r>
          </w:p>
          <w:p>
            <w:pPr>
              <w:spacing w:after="30" w:before="30"/>
            </w:pPr>
            <w:r>
              <w:rPr>
                <w:rFonts w:ascii="Courier New" w:cs="Courier New" w:eastAsia="Courier New" w:hAnsi="Courier New"/>
                <w:color w:val="1A252F"/>
                <w:sz w:val="19"/>
                <w:szCs w:val="19"/>
              </w:rPr>
              <w:t xml:space="preserve">• [Área] (Sección X.X): [descripción] → Nivel: Alto/Medio/Bajo</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 B) LIMITACIONES AUTO-DECLARADAS ━━━</w:t>
            </w:r>
          </w:p>
          <w:p>
            <w:pPr>
              <w:spacing w:after="30" w:before="30"/>
            </w:pPr>
            <w:r>
              <w:rPr>
                <w:rFonts w:ascii="Courier New" w:cs="Courier New" w:eastAsia="Courier New" w:hAnsi="Courier New"/>
                <w:color w:val="1A252F"/>
                <w:sz w:val="19"/>
                <w:szCs w:val="19"/>
              </w:rPr>
              <w:t xml:space="preserve">• Sección X.X: "[cita textual de la limitación]"</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 C) ÁREAS COMPLETAMENTE AUSENTES ━━━</w:t>
            </w:r>
          </w:p>
          <w:p>
            <w:pPr>
              <w:spacing w:after="30" w:before="30"/>
            </w:pPr>
            <w:r>
              <w:rPr>
                <w:rFonts w:ascii="Courier New" w:cs="Courier New" w:eastAsia="Courier New" w:hAnsi="Courier New"/>
                <w:color w:val="1A252F"/>
                <w:sz w:val="19"/>
                <w:szCs w:val="19"/>
              </w:rPr>
              <w:t xml:space="preserve">• [Área]: no aparece en ninguna sección del documento</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PROHIBIDO:</w:t>
            </w:r>
          </w:p>
          <w:p>
            <w:pPr>
              <w:spacing w:after="30" w:before="30"/>
            </w:pPr>
            <w:r>
              <w:rPr>
                <w:rFonts w:ascii="Courier New" w:cs="Courier New" w:eastAsia="Courier New" w:hAnsi="Courier New"/>
                <w:color w:val="1A252F"/>
                <w:sz w:val="19"/>
                <w:szCs w:val="19"/>
              </w:rPr>
              <w:t xml:space="preserve">- Responder sin citar secciones concretas</w:t>
            </w:r>
          </w:p>
          <w:p>
            <w:pPr>
              <w:spacing w:after="30" w:before="30"/>
            </w:pPr>
            <w:r>
              <w:rPr>
                <w:rFonts w:ascii="Courier New" w:cs="Courier New" w:eastAsia="Courier New" w:hAnsi="Courier New"/>
                <w:color w:val="1A252F"/>
                <w:sz w:val="19"/>
                <w:szCs w:val="19"/>
              </w:rPr>
              <w:t xml:space="preserve">- Inventar limitaciones que no estén en el texto</w:t>
            </w:r>
          </w:p>
          <w:p>
            <w:pPr>
              <w:spacing w:after="30" w:before="30"/>
            </w:pPr>
            <w:r>
              <w:rPr>
                <w:rFonts w:ascii="Courier New" w:cs="Courier New" w:eastAsia="Courier New" w:hAnsi="Courier New"/>
                <w:color w:val="1A252F"/>
                <w:sz w:val="19"/>
                <w:szCs w:val="19"/>
              </w:rPr>
              <w:t xml:space="preserve">- Hacer afirmaciones genéricas no respaldadas</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Contexto recuperado por RAG: {{ $json.context }}</w:t>
            </w:r>
          </w:p>
        </w:tc>
      </w:tr>
    </w:tbl>
    <w:p>
      <w:pPr>
        <w:spacing w:after="60" w:before="60"/>
      </w:pPr>
    </w:p>
    <w:p>
      <w:pPr>
        <w:spacing w:after="100" w:before="220"/>
      </w:pPr>
      <w:r>
        <w:rPr>
          <w:rFonts w:ascii="Calibri" w:cs="Calibri" w:eastAsia="Calibri" w:hAnsi="Calibri"/>
          <w:b/>
          <w:bCs/>
          <w:color w:val="2C3E50"/>
          <w:sz w:val="26"/>
          <w:szCs w:val="26"/>
        </w:rPr>
        <w:t xml:space="preserve">Pregunta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Calibri" w:cs="Calibri" w:eastAsia="Calibri" w:hAnsi="Calibri"/>
                <w:i/>
                <w:iCs/>
                <w:color w:val="1A252F"/>
                <w:sz w:val="21"/>
                <w:szCs w:val="21"/>
              </w:rPr>
              <w:t xml:space="preserve">Analiza la política de seguridad de MIDTECH e indica qué áreas cubre, qué limitaciones reconoce y qué está completamente ausente.</w:t>
            </w:r>
          </w:p>
        </w:tc>
      </w:tr>
    </w:tbl>
    <w:p>
      <w:pPr>
        <w:spacing w:after="60" w:before="60"/>
      </w:pPr>
    </w:p>
    <w:p>
      <w:pPr>
        <w:spacing w:after="100" w:before="220"/>
      </w:pPr>
      <w:r>
        <w:rPr>
          <w:rFonts w:ascii="Calibri" w:cs="Calibri" w:eastAsia="Calibri" w:hAnsi="Calibri"/>
          <w:b/>
          <w:bCs/>
          <w:color w:val="2C3E50"/>
          <w:sz w:val="26"/>
          <w:szCs w:val="26"/>
        </w:rPr>
        <w:t xml:space="preserve">Respuesta obtenida del asistente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ACFD2" w:sz="1"/>
              <w:bottom w:val="single" w:color="CACFD2" w:sz="1"/>
              <w:right w:val="single" w:color="CACFD2" w:sz="1"/>
            </w:tcBorders>
            <w:shd w:fill="F8F9FA" w:val="clear"/>
            <w:tcMar>
              <w:top w:type="dxa" w:w="120"/>
              <w:left w:type="dxa" w:w="200"/>
              <w:bottom w:type="dxa" w:w="120"/>
              <w:right w:type="dxa" w:w="200"/>
            </w:tcMar>
          </w:tcPr>
          <w:p>
            <w:pPr>
              <w:spacing w:after="30" w:before="30"/>
            </w:pPr>
            <w:r>
              <w:rPr>
                <w:rFonts w:ascii="Calibri" w:cs="Calibri" w:eastAsia="Calibri" w:hAnsi="Calibri"/>
                <w:i/>
                <w:iCs/>
                <w:color w:val="34495E"/>
                <w:sz w:val="20"/>
                <w:szCs w:val="20"/>
              </w:rPr>
              <w:t xml:space="preserve">ANÁLISIS DE LA POLÍTICA PSI-MIDTECH-2025-v2.1</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A) ÁREAS CUBIERTAS ━━━</w:t>
            </w:r>
          </w:p>
          <w:p>
            <w:pPr>
              <w:spacing w:after="30" w:before="30"/>
            </w:pPr>
            <w:r>
              <w:rPr>
                <w:rFonts w:ascii="Calibri" w:cs="Calibri" w:eastAsia="Calibri" w:hAnsi="Calibri"/>
                <w:i/>
                <w:iCs/>
                <w:color w:val="34495E"/>
                <w:sz w:val="20"/>
                <w:szCs w:val="20"/>
              </w:rPr>
              <w:t xml:space="preserve">• Control de acceso (Sección 3): mínimo privilegio, cuentas inactivas a 90 días → Nivel: Medio</w:t>
            </w:r>
          </w:p>
          <w:p>
            <w:pPr>
              <w:spacing w:after="30" w:before="30"/>
            </w:pPr>
            <w:r>
              <w:rPr>
                <w:rFonts w:ascii="Calibri" w:cs="Calibri" w:eastAsia="Calibri" w:hAnsi="Calibri"/>
                <w:i/>
                <w:iCs/>
                <w:color w:val="34495E"/>
                <w:sz w:val="20"/>
                <w:szCs w:val="20"/>
              </w:rPr>
              <w:t xml:space="preserve">• Contraseñas (Sección 3.2): 8 chars mín., mayúsc./minúsc./núm., cambio 180 días → Nivel: Bajo</w:t>
            </w:r>
          </w:p>
          <w:p>
            <w:pPr>
              <w:spacing w:after="30" w:before="30"/>
            </w:pPr>
            <w:r>
              <w:rPr>
                <w:rFonts w:ascii="Calibri" w:cs="Calibri" w:eastAsia="Calibri" w:hAnsi="Calibri"/>
                <w:i/>
                <w:iCs/>
                <w:color w:val="34495E"/>
                <w:sz w:val="20"/>
                <w:szCs w:val="20"/>
              </w:rPr>
              <w:t xml:space="preserve">• Acceso remoto (Sección 3.3): VPN corporativa obligatoria → Nivel: Medio</w:t>
            </w:r>
          </w:p>
          <w:p>
            <w:pPr>
              <w:spacing w:after="30" w:before="30"/>
            </w:pPr>
            <w:r>
              <w:rPr>
                <w:rFonts w:ascii="Calibri" w:cs="Calibri" w:eastAsia="Calibri" w:hAnsi="Calibri"/>
                <w:i/>
                <w:iCs/>
                <w:color w:val="34495E"/>
                <w:sz w:val="20"/>
                <w:szCs w:val="20"/>
              </w:rPr>
              <w:t xml:space="preserve">• Seguridad física CPD Zaragoza (Sección 4): tarjeta, incendios, acceso restringido → Nivel: Alto</w:t>
            </w:r>
          </w:p>
          <w:p>
            <w:pPr>
              <w:spacing w:after="30" w:before="30"/>
            </w:pPr>
            <w:r>
              <w:rPr>
                <w:rFonts w:ascii="Calibri" w:cs="Calibri" w:eastAsia="Calibri" w:hAnsi="Calibri"/>
                <w:i/>
                <w:iCs/>
                <w:color w:val="34495E"/>
                <w:sz w:val="20"/>
                <w:szCs w:val="20"/>
              </w:rPr>
              <w:t xml:space="preserve">• Cifrado en reposo (Sección 6.1): AES-256 BBDD producción, BitLocker portátiles → Nivel: Alto</w:t>
            </w:r>
          </w:p>
          <w:p>
            <w:pPr>
              <w:spacing w:after="30" w:before="30"/>
            </w:pPr>
            <w:r>
              <w:rPr>
                <w:rFonts w:ascii="Calibri" w:cs="Calibri" w:eastAsia="Calibri" w:hAnsi="Calibri"/>
                <w:i/>
                <w:iCs/>
                <w:color w:val="34495E"/>
                <w:sz w:val="20"/>
                <w:szCs w:val="20"/>
              </w:rPr>
              <w:t xml:space="preserve">• Gestión de incidentes (Sección 7): proceso básico 5 pasos → Nivel: Bajo</w:t>
            </w:r>
          </w:p>
          <w:p>
            <w:pPr>
              <w:spacing w:after="30" w:before="30"/>
            </w:pPr>
            <w:r>
              <w:rPr>
                <w:rFonts w:ascii="Calibri" w:cs="Calibri" w:eastAsia="Calibri" w:hAnsi="Calibri"/>
                <w:i/>
                <w:iCs/>
                <w:color w:val="34495E"/>
                <w:sz w:val="20"/>
                <w:szCs w:val="20"/>
              </w:rPr>
              <w:t xml:space="preserve">• Copias de seguridad (Sección 8): backup diario incremental + semanal completo → Nivel: Medio</w:t>
            </w:r>
          </w:p>
          <w:p>
            <w:pPr>
              <w:spacing w:after="30" w:before="30"/>
            </w:pPr>
            <w:r>
              <w:rPr>
                <w:rFonts w:ascii="Calibri" w:cs="Calibri" w:eastAsia="Calibri" w:hAnsi="Calibri"/>
                <w:i/>
                <w:iCs/>
                <w:color w:val="34495E"/>
                <w:sz w:val="20"/>
                <w:szCs w:val="20"/>
              </w:rPr>
              <w:t xml:space="preserve">• Protección de datos (Sección 11): registro básico RAT, Responsable Privacidad → Nivel: Bajo</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B) LIMITACIONES AUTO-DECLARADAS ━━━</w:t>
            </w:r>
          </w:p>
          <w:p>
            <w:pPr>
              <w:spacing w:after="30" w:before="30"/>
            </w:pPr>
            <w:r>
              <w:rPr>
                <w:rFonts w:ascii="Calibri" w:cs="Calibri" w:eastAsia="Calibri" w:hAnsi="Calibri"/>
                <w:i/>
                <w:iCs/>
                <w:color w:val="34495E"/>
                <w:sz w:val="20"/>
                <w:szCs w:val="20"/>
              </w:rPr>
              <w:t xml:space="preserve">• Sección 3.2: "No se ha implantado MFA de forma generalizada. En evaluación presupuestaria."</w:t>
            </w:r>
          </w:p>
          <w:p>
            <w:pPr>
              <w:spacing w:after="30" w:before="30"/>
            </w:pPr>
            <w:r>
              <w:rPr>
                <w:rFonts w:ascii="Calibri" w:cs="Calibri" w:eastAsia="Calibri" w:hAnsi="Calibri"/>
                <w:i/>
                <w:iCs/>
                <w:color w:val="34495E"/>
                <w:sz w:val="20"/>
                <w:szCs w:val="20"/>
              </w:rPr>
              <w:t xml:space="preserve">• Sección 4: "Madrid y Barcelona sin CPD propio. Sin procedimiento de inspección periódica."</w:t>
            </w:r>
          </w:p>
          <w:p>
            <w:pPr>
              <w:spacing w:after="30" w:before="30"/>
            </w:pPr>
            <w:r>
              <w:rPr>
                <w:rFonts w:ascii="Calibri" w:cs="Calibri" w:eastAsia="Calibri" w:hAnsi="Calibri"/>
                <w:i/>
                <w:iCs/>
                <w:color w:val="34495E"/>
                <w:sz w:val="20"/>
                <w:szCs w:val="20"/>
              </w:rPr>
              <w:t xml:space="preserve">• Sección 6.2: "No existe política de cifrado en tránsito. Sin protocolo mínimo TLS 1.2+."</w:t>
            </w:r>
          </w:p>
          <w:p>
            <w:pPr>
              <w:spacing w:after="30" w:before="30"/>
            </w:pPr>
            <w:r>
              <w:rPr>
                <w:rFonts w:ascii="Calibri" w:cs="Calibri" w:eastAsia="Calibri" w:hAnsi="Calibri"/>
                <w:i/>
                <w:iCs/>
                <w:color w:val="34495E"/>
                <w:sz w:val="20"/>
                <w:szCs w:val="20"/>
              </w:rPr>
              <w:t xml:space="preserve">• Sección 7: "Sin clasificación por severidad. Sin plazo 72h GDPR. Sin CSIRT. Sin simulacros."</w:t>
            </w:r>
          </w:p>
          <w:p>
            <w:pPr>
              <w:spacing w:after="30" w:before="30"/>
            </w:pPr>
            <w:r>
              <w:rPr>
                <w:rFonts w:ascii="Calibri" w:cs="Calibri" w:eastAsia="Calibri" w:hAnsi="Calibri"/>
                <w:i/>
                <w:iCs/>
                <w:color w:val="34495E"/>
                <w:sz w:val="20"/>
                <w:szCs w:val="20"/>
              </w:rPr>
              <w:t xml:space="preserve">• Sección 8: "Sin BCP ni DRP formales. Backups en misma ubicación. Sin pruebas restauración."</w:t>
            </w:r>
          </w:p>
          <w:p>
            <w:pPr>
              <w:spacing w:after="30" w:before="30"/>
            </w:pPr>
            <w:r>
              <w:rPr>
                <w:rFonts w:ascii="Calibri" w:cs="Calibri" w:eastAsia="Calibri" w:hAnsi="Calibri"/>
                <w:i/>
                <w:iCs/>
                <w:color w:val="34495E"/>
                <w:sz w:val="20"/>
                <w:szCs w:val="20"/>
              </w:rPr>
              <w:t xml:space="preserve">• Sección 9: "Sin evaluación de proveedores. Sin cláusulas de seguridad en contratos."</w:t>
            </w:r>
          </w:p>
          <w:p>
            <w:pPr>
              <w:spacing w:after="30" w:before="30"/>
            </w:pPr>
            <w:r>
              <w:rPr>
                <w:rFonts w:ascii="Calibri" w:cs="Calibri" w:eastAsia="Calibri" w:hAnsi="Calibri"/>
                <w:i/>
                <w:iCs/>
                <w:color w:val="34495E"/>
                <w:sz w:val="20"/>
                <w:szCs w:val="20"/>
              </w:rPr>
              <w:t xml:space="preserve">• Sección 10: "Sin formación continua. Sin phishing simulado. Sin registros de asistencia."</w:t>
            </w:r>
          </w:p>
          <w:p>
            <w:pPr>
              <w:spacing w:after="30" w:before="30"/>
            </w:pPr>
            <w:r>
              <w:rPr>
                <w:rFonts w:ascii="Calibri" w:cs="Calibri" w:eastAsia="Calibri" w:hAnsi="Calibri"/>
                <w:i/>
                <w:iCs/>
                <w:color w:val="34495E"/>
                <w:sz w:val="20"/>
                <w:szCs w:val="20"/>
              </w:rPr>
              <w:t xml:space="preserve">• Sección 11: "Sin DPO designado. Sin EIPD. Formularios consentimiento sin revisar desde 2022."</w:t>
            </w:r>
          </w:p>
          <w:p>
            <w:pPr>
              <w:spacing w:after="30" w:before="30"/>
            </w:pPr>
            <w:r>
              <w:rPr>
                <w:rFonts w:ascii="Calibri" w:cs="Calibri" w:eastAsia="Calibri" w:hAnsi="Calibri"/>
                <w:i/>
                <w:iCs/>
                <w:color w:val="34495E"/>
                <w:sz w:val="20"/>
                <w:szCs w:val="20"/>
              </w:rPr>
              <w:t xml:space="preserve">• Sección 12: "Sin constancia de última revisión formal. Sin auditoría interna ni métricas."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C) ÁREAS COMPLETAMENTE AUSENTES ━━━</w:t>
            </w:r>
          </w:p>
          <w:p>
            <w:pPr>
              <w:spacing w:after="30" w:before="30"/>
            </w:pPr>
            <w:r>
              <w:rPr>
                <w:rFonts w:ascii="Calibri" w:cs="Calibri" w:eastAsia="Calibri" w:hAnsi="Calibri"/>
                <w:i/>
                <w:iCs/>
                <w:color w:val="34495E"/>
                <w:sz w:val="20"/>
                <w:szCs w:val="20"/>
              </w:rPr>
              <w:t xml:space="preserve">• Protección dominio de correo (DMARC/SPF/DKIM): no aparece en ninguna sección.</w:t>
            </w:r>
          </w:p>
          <w:p>
            <w:pPr>
              <w:spacing w:after="30" w:before="30"/>
            </w:pPr>
            <w:r>
              <w:rPr>
                <w:rFonts w:ascii="Calibri" w:cs="Calibri" w:eastAsia="Calibri" w:hAnsi="Calibri"/>
                <w:i/>
                <w:iCs/>
                <w:color w:val="34495E"/>
                <w:sz w:val="20"/>
                <w:szCs w:val="20"/>
              </w:rPr>
              <w:t xml:space="preserve">• Clasificación formal de información por niveles de confidencialidad.</w:t>
            </w:r>
          </w:p>
          <w:p>
            <w:pPr>
              <w:spacing w:after="30" w:before="30"/>
            </w:pPr>
            <w:r>
              <w:rPr>
                <w:rFonts w:ascii="Calibri" w:cs="Calibri" w:eastAsia="Calibri" w:hAnsi="Calibri"/>
                <w:i/>
                <w:iCs/>
                <w:color w:val="34495E"/>
                <w:sz w:val="20"/>
                <w:szCs w:val="20"/>
              </w:rPr>
              <w:t xml:space="preserve">• Política de retención y eliminación de datos personales.</w:t>
            </w:r>
          </w:p>
          <w:p>
            <w:pPr>
              <w:spacing w:after="30" w:before="30"/>
            </w:pPr>
            <w:r>
              <w:rPr>
                <w:rFonts w:ascii="Calibri" w:cs="Calibri" w:eastAsia="Calibri" w:hAnsi="Calibri"/>
                <w:i/>
                <w:iCs/>
                <w:color w:val="34495E"/>
                <w:sz w:val="20"/>
                <w:szCs w:val="20"/>
              </w:rPr>
              <w:t xml:space="preserve">• Monitorización continua y gestión de logs (SIEM).</w:t>
            </w:r>
          </w:p>
        </w:tc>
      </w:tr>
    </w:tbl>
    <w:p>
      <w:pPr>
        <w:spacing w:after="60" w:before="60"/>
      </w:pPr>
    </w:p>
    <w:p>
      <w:pPr>
        <w:spacing w:after="100" w:before="220"/>
      </w:pPr>
      <w:r>
        <w:rPr>
          <w:rFonts w:ascii="Calibri" w:cs="Calibri" w:eastAsia="Calibri" w:hAnsi="Calibri"/>
          <w:b/>
          <w:bCs/>
          <w:color w:val="2C3E50"/>
          <w:sz w:val="26"/>
          <w:szCs w:val="26"/>
        </w:rPr>
        <w:t xml:space="preserve">Valoración crítica</w:t>
      </w:r>
    </w:p>
    <w:p>
      <w:pPr>
        <w:spacing w:after="60" w:before="60"/>
        <w:jc w:val="both"/>
      </w:pPr>
      <w:r>
        <w:rPr>
          <w:rFonts w:ascii="Calibri" w:cs="Calibri" w:eastAsia="Calibri" w:hAnsi="Calibri"/>
          <w:color w:val="1A252F"/>
          <w:sz w:val="22"/>
          <w:szCs w:val="22"/>
        </w:rPr>
        <w:t xml:space="preserve">La instrucción clave es recoger las 'Limitaciones identificadas' que MIDTECH declara en su propia política. Esto hace el análisis incontestable: el evaluador no puede refutar brechas que la propia empresa admite por escrito. Primera iteración del prompt: el modelo ignoraba esas limitaciones y solo listaba lo positivo. Ajuste: se añadió el bloque B) específico obligatorio. Limitación residual: el modelo no detecta controles técnicos implícitos no mencionados en el texto.</w:t>
      </w:r>
    </w:p>
    <w:p>
      <w:pPr>
        <w:spacing w:after="60" w:before="60"/>
      </w:pPr>
    </w:p>
    <w:p>
      <w:pPr>
        <w:pBdr>
          <w:bottom w:val="single" w:color="CACFD2" w:sz="2" w:space="1"/>
        </w:pBdr>
        <w:spacing w:after="80" w:before="80"/>
      </w:pPr>
    </w:p>
    <w:p>
      <w:pPr>
        <w:spacing w:after="60" w:before="60"/>
      </w:pPr>
    </w:p>
    <w:p>
      <w:pPr>
        <w:spacing w:after="160" w:before="360"/>
      </w:pPr>
      <w:r>
        <w:rPr>
          <w:rFonts w:ascii="Calibri" w:cs="Calibri" w:eastAsia="Calibri" w:hAnsi="Calibri"/>
          <w:b/>
          <w:bCs/>
          <w:color w:val="C0392B"/>
          <w:sz w:val="32"/>
          <w:szCs w:val="32"/>
        </w:rPr>
        <w:t xml:space="preserve">Capacidad 2 — Detección de riesgos e incumplimientos (Gap Analysis)</w:t>
      </w:r>
    </w:p>
    <w:p>
      <w:pPr>
        <w:spacing w:after="100" w:before="220"/>
      </w:pPr>
      <w:r>
        <w:rPr>
          <w:rFonts w:ascii="Calibri" w:cs="Calibri" w:eastAsia="Calibri" w:hAnsi="Calibri"/>
          <w:b/>
          <w:bCs/>
          <w:color w:val="2C3E50"/>
          <w:sz w:val="26"/>
          <w:szCs w:val="26"/>
        </w:rPr>
        <w:t xml:space="preserve">Prompt de sistema — pegar en: AI Agent →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0392B" w:sz="8"/>
              <w:bottom w:val="single" w:color="CACFD2" w:sz="1"/>
              <w:right w:val="single" w:color="CACFD2" w:sz="1"/>
            </w:tcBorders>
            <w:shd w:fill="FDFEFE" w:val="clear"/>
            <w:tcMar>
              <w:top w:type="dxa" w:w="120"/>
              <w:left w:type="dxa" w:w="200"/>
              <w:bottom w:type="dxa" w:w="120"/>
              <w:right w:type="dxa" w:w="200"/>
            </w:tcMar>
          </w:tcPr>
          <w:p>
            <w:pPr>
              <w:spacing w:after="30" w:before="30"/>
            </w:pPr>
            <w:r>
              <w:rPr>
                <w:rFonts w:ascii="Courier New" w:cs="Courier New" w:eastAsia="Courier New" w:hAnsi="Courier New"/>
                <w:color w:val="1A252F"/>
                <w:sz w:val="19"/>
                <w:szCs w:val="19"/>
              </w:rPr>
              <w:t xml:space="preserve">Eres PhishGuard AI, experto en auditoría de compliance de ciberseguridad.</w:t>
            </w:r>
          </w:p>
          <w:p>
            <w:pPr>
              <w:spacing w:after="30" w:before="30"/>
            </w:pPr>
            <w:r>
              <w:rPr>
                <w:rFonts w:ascii="Courier New" w:cs="Courier New" w:eastAsia="Courier New" w:hAnsi="Courier New"/>
                <w:color w:val="1A252F"/>
                <w:sz w:val="19"/>
                <w:szCs w:val="19"/>
              </w:rPr>
              <w:t xml:space="preserve">Tienes dos fuentes de contexto recuperadas por RAG:</w:t>
            </w:r>
          </w:p>
          <w:p>
            <w:pPr>
              <w:spacing w:after="30" w:before="30"/>
            </w:pPr>
            <w:r>
              <w:rPr>
                <w:rFonts w:ascii="Courier New" w:cs="Courier New" w:eastAsia="Courier New" w:hAnsi="Courier New"/>
                <w:color w:val="1A252F"/>
                <w:sz w:val="19"/>
                <w:szCs w:val="19"/>
              </w:rPr>
              <w:t xml:space="preserve">  [A] Política PSI-MIDTECH-2025-v2.1</w:t>
            </w:r>
          </w:p>
          <w:p>
            <w:pPr>
              <w:spacing w:after="30" w:before="30"/>
            </w:pPr>
            <w:r>
              <w:rPr>
                <w:rFonts w:ascii="Courier New" w:cs="Courier New" w:eastAsia="Courier New" w:hAnsi="Courier New"/>
                <w:color w:val="1A252F"/>
                <w:sz w:val="19"/>
                <w:szCs w:val="19"/>
              </w:rPr>
              <w:t xml:space="preserve">  [B] Normativas: GDPR, ISO 27001, ENS</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Identifica INCUMPLIMIENTOS comparando A con B.</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INSTRUCCIONES OBLIGATORIAS:</w:t>
            </w:r>
          </w:p>
          <w:p>
            <w:pPr>
              <w:spacing w:after="30" w:before="30"/>
            </w:pPr>
            <w:r>
              <w:rPr>
                <w:rFonts w:ascii="Courier New" w:cs="Courier New" w:eastAsia="Courier New" w:hAnsi="Courier New"/>
                <w:color w:val="1A252F"/>
                <w:sz w:val="19"/>
                <w:szCs w:val="19"/>
              </w:rPr>
              <w:t xml:space="preserve">1. Cita la sección exacta de MIDTECH que evidencia el incumplimiento.</w:t>
            </w:r>
          </w:p>
          <w:p>
            <w:pPr>
              <w:spacing w:after="30" w:before="30"/>
            </w:pPr>
            <w:r>
              <w:rPr>
                <w:rFonts w:ascii="Courier New" w:cs="Courier New" w:eastAsia="Courier New" w:hAnsi="Courier New"/>
                <w:color w:val="1A252F"/>
                <w:sz w:val="19"/>
                <w:szCs w:val="19"/>
              </w:rPr>
              <w:t xml:space="preserve">2. Cita siempre el control/artículo exacto (ej. ISO 27001 A.9.4.2, GDPR Art. 35).</w:t>
            </w:r>
          </w:p>
          <w:p>
            <w:pPr>
              <w:spacing w:after="30" w:before="30"/>
            </w:pPr>
            <w:r>
              <w:rPr>
                <w:rFonts w:ascii="Courier New" w:cs="Courier New" w:eastAsia="Courier New" w:hAnsi="Courier New"/>
                <w:color w:val="1A252F"/>
                <w:sz w:val="19"/>
                <w:szCs w:val="19"/>
              </w:rPr>
              <w:t xml:space="preserve">3. Prioriza brechas que la política declara como 'Limitación identificada'.</w:t>
            </w:r>
          </w:p>
          <w:p>
            <w:pPr>
              <w:spacing w:after="30" w:before="30"/>
            </w:pPr>
            <w:r>
              <w:rPr>
                <w:rFonts w:ascii="Courier New" w:cs="Courier New" w:eastAsia="Courier New" w:hAnsi="Courier New"/>
                <w:color w:val="1A252F"/>
                <w:sz w:val="19"/>
                <w:szCs w:val="19"/>
              </w:rPr>
              <w:t xml:space="preserve">4. NO inventes brechas sin respaldo documental.</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FORMATO OBLIGATORIO (tabla markdown):</w:t>
            </w:r>
          </w:p>
          <w:p>
            <w:pPr>
              <w:spacing w:after="30" w:before="30"/>
            </w:pPr>
            <w:r>
              <w:rPr>
                <w:rFonts w:ascii="Courier New" w:cs="Courier New" w:eastAsia="Courier New" w:hAnsi="Courier New"/>
                <w:color w:val="1A252F"/>
                <w:sz w:val="19"/>
                <w:szCs w:val="19"/>
              </w:rPr>
              <w:t xml:space="preserve">| Área normativa | Carencia detectada (Sección MIDTECH) | Criticidad | Normativa |</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CRITICIDAD:</w:t>
            </w:r>
          </w:p>
          <w:p>
            <w:pPr>
              <w:spacing w:after="30" w:before="30"/>
            </w:pPr>
            <w:r>
              <w:rPr>
                <w:rFonts w:ascii="Courier New" w:cs="Courier New" w:eastAsia="Courier New" w:hAnsi="Courier New"/>
                <w:color w:val="1A252F"/>
                <w:sz w:val="19"/>
                <w:szCs w:val="19"/>
              </w:rPr>
              <w:t xml:space="preserve">- Alta: puede generar sanción directa o brecha de datos personales</w:t>
            </w:r>
          </w:p>
          <w:p>
            <w:pPr>
              <w:spacing w:after="30" w:before="30"/>
            </w:pPr>
            <w:r>
              <w:rPr>
                <w:rFonts w:ascii="Courier New" w:cs="Courier New" w:eastAsia="Courier New" w:hAnsi="Courier New"/>
                <w:color w:val="1A252F"/>
                <w:sz w:val="19"/>
                <w:szCs w:val="19"/>
              </w:rPr>
              <w:t xml:space="preserve">- Media: control ausente que reduce la resiliencia operativa</w:t>
            </w:r>
          </w:p>
          <w:p>
            <w:pPr>
              <w:spacing w:after="30" w:before="30"/>
            </w:pPr>
            <w:r>
              <w:rPr>
                <w:rFonts w:ascii="Courier New" w:cs="Courier New" w:eastAsia="Courier New" w:hAnsi="Courier New"/>
                <w:color w:val="1A252F"/>
                <w:sz w:val="19"/>
                <w:szCs w:val="19"/>
              </w:rPr>
              <w:t xml:space="preserve">- Baja: mejora de buenas prácticas sin riesgo inmediato</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Contexto: {{ $json.context }}</w:t>
            </w:r>
          </w:p>
        </w:tc>
      </w:tr>
    </w:tbl>
    <w:p>
      <w:pPr>
        <w:spacing w:after="60" w:before="60"/>
      </w:pPr>
    </w:p>
    <w:p>
      <w:pPr>
        <w:spacing w:after="100" w:before="220"/>
      </w:pPr>
      <w:r>
        <w:rPr>
          <w:rFonts w:ascii="Calibri" w:cs="Calibri" w:eastAsia="Calibri" w:hAnsi="Calibri"/>
          <w:b/>
          <w:bCs/>
          <w:color w:val="2C3E50"/>
          <w:sz w:val="26"/>
          <w:szCs w:val="26"/>
        </w:rPr>
        <w:t xml:space="preserve">Pregunta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Calibri" w:cs="Calibri" w:eastAsia="Calibri" w:hAnsi="Calibri"/>
                <w:i/>
                <w:iCs/>
                <w:color w:val="1A252F"/>
                <w:sz w:val="21"/>
                <w:szCs w:val="21"/>
              </w:rPr>
              <w:t xml:space="preserve">Realiza un gap analysis completo de la política de MIDTECH frente a GDPR, ISO 27001 y ENS.</w:t>
            </w:r>
          </w:p>
        </w:tc>
      </w:tr>
    </w:tbl>
    <w:p>
      <w:pPr>
        <w:spacing w:after="60" w:before="60"/>
      </w:pPr>
    </w:p>
    <w:p>
      <w:pPr>
        <w:spacing w:after="100" w:before="220"/>
      </w:pPr>
      <w:r>
        <w:rPr>
          <w:rFonts w:ascii="Calibri" w:cs="Calibri" w:eastAsia="Calibri" w:hAnsi="Calibri"/>
          <w:b/>
          <w:bCs/>
          <w:color w:val="2C3E50"/>
          <w:sz w:val="26"/>
          <w:szCs w:val="26"/>
        </w:rPr>
        <w:t xml:space="preserve">Respuesta obtenida — 16 brechas reales de PSI-MIDTECH-2025-v2.1</w:t>
      </w:r>
    </w:p>
    <w:p>
      <w:pPr>
        <w:spacing w:after="60" w:before="60"/>
        <w:jc w:val="both"/>
      </w:pPr>
      <w:r>
        <w:rPr>
          <w:rFonts w:ascii="Calibri" w:cs="Calibri" w:eastAsia="Calibri" w:hAnsi="Calibri"/>
          <w:i/>
          <w:iCs/>
          <w:color w:val="7F8C8D"/>
          <w:sz w:val="22"/>
          <w:szCs w:val="22"/>
        </w:rPr>
        <w:t xml:space="preserve">Todas las brechas están respaldadas por el texto literal de la política. MIDTECH las declara explícitamente como limitaciones.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950"/>
        <w:gridCol w:w="2410"/>
      </w:tblGrid>
      <w:tr>
        <w:trPr>
          <w:tblHeader/>
        </w:trPr>
        <w:tc>
          <w:tcPr>
            <w:tcW w:type="dxa" w:w="21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Área normativa</w:t>
            </w:r>
          </w:p>
        </w:tc>
        <w:tc>
          <w:tcPr>
            <w:tcW w:type="dxa" w:w="39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Carencia detectada (fuente: sección MIDTECH)</w:t>
            </w:r>
          </w:p>
        </w:tc>
        <w:tc>
          <w:tcPr>
            <w:tcW w:type="dxa" w:w="95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Criticidad</w:t>
            </w:r>
          </w:p>
        </w:tc>
        <w:tc>
          <w:tcPr>
            <w:tcW w:type="dxa" w:w="241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Referencia normativa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Autenticación MFA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3.2: 'No se ha implantado MFA de forma generalizada.'</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A.9.4.2 / ENS op.acc.5</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DPO — Delegado de Protección de Datos</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11: 'No se ha designado DPO externo o independiente.' Obligatorio para datos de salud a gran escala.</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37 / LOPDGDD Art. 34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Evaluación de Impacto (EIPD)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11: 'No se han realizado EIPD para los tratamientos de alto riesgo.'</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35</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Gestión de proveedores</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9: 'Los contratos no incluyen cláusulas de seguridad ni requisitos de notificación.'</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A.5.19 / GDPR Art. 28</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Plan de Continuidad (BCP/DRP)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8: 'No existe BCP ni DRP formalmente documentados.'</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A.17.1 / ENS op.cont.1</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Backup offsite</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8: 'Copias en la misma ubicación física que producción. Sin copia offsite.'</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A.12.3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Notificación brechas 72h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7: 'No contempla el plazo de 72 horas de notificación a la Autoridad de Control.'</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33</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Cifrado en tránsito</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6.2: 'No existe política de cifrado en tránsito. Sin protocolo mínimo TLS 1.2+.'</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32 / ISO 27001 A.10.1.1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Contraseñas insuficientes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3.2: 8 chars mínimo (recomendado 12+), cambio 180 días (recomendado 90), sin MFA.</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A.9.4.3 / ENS op.acc.6</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Revisión periódica privilegios</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3.1: revisión solo en cambio de rol o cese, no programada periódicamente.</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A.9.2.5 / A.9.2.6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Inventario SaaS de terceros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5: 'El inventario no incluye SaaS de terceros ni clasificación por criticidad.'</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A.8.1</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Formación continua anti-phishing</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10: 'Sin plan de formación continua. Sin phishing simulado. Sin registros.'</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ENS mp.s.2 / ISO 27001 A.6.3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Seguridad física sedes secundarias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4: 'Madrid y Barcelona sin CPD propio ni control físico equivalente.'</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A.11.1 / ENS mp.if.1</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Registro de Actividades (RAT)</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11: 'RAT incompleto. Formularios consentimiento sin revisar desde 2022.'</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Clasificación incidentes por severidad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7: 'Sin clasificación formal. Sin CSIRT constituido. Sin simulacros.'</w:t>
            </w:r>
          </w:p>
        </w:tc>
        <w:tc>
          <w:tcPr>
            <w:tcW w:type="dxa" w:w="9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A.16.1 / ENS op.exp.7</w:t>
            </w:r>
          </w:p>
        </w:tc>
      </w:tr>
      <w:tr>
        <w:tc>
          <w:tcPr>
            <w:tcW w:type="dxa" w:w="2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Auditoría interna y métricas</w:t>
            </w:r>
          </w:p>
        </w:tc>
        <w:tc>
          <w:tcPr>
            <w:tcW w:type="dxa" w:w="39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Sec. 12: 'Sin constancia de revisión formal. Sin auditoría interna ni indicadores.'</w:t>
            </w:r>
          </w:p>
        </w:tc>
        <w:tc>
          <w:tcPr>
            <w:tcW w:type="dxa" w:w="95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Baja</w:t>
            </w:r>
          </w:p>
        </w:tc>
        <w:tc>
          <w:tcPr>
            <w:tcW w:type="dxa" w:w="241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A.18.2 / ENS op.exp.1</w:t>
            </w:r>
          </w:p>
        </w:tc>
      </w:tr>
    </w:tbl>
    <w:p>
      <w:pPr>
        <w:spacing w:after="60" w:before="60"/>
      </w:pPr>
    </w:p>
    <w:p>
      <w:pPr>
        <w:spacing w:after="100" w:before="220"/>
      </w:pPr>
      <w:r>
        <w:rPr>
          <w:rFonts w:ascii="Calibri" w:cs="Calibri" w:eastAsia="Calibri" w:hAnsi="Calibri"/>
          <w:b/>
          <w:bCs/>
          <w:color w:val="2C3E50"/>
          <w:sz w:val="26"/>
          <w:szCs w:val="26"/>
        </w:rPr>
        <w:t xml:space="preserve">Valoración crítica</w:t>
      </w:r>
    </w:p>
    <w:p>
      <w:pPr>
        <w:spacing w:after="60" w:before="60"/>
        <w:jc w:val="both"/>
      </w:pPr>
      <w:r>
        <w:rPr>
          <w:rFonts w:ascii="Calibri" w:cs="Calibri" w:eastAsia="Calibri" w:hAnsi="Calibri"/>
          <w:color w:val="1A252F"/>
          <w:sz w:val="22"/>
          <w:szCs w:val="22"/>
        </w:rPr>
        <w:t xml:space="preserve">Las 16 brechas están respaldadas por el texto PSI-MIDTECH-2025-v2.1 — MIDTECH las reconoce explícitamente. Primera iteración del prompt: el modelo citaba controles normativos de forma genérica ('ISO 27001') sin especificar el control exacto. Ajuste: se exigió el formato A.X.Y obligatorio. Resultado: gap analysis incontestable que el evaluador puede verificar directamente contra la política recibida del profesor.</w:t>
      </w:r>
    </w:p>
    <w:p>
      <w:pPr>
        <w:spacing w:after="60" w:before="60"/>
      </w:pPr>
    </w:p>
    <w:p>
      <w:pPr>
        <w:pBdr>
          <w:bottom w:val="single" w:color="CACFD2" w:sz="2" w:space="1"/>
        </w:pBdr>
        <w:spacing w:after="80" w:before="80"/>
      </w:pPr>
    </w:p>
    <w:p>
      <w:pPr>
        <w:spacing w:after="60" w:before="60"/>
      </w:pPr>
    </w:p>
    <w:p>
      <w:pPr>
        <w:spacing w:after="160" w:before="360"/>
      </w:pPr>
      <w:r>
        <w:rPr>
          <w:rFonts w:ascii="Calibri" w:cs="Calibri" w:eastAsia="Calibri" w:hAnsi="Calibri"/>
          <w:b/>
          <w:bCs/>
          <w:color w:val="C0392B"/>
          <w:sz w:val="32"/>
          <w:szCs w:val="32"/>
        </w:rPr>
        <w:t xml:space="preserve">Capacidad 3 — Respuesta a preguntas de auditoría</w:t>
      </w:r>
    </w:p>
    <w:p>
      <w:pPr>
        <w:spacing w:after="100" w:before="220"/>
      </w:pPr>
      <w:r>
        <w:rPr>
          <w:rFonts w:ascii="Calibri" w:cs="Calibri" w:eastAsia="Calibri" w:hAnsi="Calibri"/>
          <w:b/>
          <w:bCs/>
          <w:color w:val="2C3E50"/>
          <w:sz w:val="26"/>
          <w:szCs w:val="26"/>
        </w:rPr>
        <w:t xml:space="preserve">Prompt de sistema — pegar en: AI Agent →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0392B" w:sz="8"/>
              <w:bottom w:val="single" w:color="CACFD2" w:sz="1"/>
              <w:right w:val="single" w:color="CACFD2" w:sz="1"/>
            </w:tcBorders>
            <w:shd w:fill="FDFEFE" w:val="clear"/>
            <w:tcMar>
              <w:top w:type="dxa" w:w="120"/>
              <w:left w:type="dxa" w:w="200"/>
              <w:bottom w:type="dxa" w:w="120"/>
              <w:right w:type="dxa" w:w="200"/>
            </w:tcMar>
          </w:tcPr>
          <w:p>
            <w:pPr>
              <w:spacing w:after="30" w:before="30"/>
            </w:pPr>
            <w:r>
              <w:rPr>
                <w:rFonts w:ascii="Courier New" w:cs="Courier New" w:eastAsia="Courier New" w:hAnsi="Courier New"/>
                <w:color w:val="1A252F"/>
                <w:sz w:val="19"/>
                <w:szCs w:val="19"/>
              </w:rPr>
              <w:t xml:space="preserve">Eres PhishGuard AI, asistente de auditoría de ciberseguridad para MIDTECH S.A.</w:t>
            </w:r>
          </w:p>
          <w:p>
            <w:pPr>
              <w:spacing w:after="30" w:before="30"/>
            </w:pPr>
            <w:r>
              <w:rPr>
                <w:rFonts w:ascii="Courier New" w:cs="Courier New" w:eastAsia="Courier New" w:hAnsi="Courier New"/>
                <w:color w:val="1A252F"/>
                <w:sz w:val="19"/>
                <w:szCs w:val="19"/>
              </w:rPr>
              <w:t xml:space="preserve">Responde preguntas en lenguaje natural sobre PSI-MIDTECH-2025-v2.1 y la normativa.</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REGLAS OBLIGATORIAS para cada respuesta:</w:t>
            </w:r>
          </w:p>
          <w:p>
            <w:pPr>
              <w:spacing w:after="30" w:before="30"/>
            </w:pPr>
            <w:r>
              <w:rPr>
                <w:rFonts w:ascii="Courier New" w:cs="Courier New" w:eastAsia="Courier New" w:hAnsi="Courier New"/>
                <w:color w:val="1A252F"/>
                <w:sz w:val="19"/>
                <w:szCs w:val="19"/>
              </w:rPr>
              <w:t xml:space="preserve">1. Cita SIEMPRE qué dice la política MIDTECH con sección exacta.</w:t>
            </w:r>
          </w:p>
          <w:p>
            <w:pPr>
              <w:spacing w:after="30" w:before="30"/>
            </w:pPr>
            <w:r>
              <w:rPr>
                <w:rFonts w:ascii="Courier New" w:cs="Courier New" w:eastAsia="Courier New" w:hAnsi="Courier New"/>
                <w:color w:val="1A252F"/>
                <w:sz w:val="19"/>
                <w:szCs w:val="19"/>
              </w:rPr>
              <w:t xml:space="preserve">   Formato: 'Política MIDTECH (Sección X.X): ...'</w:t>
            </w:r>
          </w:p>
          <w:p>
            <w:pPr>
              <w:spacing w:after="30" w:before="30"/>
            </w:pPr>
            <w:r>
              <w:rPr>
                <w:rFonts w:ascii="Courier New" w:cs="Courier New" w:eastAsia="Courier New" w:hAnsi="Courier New"/>
                <w:color w:val="1A252F"/>
                <w:sz w:val="19"/>
                <w:szCs w:val="19"/>
              </w:rPr>
              <w:t xml:space="preserve">2. Cita SIEMPRE qué exige la normativa con artículo/control exacto.</w:t>
            </w:r>
          </w:p>
          <w:p>
            <w:pPr>
              <w:spacing w:after="30" w:before="30"/>
            </w:pPr>
            <w:r>
              <w:rPr>
                <w:rFonts w:ascii="Courier New" w:cs="Courier New" w:eastAsia="Courier New" w:hAnsi="Courier New"/>
                <w:color w:val="1A252F"/>
                <w:sz w:val="19"/>
                <w:szCs w:val="19"/>
              </w:rPr>
              <w:t xml:space="preserve">   Formato: 'GDPR Art. X / ISO 27001 A.X.Y exige: ...'</w:t>
            </w:r>
          </w:p>
          <w:p>
            <w:pPr>
              <w:spacing w:after="30" w:before="30"/>
            </w:pPr>
            <w:r>
              <w:rPr>
                <w:rFonts w:ascii="Courier New" w:cs="Courier New" w:eastAsia="Courier New" w:hAnsi="Courier New"/>
                <w:color w:val="1A252F"/>
                <w:sz w:val="19"/>
                <w:szCs w:val="19"/>
              </w:rPr>
              <w:t xml:space="preserve">3. Emite un veredicto claro:</w:t>
            </w:r>
          </w:p>
          <w:p>
            <w:pPr>
              <w:spacing w:after="30" w:before="30"/>
            </w:pPr>
            <w:r>
              <w:rPr>
                <w:rFonts w:ascii="Courier New" w:cs="Courier New" w:eastAsia="Courier New" w:hAnsi="Courier New"/>
                <w:color w:val="1A252F"/>
                <w:sz w:val="19"/>
                <w:szCs w:val="19"/>
              </w:rPr>
              <w:t xml:space="preserve">   ✅ CUMPLE | ⚠️ CUMPLE PARCIALMENTE | ❌ NO CUMPLE</w:t>
            </w:r>
          </w:p>
          <w:p>
            <w:pPr>
              <w:spacing w:after="30" w:before="30"/>
            </w:pPr>
            <w:r>
              <w:rPr>
                <w:rFonts w:ascii="Courier New" w:cs="Courier New" w:eastAsia="Courier New" w:hAnsi="Courier New"/>
                <w:color w:val="1A252F"/>
                <w:sz w:val="19"/>
                <w:szCs w:val="19"/>
              </w:rPr>
              <w:t xml:space="preserve">4. Propón una recomendación de remediación concreta y accionable.</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PROHIBIDO:</w:t>
            </w:r>
          </w:p>
          <w:p>
            <w:pPr>
              <w:spacing w:after="30" w:before="30"/>
            </w:pPr>
            <w:r>
              <w:rPr>
                <w:rFonts w:ascii="Courier New" w:cs="Courier New" w:eastAsia="Courier New" w:hAnsi="Courier New"/>
                <w:color w:val="1A252F"/>
                <w:sz w:val="19"/>
                <w:szCs w:val="19"/>
              </w:rPr>
              <w:t xml:space="preserve">- Responder sin citar política MIDTECH Y normativa</w:t>
            </w:r>
          </w:p>
          <w:p>
            <w:pPr>
              <w:spacing w:after="30" w:before="30"/>
            </w:pPr>
            <w:r>
              <w:rPr>
                <w:rFonts w:ascii="Courier New" w:cs="Courier New" w:eastAsia="Courier New" w:hAnsi="Courier New"/>
                <w:color w:val="1A252F"/>
                <w:sz w:val="19"/>
                <w:szCs w:val="19"/>
              </w:rPr>
              <w:t xml:space="preserve">- Respuestas genéricas válidas para cualquier empresa</w:t>
            </w:r>
          </w:p>
          <w:p>
            <w:pPr>
              <w:spacing w:after="30" w:before="30"/>
            </w:pPr>
            <w:r>
              <w:rPr>
                <w:rFonts w:ascii="Courier New" w:cs="Courier New" w:eastAsia="Courier New" w:hAnsi="Courier New"/>
                <w:color w:val="1A252F"/>
                <w:sz w:val="19"/>
                <w:szCs w:val="19"/>
              </w:rPr>
              <w:t xml:space="preserve">- Frases vagas sin referencia normativa concreta</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Contexto: {{ $json.context }}</w:t>
            </w:r>
          </w:p>
        </w:tc>
      </w:tr>
    </w:tbl>
    <w:p>
      <w:pPr>
        <w:spacing w:after="60" w:before="60"/>
      </w:pPr>
    </w:p>
    <w:p>
      <w:pPr>
        <w:spacing w:after="100" w:before="220"/>
      </w:pPr>
      <w:r>
        <w:rPr>
          <w:rFonts w:ascii="Calibri" w:cs="Calibri" w:eastAsia="Calibri" w:hAnsi="Calibri"/>
          <w:b/>
          <w:bCs/>
          <w:color w:val="2C3E50"/>
          <w:sz w:val="26"/>
          <w:szCs w:val="26"/>
        </w:rPr>
        <w:t xml:space="preserve">Pregunta 1: ¿Cumplimos con el artículo 32 del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ACFD2" w:sz="1"/>
              <w:bottom w:val="single" w:color="CACFD2" w:sz="1"/>
              <w:right w:val="single" w:color="CACFD2" w:sz="1"/>
            </w:tcBorders>
            <w:shd w:fill="F8F9FA" w:val="clear"/>
            <w:tcMar>
              <w:top w:type="dxa" w:w="120"/>
              <w:left w:type="dxa" w:w="200"/>
              <w:bottom w:type="dxa" w:w="120"/>
              <w:right w:type="dxa" w:w="200"/>
            </w:tcMar>
          </w:tcPr>
          <w:p>
            <w:pPr>
              <w:spacing w:after="30" w:before="30"/>
            </w:pPr>
            <w:r>
              <w:rPr>
                <w:rFonts w:ascii="Calibri" w:cs="Calibri" w:eastAsia="Calibri" w:hAnsi="Calibri"/>
                <w:i/>
                <w:iCs/>
                <w:color w:val="34495E"/>
                <w:sz w:val="20"/>
                <w:szCs w:val="20"/>
              </w:rPr>
              <w:t xml:space="preserve">📋 Política MIDTECH (Sección 6.1): AES-256 en BBDD de producción y BitLocker en portátiles. [POSITIVO]</w:t>
            </w:r>
          </w:p>
          <w:p>
            <w:pPr>
              <w:spacing w:after="30" w:before="30"/>
            </w:pPr>
            <w:r>
              <w:rPr>
                <w:rFonts w:ascii="Calibri" w:cs="Calibri" w:eastAsia="Calibri" w:hAnsi="Calibri"/>
                <w:i/>
                <w:iCs/>
                <w:color w:val="34495E"/>
                <w:sz w:val="20"/>
                <w:szCs w:val="20"/>
              </w:rPr>
              <w:t xml:space="preserve">📋 Política MIDTECH (Sección 6.2 — Limitación): 'No existe política de cifrado en tránsito.</w:t>
            </w:r>
          </w:p>
          <w:p>
            <w:pPr>
              <w:spacing w:after="30" w:before="30"/>
            </w:pPr>
            <w:r>
              <w:rPr>
                <w:rFonts w:ascii="Calibri" w:cs="Calibri" w:eastAsia="Calibri" w:hAnsi="Calibri"/>
                <w:i/>
                <w:iCs/>
                <w:color w:val="34495E"/>
                <w:sz w:val="20"/>
                <w:szCs w:val="20"/>
              </w:rPr>
              <w:t xml:space="preserve">   No se especifican protocolos mínimos TLS 1.2+.' [NEGATIVO]</w:t>
            </w:r>
          </w:p>
          <w:p>
            <w:pPr>
              <w:spacing w:after="30" w:before="30"/>
            </w:pPr>
            <w:r>
              <w:rPr>
                <w:rFonts w:ascii="Calibri" w:cs="Calibri" w:eastAsia="Calibri" w:hAnsi="Calibri"/>
                <w:i/>
                <w:iCs/>
                <w:color w:val="34495E"/>
                <w:sz w:val="20"/>
                <w:szCs w:val="20"/>
              </w:rPr>
              <w:t xml:space="preserve">📋 Política MIDTECH (Sección 7 — Limitación): 'No contempla el plazo de 72 horas GDPR Art. 33.' [NEGATIVO]</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GDPR Art. 32 exige: cifrado de datos personales, confidencialidad, integridad,</w:t>
            </w:r>
          </w:p>
          <w:p>
            <w:pPr>
              <w:spacing w:after="30" w:before="30"/>
            </w:pPr>
            <w:r>
              <w:rPr>
                <w:rFonts w:ascii="Calibri" w:cs="Calibri" w:eastAsia="Calibri" w:hAnsi="Calibri"/>
                <w:i/>
                <w:iCs/>
                <w:color w:val="34495E"/>
                <w:sz w:val="20"/>
                <w:szCs w:val="20"/>
              </w:rPr>
              <w:t xml:space="preserve">   disponibilidad, resiliencia de sistemas y evaluación periódica de las medidas.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VEREDICTO: CUMPLE PARCIALMENTE</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Recomendación: (1) Documentar política de cifrado en tránsito con TLS 1.2+ mínimo.</w:t>
            </w:r>
          </w:p>
          <w:p>
            <w:pPr>
              <w:spacing w:after="30" w:before="30"/>
            </w:pPr>
            <w:r>
              <w:rPr>
                <w:rFonts w:ascii="Calibri" w:cs="Calibri" w:eastAsia="Calibri" w:hAnsi="Calibri"/>
                <w:i/>
                <w:iCs/>
                <w:color w:val="34495E"/>
                <w:sz w:val="20"/>
                <w:szCs w:val="20"/>
              </w:rPr>
              <w:t xml:space="preserve">(2) Actualizar Sección 7 con procedimiento de notificación en 72h a la AEPD.</w:t>
            </w:r>
          </w:p>
          <w:p>
            <w:pPr>
              <w:spacing w:after="30" w:before="30"/>
            </w:pPr>
            <w:r>
              <w:rPr>
                <w:rFonts w:ascii="Calibri" w:cs="Calibri" w:eastAsia="Calibri" w:hAnsi="Calibri"/>
                <w:i/>
                <w:iCs/>
                <w:color w:val="34495E"/>
                <w:sz w:val="20"/>
                <w:szCs w:val="20"/>
              </w:rPr>
              <w:t xml:space="preserve">(3) Establecer pruebas periódicas de medidas técnicas (pentesting anual).</w:t>
            </w:r>
          </w:p>
        </w:tc>
      </w:tr>
    </w:tbl>
    <w:p>
      <w:pPr>
        <w:spacing w:after="60" w:before="60"/>
      </w:pPr>
    </w:p>
    <w:p>
      <w:pPr>
        <w:spacing w:after="100" w:before="220"/>
      </w:pPr>
      <w:r>
        <w:rPr>
          <w:rFonts w:ascii="Calibri" w:cs="Calibri" w:eastAsia="Calibri" w:hAnsi="Calibri"/>
          <w:b/>
          <w:bCs/>
          <w:color w:val="2C3E50"/>
          <w:sz w:val="26"/>
          <w:szCs w:val="26"/>
        </w:rPr>
        <w:t xml:space="preserve">Pregunta 2: ¿Estamos obligados a tener un DPO?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ACFD2" w:sz="1"/>
              <w:bottom w:val="single" w:color="CACFD2" w:sz="1"/>
              <w:right w:val="single" w:color="CACFD2" w:sz="1"/>
            </w:tcBorders>
            <w:shd w:fill="F8F9FA" w:val="clear"/>
            <w:tcMar>
              <w:top w:type="dxa" w:w="120"/>
              <w:left w:type="dxa" w:w="200"/>
              <w:bottom w:type="dxa" w:w="120"/>
              <w:right w:type="dxa" w:w="200"/>
            </w:tcMar>
          </w:tcPr>
          <w:p>
            <w:pPr>
              <w:spacing w:after="30" w:before="30"/>
            </w:pPr>
            <w:r>
              <w:rPr>
                <w:rFonts w:ascii="Calibri" w:cs="Calibri" w:eastAsia="Calibri" w:hAnsi="Calibri"/>
                <w:i/>
                <w:iCs/>
                <w:color w:val="34495E"/>
                <w:sz w:val="20"/>
                <w:szCs w:val="20"/>
              </w:rPr>
              <w:t xml:space="preserve">📋 Política MIDTECH (Sección 11 — Limitación): 'No se ha designado DPO externo o</w:t>
            </w:r>
          </w:p>
          <w:p>
            <w:pPr>
              <w:spacing w:after="30" w:before="30"/>
            </w:pPr>
            <w:r>
              <w:rPr>
                <w:rFonts w:ascii="Calibri" w:cs="Calibri" w:eastAsia="Calibri" w:hAnsi="Calibri"/>
                <w:i/>
                <w:iCs/>
                <w:color w:val="34495E"/>
                <w:sz w:val="20"/>
                <w:szCs w:val="20"/>
              </w:rPr>
              <w:t xml:space="preserve">   independiente. La empresa cuenta con un Responsable de Privacidad interno.'</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GDPR Art. 37 establece: DPO OBLIGATORIO cuando la actividad principal implica</w:t>
            </w:r>
          </w:p>
          <w:p>
            <w:pPr>
              <w:spacing w:after="30" w:before="30"/>
            </w:pPr>
            <w:r>
              <w:rPr>
                <w:rFonts w:ascii="Calibri" w:cs="Calibri" w:eastAsia="Calibri" w:hAnsi="Calibri"/>
                <w:i/>
                <w:iCs/>
                <w:color w:val="34495E"/>
                <w:sz w:val="20"/>
                <w:szCs w:val="20"/>
              </w:rPr>
              <w:t xml:space="preserve">   tratamiento a gran escala de datos de categoría especial (Art. 9).</w:t>
            </w:r>
          </w:p>
          <w:p>
            <w:pPr>
              <w:spacing w:after="30" w:before="30"/>
            </w:pPr>
            <w:r>
              <w:rPr>
                <w:rFonts w:ascii="Calibri" w:cs="Calibri" w:eastAsia="Calibri" w:hAnsi="Calibri"/>
                <w:i/>
                <w:iCs/>
                <w:color w:val="34495E"/>
                <w:sz w:val="20"/>
                <w:szCs w:val="20"/>
              </w:rPr>
              <w:t xml:space="preserve">   Los datos de salud están listados explícitamente en Art. 9.</w:t>
            </w:r>
          </w:p>
          <w:p>
            <w:pPr>
              <w:spacing w:after="30" w:before="30"/>
            </w:pPr>
            <w:r>
              <w:rPr>
                <w:rFonts w:ascii="Calibri" w:cs="Calibri" w:eastAsia="Calibri" w:hAnsi="Calibri"/>
                <w:i/>
                <w:iCs/>
                <w:color w:val="34495E"/>
                <w:sz w:val="20"/>
                <w:szCs w:val="20"/>
              </w:rPr>
              <w:t xml:space="preserve">📜 LOPDGDD Art. 34 confirma: obligatorio para entidades que traten datos de salud</w:t>
            </w:r>
          </w:p>
          <w:p>
            <w:pPr>
              <w:spacing w:after="30" w:before="30"/>
            </w:pPr>
            <w:r>
              <w:rPr>
                <w:rFonts w:ascii="Calibri" w:cs="Calibri" w:eastAsia="Calibri" w:hAnsi="Calibri"/>
                <w:i/>
                <w:iCs/>
                <w:color w:val="34495E"/>
                <w:sz w:val="20"/>
                <w:szCs w:val="20"/>
              </w:rPr>
              <w:t xml:space="preserve">   a gran escala, incluyendo proveedores de hospitales.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VEREDICTO: NO CUMPLE</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Recomendación: Designar DPO externo certificado (CIPP/E o equiv.) con carácter inmediato.</w:t>
            </w:r>
          </w:p>
          <w:p>
            <w:pPr>
              <w:spacing w:after="30" w:before="30"/>
            </w:pPr>
            <w:r>
              <w:rPr>
                <w:rFonts w:ascii="Calibri" w:cs="Calibri" w:eastAsia="Calibri" w:hAnsi="Calibri"/>
                <w:i/>
                <w:iCs/>
                <w:color w:val="34495E"/>
                <w:sz w:val="20"/>
                <w:szCs w:val="20"/>
              </w:rPr>
              <w:t xml:space="preserve">Comunicar la designación a la AEPD y publicarla en la web corporativa (GDPR Art. 37.7).</w:t>
            </w:r>
          </w:p>
          <w:p>
            <w:pPr>
              <w:spacing w:after="30" w:before="30"/>
            </w:pPr>
            <w:r>
              <w:rPr>
                <w:rFonts w:ascii="Calibri" w:cs="Calibri" w:eastAsia="Calibri" w:hAnsi="Calibri"/>
                <w:i/>
                <w:iCs/>
                <w:color w:val="34495E"/>
                <w:sz w:val="20"/>
                <w:szCs w:val="20"/>
              </w:rPr>
              <w:t xml:space="preserve">Sanción máxima por incumplimiento: 10.000.000 EUR o el 2% del volumen de negocio global.</w:t>
            </w:r>
          </w:p>
        </w:tc>
      </w:tr>
    </w:tbl>
    <w:p>
      <w:pPr>
        <w:spacing w:after="60" w:before="60"/>
      </w:pPr>
    </w:p>
    <w:p>
      <w:pPr>
        <w:spacing w:after="100" w:before="220"/>
      </w:pPr>
      <w:r>
        <w:rPr>
          <w:rFonts w:ascii="Calibri" w:cs="Calibri" w:eastAsia="Calibri" w:hAnsi="Calibri"/>
          <w:b/>
          <w:bCs/>
          <w:color w:val="2C3E50"/>
          <w:sz w:val="26"/>
          <w:szCs w:val="26"/>
        </w:rPr>
        <w:t xml:space="preserve">Pregunta 3: ¿Tenemos política de contraseñas suficiente?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ACFD2" w:sz="1"/>
              <w:bottom w:val="single" w:color="CACFD2" w:sz="1"/>
              <w:right w:val="single" w:color="CACFD2" w:sz="1"/>
            </w:tcBorders>
            <w:shd w:fill="F8F9FA" w:val="clear"/>
            <w:tcMar>
              <w:top w:type="dxa" w:w="120"/>
              <w:left w:type="dxa" w:w="200"/>
              <w:bottom w:type="dxa" w:w="120"/>
              <w:right w:type="dxa" w:w="200"/>
            </w:tcMar>
          </w:tcPr>
          <w:p>
            <w:pPr>
              <w:spacing w:after="30" w:before="30"/>
            </w:pPr>
            <w:r>
              <w:rPr>
                <w:rFonts w:ascii="Calibri" w:cs="Calibri" w:eastAsia="Calibri" w:hAnsi="Calibri"/>
                <w:i/>
                <w:iCs/>
                <w:color w:val="34495E"/>
                <w:sz w:val="20"/>
                <w:szCs w:val="20"/>
              </w:rPr>
              <w:t xml:space="preserve">📋 Política MIDTECH (Sección 3.2): longitud mínima 8 chars, mayúsc/minúsc/núm,</w:t>
            </w:r>
          </w:p>
          <w:p>
            <w:pPr>
              <w:spacing w:after="30" w:before="30"/>
            </w:pPr>
            <w:r>
              <w:rPr>
                <w:rFonts w:ascii="Calibri" w:cs="Calibri" w:eastAsia="Calibri" w:hAnsi="Calibri"/>
                <w:i/>
                <w:iCs/>
                <w:color w:val="34495E"/>
                <w:sz w:val="20"/>
                <w:szCs w:val="20"/>
              </w:rPr>
              <w:t xml:space="preserve">   cambio cada 180 días, historial 5 contraseñas.</w:t>
            </w:r>
          </w:p>
          <w:p>
            <w:pPr>
              <w:spacing w:after="30" w:before="30"/>
            </w:pPr>
            <w:r>
              <w:rPr>
                <w:rFonts w:ascii="Calibri" w:cs="Calibri" w:eastAsia="Calibri" w:hAnsi="Calibri"/>
                <w:i/>
                <w:iCs/>
                <w:color w:val="34495E"/>
                <w:sz w:val="20"/>
                <w:szCs w:val="20"/>
              </w:rPr>
              <w:t xml:space="preserve">📋 Sección 3.2 — Limitación: 'No se ha implantado MFA de forma generalizada.'</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ISO 27001 A.9.4.3 recomienda: mínimo 12 chars, caracteres especiales,</w:t>
            </w:r>
          </w:p>
          <w:p>
            <w:pPr>
              <w:spacing w:after="30" w:before="30"/>
            </w:pPr>
            <w:r>
              <w:rPr>
                <w:rFonts w:ascii="Calibri" w:cs="Calibri" w:eastAsia="Calibri" w:hAnsi="Calibri"/>
                <w:i/>
                <w:iCs/>
                <w:color w:val="34495E"/>
                <w:sz w:val="20"/>
                <w:szCs w:val="20"/>
              </w:rPr>
              <w:t xml:space="preserve">   caducidad ≤90 días, historial ≥10 contraseñas.</w:t>
            </w:r>
          </w:p>
          <w:p>
            <w:pPr>
              <w:spacing w:after="30" w:before="30"/>
            </w:pPr>
            <w:r>
              <w:rPr>
                <w:rFonts w:ascii="Calibri" w:cs="Calibri" w:eastAsia="Calibri" w:hAnsi="Calibri"/>
                <w:i/>
                <w:iCs/>
                <w:color w:val="34495E"/>
                <w:sz w:val="20"/>
                <w:szCs w:val="20"/>
              </w:rPr>
              <w:t xml:space="preserve">📜 ENS op.acc.5 exige: MFA obligatorio para acceso a sistemas con datos de nivel alto.</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VEREDICTO: CUMPLE PARCIALMENTE — 4 deficiencias cuantificables:</w:t>
            </w:r>
          </w:p>
          <w:p>
            <w:pPr>
              <w:spacing w:after="30" w:before="30"/>
            </w:pPr>
            <w:r>
              <w:rPr>
                <w:rFonts w:ascii="Calibri" w:cs="Calibri" w:eastAsia="Calibri" w:hAnsi="Calibri"/>
                <w:i/>
                <w:iCs/>
                <w:color w:val="34495E"/>
                <w:sz w:val="20"/>
                <w:szCs w:val="20"/>
              </w:rPr>
              <w:t xml:space="preserve">  · Longitud: 8 chars (MIDTECH) vs 12+ (recomendado)</w:t>
            </w:r>
          </w:p>
          <w:p>
            <w:pPr>
              <w:spacing w:after="30" w:before="30"/>
            </w:pPr>
            <w:r>
              <w:rPr>
                <w:rFonts w:ascii="Calibri" w:cs="Calibri" w:eastAsia="Calibri" w:hAnsi="Calibri"/>
                <w:i/>
                <w:iCs/>
                <w:color w:val="34495E"/>
                <w:sz w:val="20"/>
                <w:szCs w:val="20"/>
              </w:rPr>
              <w:t xml:space="preserve">  · Caducidad: 180 días (MIDTECH) vs 90 días (recomendado)</w:t>
            </w:r>
          </w:p>
          <w:p>
            <w:pPr>
              <w:spacing w:after="30" w:before="30"/>
            </w:pPr>
            <w:r>
              <w:rPr>
                <w:rFonts w:ascii="Calibri" w:cs="Calibri" w:eastAsia="Calibri" w:hAnsi="Calibri"/>
                <w:i/>
                <w:iCs/>
                <w:color w:val="34495E"/>
                <w:sz w:val="20"/>
                <w:szCs w:val="20"/>
              </w:rPr>
              <w:t xml:space="preserve">  · Historial: 5 (MIDTECH) vs 10 (recomendado)</w:t>
            </w:r>
          </w:p>
          <w:p>
            <w:pPr>
              <w:spacing w:after="30" w:before="30"/>
            </w:pPr>
            <w:r>
              <w:rPr>
                <w:rFonts w:ascii="Calibri" w:cs="Calibri" w:eastAsia="Calibri" w:hAnsi="Calibri"/>
                <w:i/>
                <w:iCs/>
                <w:color w:val="34495E"/>
                <w:sz w:val="20"/>
                <w:szCs w:val="20"/>
              </w:rPr>
              <w:t xml:space="preserve">  · MFA: ausente (MIDTECH) — obligatorio para datos de salud</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Recomendación: Actualizar Sección 3.2 → 12 chars mín., especiales obligatorios,</w:t>
            </w:r>
          </w:p>
          <w:p>
            <w:pPr>
              <w:spacing w:after="30" w:before="30"/>
            </w:pPr>
            <w:r>
              <w:rPr>
                <w:rFonts w:ascii="Calibri" w:cs="Calibri" w:eastAsia="Calibri" w:hAnsi="Calibri"/>
                <w:i/>
                <w:iCs/>
                <w:color w:val="34495E"/>
                <w:sz w:val="20"/>
                <w:szCs w:val="20"/>
              </w:rPr>
              <w:t xml:space="preserve">caducidad 90 días, historial 10. Implementar MFA FIDO2 con prioridad Alta.</w:t>
            </w:r>
          </w:p>
        </w:tc>
      </w:tr>
    </w:tbl>
    <w:p>
      <w:pPr>
        <w:spacing w:after="60" w:before="60"/>
      </w:pPr>
    </w:p>
    <w:p>
      <w:pPr>
        <w:spacing w:after="100" w:before="220"/>
      </w:pPr>
      <w:r>
        <w:rPr>
          <w:rFonts w:ascii="Calibri" w:cs="Calibri" w:eastAsia="Calibri" w:hAnsi="Calibri"/>
          <w:b/>
          <w:bCs/>
          <w:color w:val="2C3E50"/>
          <w:sz w:val="26"/>
          <w:szCs w:val="26"/>
        </w:rPr>
        <w:t xml:space="preserve">Pregunta 4: ¿Qué controles de ISO 27001 no estamos aplicando?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ACFD2" w:sz="1"/>
              <w:bottom w:val="single" w:color="CACFD2" w:sz="1"/>
              <w:right w:val="single" w:color="CACFD2" w:sz="1"/>
            </w:tcBorders>
            <w:shd w:fill="F8F9FA" w:val="clear"/>
            <w:tcMar>
              <w:top w:type="dxa" w:w="120"/>
              <w:left w:type="dxa" w:w="200"/>
              <w:bottom w:type="dxa" w:w="120"/>
              <w:right w:type="dxa" w:w="200"/>
            </w:tcMar>
          </w:tcPr>
          <w:p>
            <w:pPr>
              <w:spacing w:after="30" w:before="30"/>
            </w:pPr>
            <w:r>
              <w:rPr>
                <w:rFonts w:ascii="Calibri" w:cs="Calibri" w:eastAsia="Calibri" w:hAnsi="Calibri"/>
                <w:i/>
                <w:iCs/>
                <w:color w:val="34495E"/>
                <w:sz w:val="20"/>
                <w:szCs w:val="20"/>
              </w:rPr>
              <w:t xml:space="preserve">Basándome en el Anexo A de PSI-MIDTECH-2025-v2.1 (tabla de controles implementados):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NO IMPLEMENTADOS (declarados en la propia política):</w:t>
            </w:r>
          </w:p>
          <w:p>
            <w:pPr>
              <w:spacing w:after="30" w:before="30"/>
            </w:pPr>
            <w:r>
              <w:rPr>
                <w:rFonts w:ascii="Calibri" w:cs="Calibri" w:eastAsia="Calibri" w:hAnsi="Calibri"/>
                <w:i/>
                <w:iCs/>
                <w:color w:val="34495E"/>
                <w:sz w:val="20"/>
                <w:szCs w:val="20"/>
              </w:rPr>
              <w:t xml:space="preserve">  · A.9.4.2 — MFA: 'En evaluación presupuestaria'</w:t>
            </w:r>
          </w:p>
          <w:p>
            <w:pPr>
              <w:spacing w:after="30" w:before="30"/>
            </w:pPr>
            <w:r>
              <w:rPr>
                <w:rFonts w:ascii="Calibri" w:cs="Calibri" w:eastAsia="Calibri" w:hAnsi="Calibri"/>
                <w:i/>
                <w:iCs/>
                <w:color w:val="34495E"/>
                <w:sz w:val="20"/>
                <w:szCs w:val="20"/>
              </w:rPr>
              <w:t xml:space="preserve">  · A.17.1 — Continuidad TIC: 'No existe BCP ni DRP documentados'</w:t>
            </w:r>
          </w:p>
          <w:p>
            <w:pPr>
              <w:spacing w:after="30" w:before="30"/>
            </w:pPr>
            <w:r>
              <w:rPr>
                <w:rFonts w:ascii="Calibri" w:cs="Calibri" w:eastAsia="Calibri" w:hAnsi="Calibri"/>
                <w:i/>
                <w:iCs/>
                <w:color w:val="34495E"/>
                <w:sz w:val="20"/>
                <w:szCs w:val="20"/>
              </w:rPr>
              <w:t xml:space="preserve">  · A.15.1 — Seguridad proveedores: 'Sin cláusulas en contratos'</w:t>
            </w:r>
          </w:p>
          <w:p>
            <w:pPr>
              <w:spacing w:after="30" w:before="30"/>
            </w:pPr>
            <w:r>
              <w:rPr>
                <w:rFonts w:ascii="Calibri" w:cs="Calibri" w:eastAsia="Calibri" w:hAnsi="Calibri"/>
                <w:i/>
                <w:iCs/>
                <w:color w:val="34495E"/>
                <w:sz w:val="20"/>
                <w:szCs w:val="20"/>
              </w:rPr>
              <w:t xml:space="preserve">  · A.18.2 — Revisión independiente: 'Sin auditoría interna ni métricas'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PARCIALMENTE IMPLEMENTADOS:</w:t>
            </w:r>
          </w:p>
          <w:p>
            <w:pPr>
              <w:spacing w:after="30" w:before="30"/>
            </w:pPr>
            <w:r>
              <w:rPr>
                <w:rFonts w:ascii="Calibri" w:cs="Calibri" w:eastAsia="Calibri" w:hAnsi="Calibri"/>
                <w:i/>
                <w:iCs/>
                <w:color w:val="34495E"/>
                <w:sz w:val="20"/>
                <w:szCs w:val="20"/>
              </w:rPr>
              <w:t xml:space="preserve">  · A.9.4.3 — Contraseñas: existe política pero insuficiente (8 chars, 180 días)</w:t>
            </w:r>
          </w:p>
          <w:p>
            <w:pPr>
              <w:spacing w:after="30" w:before="30"/>
            </w:pPr>
            <w:r>
              <w:rPr>
                <w:rFonts w:ascii="Calibri" w:cs="Calibri" w:eastAsia="Calibri" w:hAnsi="Calibri"/>
                <w:i/>
                <w:iCs/>
                <w:color w:val="34495E"/>
                <w:sz w:val="20"/>
                <w:szCs w:val="20"/>
              </w:rPr>
              <w:t xml:space="preserve">  · A.12.3 — Backups: existen pero sin copia offsite ni pruebas restauración</w:t>
            </w:r>
          </w:p>
          <w:p>
            <w:pPr>
              <w:spacing w:after="30" w:before="30"/>
            </w:pPr>
            <w:r>
              <w:rPr>
                <w:rFonts w:ascii="Calibri" w:cs="Calibri" w:eastAsia="Calibri" w:hAnsi="Calibri"/>
                <w:i/>
                <w:iCs/>
                <w:color w:val="34495E"/>
                <w:sz w:val="20"/>
                <w:szCs w:val="20"/>
              </w:rPr>
              <w:t xml:space="preserve">  · A.16.1 — Incidentes: proceso básico pero sin severidad ni plazo 72h GDPR</w:t>
            </w:r>
          </w:p>
          <w:p>
            <w:pPr>
              <w:spacing w:after="30" w:before="30"/>
            </w:pPr>
            <w:r>
              <w:rPr>
                <w:rFonts w:ascii="Calibri" w:cs="Calibri" w:eastAsia="Calibri" w:hAnsi="Calibri"/>
                <w:i/>
                <w:iCs/>
                <w:color w:val="34495E"/>
                <w:sz w:val="20"/>
                <w:szCs w:val="20"/>
              </w:rPr>
              <w:t xml:space="preserve">  · A.7.2.2 — Concienciación: solo onboarding, sin formación continua ni registros</w:t>
            </w:r>
          </w:p>
          <w:p>
            <w:pPr>
              <w:spacing w:after="30" w:before="30"/>
            </w:pPr>
            <w:r>
              <w:rPr>
                <w:rFonts w:ascii="Calibri" w:cs="Calibri" w:eastAsia="Calibri" w:hAnsi="Calibri"/>
                <w:i/>
                <w:iCs/>
                <w:color w:val="34495E"/>
                <w:sz w:val="20"/>
                <w:szCs w:val="20"/>
              </w:rPr>
              <w:t xml:space="preserve"/>
            </w:r>
          </w:p>
          <w:p>
            <w:pPr>
              <w:spacing w:after="30" w:before="30"/>
            </w:pPr>
            <w:r>
              <w:rPr>
                <w:rFonts w:ascii="Calibri" w:cs="Calibri" w:eastAsia="Calibri" w:hAnsi="Calibri"/>
                <w:i/>
                <w:iCs/>
                <w:color w:val="34495E"/>
                <w:sz w:val="20"/>
                <w:szCs w:val="20"/>
              </w:rPr>
              <w:t xml:space="preserve">❌ VEREDICTO: NO CUMPLE en 4 controles. CUMPLE PARCIALMENTE en 4 controles adicionales.</w:t>
            </w:r>
          </w:p>
        </w:tc>
      </w:tr>
    </w:tbl>
    <w:p>
      <w:pPr>
        <w:spacing w:after="60" w:before="60"/>
      </w:pPr>
    </w:p>
    <w:p>
      <w:pPr>
        <w:spacing w:after="100" w:before="220"/>
      </w:pPr>
      <w:r>
        <w:rPr>
          <w:rFonts w:ascii="Calibri" w:cs="Calibri" w:eastAsia="Calibri" w:hAnsi="Calibri"/>
          <w:b/>
          <w:bCs/>
          <w:color w:val="2C3E50"/>
          <w:sz w:val="26"/>
          <w:szCs w:val="26"/>
        </w:rPr>
        <w:t xml:space="preserve">Valoración crítica</w:t>
      </w:r>
    </w:p>
    <w:p>
      <w:pPr>
        <w:spacing w:after="60" w:before="60"/>
        <w:jc w:val="both"/>
      </w:pPr>
      <w:r>
        <w:rPr>
          <w:rFonts w:ascii="Calibri" w:cs="Calibri" w:eastAsia="Calibri" w:hAnsi="Calibri"/>
          <w:color w:val="1A252F"/>
          <w:sz w:val="22"/>
          <w:szCs w:val="22"/>
        </w:rPr>
        <w:t xml:space="preserve">Las 4 respuestas citan sección exacta de PSI-MIDTECH-2025-v2.1 y artículo/control normativo específico. La pregunta sobre el DPO es la de mayor impacto: la sanción potencial (10 M€) es cuantificable y la brecha está admitida textualmente en Sección 11. El prompt fue iterado para prohibir respuestas sin doble cita (política + normativa) — sin esa restricción el modelo generaliza.</w:t>
      </w:r>
    </w:p>
    <w:p>
      <w:pPr>
        <w:spacing w:after="60" w:before="60"/>
      </w:pPr>
    </w:p>
    <w:p>
      <w:pPr>
        <w:pBdr>
          <w:bottom w:val="single" w:color="CACFD2" w:sz="2" w:space="1"/>
        </w:pBdr>
        <w:spacing w:after="80" w:before="80"/>
      </w:pPr>
    </w:p>
    <w:p>
      <w:pPr>
        <w:spacing w:after="60" w:before="60"/>
      </w:pPr>
    </w:p>
    <w:p>
      <w:pPr>
        <w:spacing w:after="160" w:before="360"/>
      </w:pPr>
      <w:r>
        <w:rPr>
          <w:rFonts w:ascii="Calibri" w:cs="Calibri" w:eastAsia="Calibri" w:hAnsi="Calibri"/>
          <w:b/>
          <w:bCs/>
          <w:color w:val="C0392B"/>
          <w:sz w:val="32"/>
          <w:szCs w:val="32"/>
        </w:rPr>
        <w:t xml:space="preserve">Capacidad 4 — Propuestas de mejora priorizadas</w:t>
      </w:r>
    </w:p>
    <w:p>
      <w:pPr>
        <w:spacing w:after="100" w:before="220"/>
      </w:pPr>
      <w:r>
        <w:rPr>
          <w:rFonts w:ascii="Calibri" w:cs="Calibri" w:eastAsia="Calibri" w:hAnsi="Calibri"/>
          <w:b/>
          <w:bCs/>
          <w:color w:val="2C3E50"/>
          <w:sz w:val="26"/>
          <w:szCs w:val="26"/>
        </w:rPr>
        <w:t xml:space="preserve">Prompt de sistema — pegar en: AI Agent →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ACFD2" w:sz="1"/>
              <w:left w:val="single" w:color="C0392B" w:sz="8"/>
              <w:bottom w:val="single" w:color="CACFD2" w:sz="1"/>
              <w:right w:val="single" w:color="CACFD2" w:sz="1"/>
            </w:tcBorders>
            <w:shd w:fill="FDFEFE" w:val="clear"/>
            <w:tcMar>
              <w:top w:type="dxa" w:w="120"/>
              <w:left w:type="dxa" w:w="200"/>
              <w:bottom w:type="dxa" w:w="120"/>
              <w:right w:type="dxa" w:w="200"/>
            </w:tcMar>
          </w:tcPr>
          <w:p>
            <w:pPr>
              <w:spacing w:after="30" w:before="30"/>
            </w:pPr>
            <w:r>
              <w:rPr>
                <w:rFonts w:ascii="Courier New" w:cs="Courier New" w:eastAsia="Courier New" w:hAnsi="Courier New"/>
                <w:color w:val="1A252F"/>
                <w:sz w:val="19"/>
                <w:szCs w:val="19"/>
              </w:rPr>
              <w:t xml:space="preserve">Eres PhishGuard AI, consultor de ciberseguridad y compliance para MIDTECH S.A.</w:t>
            </w:r>
          </w:p>
          <w:p>
            <w:pPr>
              <w:spacing w:after="30" w:before="30"/>
            </w:pPr>
            <w:r>
              <w:rPr>
                <w:rFonts w:ascii="Courier New" w:cs="Courier New" w:eastAsia="Courier New" w:hAnsi="Courier New"/>
                <w:color w:val="1A252F"/>
                <w:sz w:val="19"/>
                <w:szCs w:val="19"/>
              </w:rPr>
              <w:t xml:space="preserve">Genera un plan de acción priorizado basado en las brechas de PSI-MIDTECH-2025-v2.1.</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INSTRUCCIONES OBLIGATORIAS:</w:t>
            </w:r>
          </w:p>
          <w:p>
            <w:pPr>
              <w:spacing w:after="30" w:before="30"/>
            </w:pPr>
            <w:r>
              <w:rPr>
                <w:rFonts w:ascii="Courier New" w:cs="Courier New" w:eastAsia="Courier New" w:hAnsi="Courier New"/>
                <w:color w:val="1A252F"/>
                <w:sz w:val="19"/>
                <w:szCs w:val="19"/>
              </w:rPr>
              <w:t xml:space="preserve">1. Cada mejora debe estar vinculada a una brecha real de la política MIDTECH.</w:t>
            </w:r>
          </w:p>
          <w:p>
            <w:pPr>
              <w:spacing w:after="30" w:before="30"/>
            </w:pPr>
            <w:r>
              <w:rPr>
                <w:rFonts w:ascii="Courier New" w:cs="Courier New" w:eastAsia="Courier New" w:hAnsi="Courier New"/>
                <w:color w:val="1A252F"/>
                <w:sz w:val="19"/>
                <w:szCs w:val="19"/>
              </w:rPr>
              <w:t xml:space="preserve">2. Cita siempre la normativa que la justifica (artículo o control exacto).</w:t>
            </w:r>
          </w:p>
          <w:p>
            <w:pPr>
              <w:spacing w:after="30" w:before="30"/>
            </w:pPr>
            <w:r>
              <w:rPr>
                <w:rFonts w:ascii="Courier New" w:cs="Courier New" w:eastAsia="Courier New" w:hAnsi="Courier New"/>
                <w:color w:val="1A252F"/>
                <w:sz w:val="19"/>
                <w:szCs w:val="19"/>
              </w:rPr>
              <w:t xml:space="preserve">3. Considera amenazas de IA generativa: spear phishing personalizado,</w:t>
            </w:r>
          </w:p>
          <w:p>
            <w:pPr>
              <w:spacing w:after="30" w:before="30"/>
            </w:pPr>
            <w:r>
              <w:rPr>
                <w:rFonts w:ascii="Courier New" w:cs="Courier New" w:eastAsia="Courier New" w:hAnsi="Courier New"/>
                <w:color w:val="1A252F"/>
                <w:sz w:val="19"/>
                <w:szCs w:val="19"/>
              </w:rPr>
              <w:t xml:space="preserve">   deepfakes de voz, spoofing avanzado de dominios.</w:t>
            </w:r>
          </w:p>
          <w:p>
            <w:pPr>
              <w:spacing w:after="30" w:before="30"/>
            </w:pPr>
            <w:r>
              <w:rPr>
                <w:rFonts w:ascii="Courier New" w:cs="Courier New" w:eastAsia="Courier New" w:hAnsi="Courier New"/>
                <w:color w:val="1A252F"/>
                <w:sz w:val="19"/>
                <w:szCs w:val="19"/>
              </w:rPr>
              <w:t xml:space="preserve">4. Ordena por prioridad: primero las de mayor riesgo de sanción o brecha.</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CRITERIOS:</w:t>
            </w:r>
          </w:p>
          <w:p>
            <w:pPr>
              <w:spacing w:after="30" w:before="30"/>
            </w:pPr>
            <w:r>
              <w:rPr>
                <w:rFonts w:ascii="Courier New" w:cs="Courier New" w:eastAsia="Courier New" w:hAnsi="Courier New"/>
                <w:color w:val="1A252F"/>
                <w:sz w:val="19"/>
                <w:szCs w:val="19"/>
              </w:rPr>
              <w:t xml:space="preserve">- Prioridad Alta: sanción directa o brecha de datos personales</w:t>
            </w:r>
          </w:p>
          <w:p>
            <w:pPr>
              <w:spacing w:after="30" w:before="30"/>
            </w:pPr>
            <w:r>
              <w:rPr>
                <w:rFonts w:ascii="Courier New" w:cs="Courier New" w:eastAsia="Courier New" w:hAnsi="Courier New"/>
                <w:color w:val="1A252F"/>
                <w:sz w:val="19"/>
                <w:szCs w:val="19"/>
              </w:rPr>
              <w:t xml:space="preserve">- Prioridad Media: control ausente que reduce la resiliencia</w:t>
            </w:r>
          </w:p>
          <w:p>
            <w:pPr>
              <w:spacing w:after="30" w:before="30"/>
            </w:pPr>
            <w:r>
              <w:rPr>
                <w:rFonts w:ascii="Courier New" w:cs="Courier New" w:eastAsia="Courier New" w:hAnsi="Courier New"/>
                <w:color w:val="1A252F"/>
                <w:sz w:val="19"/>
                <w:szCs w:val="19"/>
              </w:rPr>
              <w:t xml:space="preserve">- Prioridad Baja: mejora de buenas prácticas</w:t>
            </w:r>
          </w:p>
          <w:p>
            <w:pPr>
              <w:spacing w:after="30" w:before="30"/>
            </w:pPr>
            <w:r>
              <w:rPr>
                <w:rFonts w:ascii="Courier New" w:cs="Courier New" w:eastAsia="Courier New" w:hAnsi="Courier New"/>
                <w:color w:val="1A252F"/>
                <w:sz w:val="19"/>
                <w:szCs w:val="19"/>
              </w:rPr>
              <w:t xml:space="preserve">- Esfuerzo Alto: &gt;3 meses · Medio: 1-3 meses · Bajo: &lt;1 mes</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FORMATO OBLIGATORIO (tabla markdown):</w:t>
            </w:r>
          </w:p>
          <w:p>
            <w:pPr>
              <w:spacing w:after="30" w:before="30"/>
            </w:pPr>
            <w:r>
              <w:rPr>
                <w:rFonts w:ascii="Courier New" w:cs="Courier New" w:eastAsia="Courier New" w:hAnsi="Courier New"/>
                <w:color w:val="1A252F"/>
                <w:sz w:val="19"/>
                <w:szCs w:val="19"/>
              </w:rPr>
              <w:t xml:space="preserve">| Mejora propuesta | Normativa | Prioridad | Esfuerzo |</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Añade al final:</w:t>
            </w:r>
          </w:p>
          <w:p>
            <w:pPr>
              <w:spacing w:after="30" w:before="30"/>
            </w:pPr>
            <w:r>
              <w:rPr>
                <w:rFonts w:ascii="Courier New" w:cs="Courier New" w:eastAsia="Courier New" w:hAnsi="Courier New"/>
                <w:color w:val="1A252F"/>
                <w:sz w:val="19"/>
                <w:szCs w:val="19"/>
              </w:rPr>
              <w:t xml:space="preserve">🛡️ MEDIDAS ESPECÍFICAS FRENTE A PHISHING POR IA:</w:t>
            </w:r>
          </w:p>
          <w:p>
            <w:pPr>
              <w:spacing w:after="30" w:before="30"/>
            </w:pPr>
            <w:r>
              <w:rPr>
                <w:rFonts w:ascii="Courier New" w:cs="Courier New" w:eastAsia="Courier New" w:hAnsi="Courier New"/>
                <w:color w:val="1A252F"/>
                <w:sz w:val="19"/>
                <w:szCs w:val="19"/>
              </w:rPr>
              <w:t xml:space="preserve">• [medida anti-phishing IA con justificación normativa]</w:t>
            </w:r>
          </w:p>
          <w:p>
            <w:pPr>
              <w:spacing w:after="30" w:before="30"/>
            </w:pPr>
            <w:r>
              <w:rPr>
                <w:rFonts w:ascii="Courier New" w:cs="Courier New" w:eastAsia="Courier New" w:hAnsi="Courier New"/>
                <w:color w:val="1A252F"/>
                <w:sz w:val="19"/>
                <w:szCs w:val="19"/>
              </w:rPr>
              <w:t xml:space="preserve"/>
            </w:r>
          </w:p>
          <w:p>
            <w:pPr>
              <w:spacing w:after="30" w:before="30"/>
            </w:pPr>
            <w:r>
              <w:rPr>
                <w:rFonts w:ascii="Courier New" w:cs="Courier New" w:eastAsia="Courier New" w:hAnsi="Courier New"/>
                <w:color w:val="1A252F"/>
                <w:sz w:val="19"/>
                <w:szCs w:val="19"/>
              </w:rPr>
              <w:t xml:space="preserve">Contexto: {{ $json.context }}</w:t>
            </w:r>
          </w:p>
        </w:tc>
      </w:tr>
    </w:tbl>
    <w:p>
      <w:pPr>
        <w:spacing w:after="60" w:before="60"/>
      </w:pPr>
    </w:p>
    <w:p>
      <w:pPr>
        <w:spacing w:after="100" w:before="220"/>
      </w:pPr>
      <w:r>
        <w:rPr>
          <w:rFonts w:ascii="Calibri" w:cs="Calibri" w:eastAsia="Calibri" w:hAnsi="Calibri"/>
          <w:b/>
          <w:bCs/>
          <w:color w:val="2C3E50"/>
          <w:sz w:val="26"/>
          <w:szCs w:val="26"/>
        </w:rPr>
        <w:t xml:space="preserve">Respuesta obtenida — Plan de acción completo</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2300"/>
        <w:gridCol w:w="1100"/>
        <w:gridCol w:w="1060"/>
      </w:tblGrid>
      <w:tr>
        <w:trPr>
          <w:tblHeader/>
        </w:trPr>
        <w:tc>
          <w:tcPr>
            <w:tcW w:type="dxa" w:w="3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Mejora propuesta</w:t>
            </w:r>
          </w:p>
        </w:tc>
        <w:tc>
          <w:tcPr>
            <w:tcW w:type="dxa" w:w="23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Normativa</w:t>
            </w:r>
          </w:p>
        </w:tc>
        <w:tc>
          <w:tcPr>
            <w:tcW w:type="dxa" w:w="11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Prioridad</w:t>
            </w:r>
          </w:p>
        </w:tc>
        <w:tc>
          <w:tcPr>
            <w:tcW w:type="dxa" w:w="10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Esfuerzo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Designar DPO externo certificado y notificar a la AEPD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37 / LOPDGDD Art. 34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Implementar MFA FIDO2 para todos los sistemas con datos clínicos</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A.9.4.2 / ENS op.acc.5</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Realizar EIPD para todos los tratamientos de alto riesgo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Añadir cláusulas de seguridad obligatorias en contratos proveedores</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A.5.19 / GDPR Art. 28</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Documentar BCP/DRP y realizar prueba de continuidad anual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A.17.1 / ENS op.cont.1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6</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Contratar backup offsite o réplica cifrada en cloud</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A.12.3</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Actualizar Sección 7: severidad + procedimiento notificación 72h AEPD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33 / ISO 27001 A.16.1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8</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Documentar política cifrado en tránsito con TLS 1.2+ mínimo obligatorio</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32 / ISO 27001 A.10.1.1</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Configurar DMARC / SPF / DKIM en todos los dominios de correo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32 / ISO 27001 A.8.23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10</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Actualizar Sec. 3.2: 12 chars, caducidad 90 días, historial 10, especiales</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A.9.4.3 / ENS op.acc.6</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Programa de formación continua anti-phishing IA trimestral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ENS mp.s.2 / ISO 27001 A.6.3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12</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Completar RAT y revisar formularios de consentimiento</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GDPR Art. 30</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Inventariar SaaS de terceros y clasificar activos por criticidad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A.8.1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14</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Implementar SIEM con alertas de comportamiento anómalo (UBA)</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A.8.16 / ENS op.exp.8</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Extender control físico equivalente a Madrid y Barcelona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A.11.1 / ENS mp.if.1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Media</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Alto</w:t>
            </w:r>
          </w:p>
        </w:tc>
      </w:tr>
      <w:tr>
        <w:tc>
          <w:tcPr>
            <w:tcW w:type="dxa" w:w="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16</w:t>
            </w:r>
          </w:p>
        </w:tc>
        <w:tc>
          <w:tcPr>
            <w:tcW w:type="dxa" w:w="35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Auditoría interna anual con métricas e indicadores de seguimiento</w:t>
            </w:r>
          </w:p>
        </w:tc>
        <w:tc>
          <w:tcPr>
            <w:tcW w:type="dxa" w:w="23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ISO 27001 A.18.2 / ENS op.exp.1</w:t>
            </w:r>
          </w:p>
        </w:tc>
        <w:tc>
          <w:tcPr>
            <w:tcW w:type="dxa" w:w="11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Baja</w:t>
            </w:r>
          </w:p>
        </w:tc>
        <w:tc>
          <w:tcPr>
            <w:tcW w:type="dxa" w:w="10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Medio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EF9E7" w:val="clear"/>
            <w:tcMar>
              <w:top w:type="dxa" w:w="120"/>
              <w:left w:type="dxa" w:w="200"/>
              <w:bottom w:type="dxa" w:w="120"/>
              <w:right w:type="dxa" w:w="200"/>
            </w:tcMar>
          </w:tcPr>
          <w:p>
            <w:r>
              <w:rPr>
                <w:rFonts w:ascii="Calibri" w:cs="Calibri" w:eastAsia="Calibri" w:hAnsi="Calibri"/>
                <w:i/>
                <w:iCs/>
                <w:color w:val="1A252F"/>
                <w:sz w:val="21"/>
                <w:szCs w:val="21"/>
              </w:rPr>
              <w:t xml:space="preserve">🛡️ MEDIDAS ESPECÍFICAS FRENTE A PHISHING POR IA:
• Configurar DMARC (política 'reject') + SPF + DKIM para bloquear spoofing del dominio midtech.es (ISO 27001 A.8.23).
• Desplegar simulaciones de spear phishing con LLMs trimestralmente — correos personalizados al organigrama real de MIDTECH (ENS mp.s.2).
• Implementar filtro anti-deepfake de voz en líneas de atención a proveedores hospitalarios (ISO 27001 A.6.3).
• Protocolo de verificación fuera de banda para solicitudes de transferencia bancaria o cambio de credenciales recibidas por correo (GDPR Art. 32).</w:t>
            </w:r>
          </w:p>
        </w:tc>
      </w:tr>
    </w:tbl>
    <w:p>
      <w:pPr>
        <w:spacing w:after="60" w:before="60"/>
      </w:pPr>
    </w:p>
    <w:p>
      <w:pPr>
        <w:spacing w:after="100" w:before="220"/>
      </w:pPr>
      <w:r>
        <w:rPr>
          <w:rFonts w:ascii="Calibri" w:cs="Calibri" w:eastAsia="Calibri" w:hAnsi="Calibri"/>
          <w:b/>
          <w:bCs/>
          <w:color w:val="2C3E50"/>
          <w:sz w:val="26"/>
          <w:szCs w:val="26"/>
        </w:rPr>
        <w:t xml:space="preserve">Valoración crítica</w:t>
      </w:r>
    </w:p>
    <w:p>
      <w:pPr>
        <w:spacing w:after="60" w:before="60"/>
        <w:jc w:val="both"/>
      </w:pPr>
      <w:r>
        <w:rPr>
          <w:rFonts w:ascii="Calibri" w:cs="Calibri" w:eastAsia="Calibri" w:hAnsi="Calibri"/>
          <w:color w:val="1A252F"/>
          <w:sz w:val="22"/>
          <w:szCs w:val="22"/>
        </w:rPr>
        <w:t xml:space="preserve">El plan cubre exactamente las 16 brechas de PSI-MIDTECH-2025-v2.1 en orden de riesgo sancionador. La prioridad del DPO en posición 1 es correcta: es la brecha con mayor riesgo legal (hasta 10 M€ o 2% facturación global) y menor esfuerzo de implementación. La instrucción de considerar amenazas IA generativa produce 4 medidas específicas que diferencian PhishGuard AI de un asistente de compliance genérico. Primera iteración: el plan mezclaba mejoras genéricas con específicas. Ajuste: se exigió vincular cada mejora a una sección concreta de la política MIDTECH.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4495E" w:sz="1"/>
              <w:left w:val="single" w:color="34495E" w:sz="1"/>
              <w:bottom w:val="single" w:color="34495E" w:sz="1"/>
              <w:right w:val="single" w:color="34495E" w:sz="1"/>
            </w:tcBorders>
            <w:shd w:fill="34495E" w:val="clear"/>
            <w:tcMar>
              <w:top w:type="dxa" w:w="180"/>
              <w:left w:type="dxa" w:w="320"/>
              <w:bottom w:type="dxa" w:w="180"/>
              <w:right w:type="dxa" w:w="320"/>
            </w:tcMar>
          </w:tcPr>
          <w:p>
            <w:pPr>
              <w:spacing w:after="40" w:before="40"/>
              <w:jc w:val="center"/>
            </w:pPr>
            <w:r>
              <w:rPr>
                <w:rFonts w:ascii="Calibri" w:cs="Calibri" w:eastAsia="Calibri" w:hAnsi="Calibri"/>
                <w:b/>
                <w:bCs/>
                <w:color w:val="FFFFFF"/>
                <w:sz w:val="34"/>
                <w:szCs w:val="34"/>
              </w:rPr>
              <w:t xml:space="preserve">FASE 4 — DEMOSTRACIÓN Y ENTREGA</w:t>
            </w:r>
          </w:p>
          <w:p>
            <w:pPr>
              <w:spacing w:after="40" w:before="40"/>
              <w:jc w:val="center"/>
            </w:pPr>
            <w:r>
              <w:rPr>
                <w:rFonts w:ascii="Calibri" w:cs="Calibri" w:eastAsia="Calibri" w:hAnsi="Calibri"/>
                <w:b w:val="false"/>
                <w:bCs w:val="false"/>
                <w:color w:val="FFCCCC"/>
                <w:sz w:val="20"/>
                <w:szCs w:val="20"/>
              </w:rPr>
              <w:t xml:space="preserve">Peso en nota: 15 %  ·  Evidencias verificables y documento final en Scola</w:t>
            </w:r>
          </w:p>
        </w:tc>
      </w:tr>
    </w:tbl>
    <w:p>
      <w:pPr>
        <w:spacing w:after="60" w:before="60"/>
      </w:pPr>
    </w:p>
    <w:p>
      <w:pPr>
        <w:spacing w:after="160" w:before="360"/>
      </w:pPr>
      <w:r>
        <w:rPr>
          <w:rFonts w:ascii="Calibri" w:cs="Calibri" w:eastAsia="Calibri" w:hAnsi="Calibri"/>
          <w:b/>
          <w:bCs/>
          <w:color w:val="C0392B"/>
          <w:sz w:val="32"/>
          <w:szCs w:val="32"/>
        </w:rPr>
        <w:t xml:space="preserve">1. Acceso al asistente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Elemento</w:t>
            </w:r>
          </w:p>
        </w:tc>
        <w:tc>
          <w:tcPr>
            <w:tcW w:type="dxa" w:w="69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URL del asistente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https://[workspace].app.n8n.cloud/chat/[id-workflow] (activa durante el período de evaluación)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Plataforma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n8n Cloud — plan gratuito, siempre activo, sin instalación para el evaluador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Credenciales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Entregadas en documento separado adjunto en Scola (nunca en el repositorio GitHub)</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Repositorio GitHub</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https://github.com/[idalumno]/tfc-asistente-ciberseguridad-y-compliance (público)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EF9E7" w:val="clear"/>
            <w:tcMar>
              <w:top w:type="dxa" w:w="120"/>
              <w:left w:type="dxa" w:w="200"/>
              <w:bottom w:type="dxa" w:w="120"/>
              <w:right w:type="dxa" w:w="200"/>
            </w:tcMar>
          </w:tcPr>
          <w:p>
            <w:r>
              <w:rPr>
                <w:rFonts w:ascii="Calibri" w:cs="Calibri" w:eastAsia="Calibri" w:hAnsi="Calibri"/>
                <w:i/>
                <w:iCs/>
                <w:color w:val="1A252F"/>
                <w:sz w:val="21"/>
                <w:szCs w:val="21"/>
              </w:rPr>
              <w:t xml:space="preserve">IMPORTANTE: Las credenciales de acceso se entregan EXCLUSIVAMENTE en documento separado cifrado en Scola, nunca en el repositorio público de GitHub ni en este documento.</w:t>
            </w:r>
          </w:p>
        </w:tc>
      </w:tr>
    </w:tbl>
    <w:p>
      <w:pPr>
        <w:spacing w:after="60" w:before="60"/>
      </w:pPr>
    </w:p>
    <w:p>
      <w:pPr>
        <w:spacing w:after="160" w:before="360"/>
      </w:pPr>
      <w:r>
        <w:rPr>
          <w:rFonts w:ascii="Calibri" w:cs="Calibri" w:eastAsia="Calibri" w:hAnsi="Calibri"/>
          <w:b/>
          <w:bCs/>
          <w:color w:val="C0392B"/>
          <w:sz w:val="32"/>
          <w:szCs w:val="32"/>
        </w:rPr>
        <w:t xml:space="preserve">2. Evidencias de las cuatro capacidades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Capacidad</w:t>
            </w:r>
          </w:p>
        </w:tc>
        <w:tc>
          <w:tcPr>
            <w:tcW w:type="dxa" w:w="18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Evidencia</w:t>
            </w:r>
          </w:p>
        </w:tc>
        <w:tc>
          <w:tcPr>
            <w:tcW w:type="dxa" w:w="53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Descripción verificable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 1 — Análisis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Captura de pantalla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Muestra PSI-MIDTECH-2025-v2.1 cargado y respuesta con 3 bloques: 8 áreas cubiertas con sección exacta, 9 limitaciones auto-declaradas citadas textualmente y 4 áreas ausentes.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 2 — Gap Analysis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Captura de pantalla</w:t>
            </w:r>
          </w:p>
        </w:tc>
        <w:tc>
          <w:tcPr>
            <w:tcW w:type="dxa" w:w="5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con 16 incumplimientos reales: sección MIDTECH + referencia normativa exacta (A.X.Y / Art. X) + criticidad. 7 críticos, 8 medios, 1 bajo.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 3 — Q&amp;A Auditoría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Captura de pantalla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 preguntas con respuestas que citan sección exacta de la política y artículo normativo, con veredicto ✅/⚠️/❌. Incluye pregunta DPO obligatorio.</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 4 — Mejoras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Captura de pantalla</w:t>
            </w:r>
          </w:p>
        </w:tc>
        <w:tc>
          <w:tcPr>
            <w:tcW w:type="dxa" w:w="53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de 16 mejoras ordenadas por prioridad con normativa, prioridad y esfuerzo. Sección extra de medidas anti-phishing IA.</w:t>
            </w:r>
          </w:p>
        </w:tc>
      </w:tr>
    </w:tbl>
    <w:p>
      <w:pPr>
        <w:spacing w:after="60" w:before="60"/>
      </w:pPr>
    </w:p>
    <w:p>
      <w:pPr>
        <w:spacing w:after="160" w:before="360"/>
      </w:pPr>
      <w:r>
        <w:rPr>
          <w:rFonts w:ascii="Calibri" w:cs="Calibri" w:eastAsia="Calibri" w:hAnsi="Calibri"/>
          <w:b/>
          <w:bCs/>
          <w:color w:val="C0392B"/>
          <w:sz w:val="32"/>
          <w:szCs w:val="32"/>
        </w:rPr>
        <w:t xml:space="preserve">3. Estructura del repositorio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2A38" w:val="clear"/>
            <w:tcMar>
              <w:top w:type="dxa" w:w="140"/>
              <w:left w:type="dxa" w:w="220"/>
              <w:bottom w:type="dxa" w:w="140"/>
              <w:right w:type="dxa" w:w="220"/>
            </w:tcMar>
          </w:tcPr>
          <w:p>
            <w:pPr>
              <w:spacing w:after="20" w:before="20"/>
            </w:pPr>
            <w:r>
              <w:rPr>
                <w:rFonts w:ascii="Courier New" w:cs="Courier New" w:eastAsia="Courier New" w:hAnsi="Courier New"/>
                <w:color w:val="98FB98"/>
                <w:sz w:val="18"/>
                <w:szCs w:val="18"/>
              </w:rPr>
              <w:t xml:space="preserve">tfc-asistente-ciberseguridad-y-compliance/</w:t>
            </w:r>
          </w:p>
          <w:p>
            <w:pPr>
              <w:spacing w:after="20" w:before="20"/>
            </w:pPr>
            <w:r>
              <w:rPr>
                <w:rFonts w:ascii="Courier New" w:cs="Courier New" w:eastAsia="Courier New" w:hAnsi="Courier New"/>
                <w:color w:val="98FB98"/>
                <w:sz w:val="18"/>
                <w:szCs w:val="18"/>
              </w:rPr>
              <w:t xml:space="preserve">├── README.md                    # Descripción del proyecto + URL del asistente</w:t>
            </w:r>
          </w:p>
          <w:p>
            <w:pPr>
              <w:spacing w:after="20" w:before="20"/>
            </w:pPr>
            <w:r>
              <w:rPr>
                <w:rFonts w:ascii="Courier New" w:cs="Courier New" w:eastAsia="Courier New" w:hAnsi="Courier New"/>
                <w:color w:val="98FB98"/>
                <w:sz w:val="18"/>
                <w:szCs w:val="18"/>
              </w:rPr>
              <w:t xml:space="preserve">├── docs/</w:t>
            </w:r>
          </w:p>
          <w:p>
            <w:pPr>
              <w:spacing w:after="20" w:before="20"/>
            </w:pPr>
            <w:r>
              <w:rPr>
                <w:rFonts w:ascii="Courier New" w:cs="Courier New" w:eastAsia="Courier New" w:hAnsi="Courier New"/>
                <w:color w:val="98FB98"/>
                <w:sz w:val="18"/>
                <w:szCs w:val="18"/>
              </w:rPr>
              <w:t xml:space="preserve">│   ├── arquitectura.md          # Descripción técnica del sistema</w:t>
            </w:r>
          </w:p>
          <w:p>
            <w:pPr>
              <w:spacing w:after="20" w:before="20"/>
            </w:pPr>
            <w:r>
              <w:rPr>
                <w:rFonts w:ascii="Courier New" w:cs="Courier New" w:eastAsia="Courier New" w:hAnsi="Courier New"/>
                <w:color w:val="98FB98"/>
                <w:sz w:val="18"/>
                <w:szCs w:val="18"/>
              </w:rPr>
              <w:t xml:space="preserve">│   ├── diagrama_flujo.png       # Diagrama de arquitectura exportado</w:t>
            </w:r>
          </w:p>
          <w:p>
            <w:pPr>
              <w:spacing w:after="20" w:before="20"/>
            </w:pPr>
            <w:r>
              <w:rPr>
                <w:rFonts w:ascii="Courier New" w:cs="Courier New" w:eastAsia="Courier New" w:hAnsi="Courier New"/>
                <w:color w:val="98FB98"/>
                <w:sz w:val="18"/>
                <w:szCs w:val="18"/>
              </w:rPr>
              <w:t xml:space="preserve">│   └── prompts/                 # Prompts versionados de las 4 capacidades</w:t>
            </w:r>
          </w:p>
          <w:p>
            <w:pPr>
              <w:spacing w:after="20" w:before="20"/>
            </w:pPr>
            <w:r>
              <w:rPr>
                <w:rFonts w:ascii="Courier New" w:cs="Courier New" w:eastAsia="Courier New" w:hAnsi="Courier New"/>
                <w:color w:val="98FB98"/>
                <w:sz w:val="18"/>
                <w:szCs w:val="18"/>
              </w:rPr>
              <w:t xml:space="preserve">│       ├── cap1_analisis.txt</w:t>
            </w:r>
          </w:p>
          <w:p>
            <w:pPr>
              <w:spacing w:after="20" w:before="20"/>
            </w:pPr>
            <w:r>
              <w:rPr>
                <w:rFonts w:ascii="Courier New" w:cs="Courier New" w:eastAsia="Courier New" w:hAnsi="Courier New"/>
                <w:color w:val="98FB98"/>
                <w:sz w:val="18"/>
                <w:szCs w:val="18"/>
              </w:rPr>
              <w:t xml:space="preserve">│       ├── cap2_gap_analysis.txt</w:t>
            </w:r>
          </w:p>
          <w:p>
            <w:pPr>
              <w:spacing w:after="20" w:before="20"/>
            </w:pPr>
            <w:r>
              <w:rPr>
                <w:rFonts w:ascii="Courier New" w:cs="Courier New" w:eastAsia="Courier New" w:hAnsi="Courier New"/>
                <w:color w:val="98FB98"/>
                <w:sz w:val="18"/>
                <w:szCs w:val="18"/>
              </w:rPr>
              <w:t xml:space="preserve">│       ├── cap3_auditoria_qa.txt</w:t>
            </w:r>
          </w:p>
          <w:p>
            <w:pPr>
              <w:spacing w:after="20" w:before="20"/>
            </w:pPr>
            <w:r>
              <w:rPr>
                <w:rFonts w:ascii="Courier New" w:cs="Courier New" w:eastAsia="Courier New" w:hAnsi="Courier New"/>
                <w:color w:val="98FB98"/>
                <w:sz w:val="18"/>
                <w:szCs w:val="18"/>
              </w:rPr>
              <w:t xml:space="preserve">│       └── cap4_mejoras.txt</w:t>
            </w:r>
          </w:p>
          <w:p>
            <w:pPr>
              <w:spacing w:after="20" w:before="20"/>
            </w:pPr>
            <w:r>
              <w:rPr>
                <w:rFonts w:ascii="Courier New" w:cs="Courier New" w:eastAsia="Courier New" w:hAnsi="Courier New"/>
                <w:color w:val="98FB98"/>
                <w:sz w:val="18"/>
                <w:szCs w:val="18"/>
              </w:rPr>
              <w:t xml:space="preserve">├── n8n/</w:t>
            </w:r>
          </w:p>
          <w:p>
            <w:pPr>
              <w:spacing w:after="20" w:before="20"/>
            </w:pPr>
            <w:r>
              <w:rPr>
                <w:rFonts w:ascii="Courier New" w:cs="Courier New" w:eastAsia="Courier New" w:hAnsi="Courier New"/>
                <w:color w:val="98FB98"/>
                <w:sz w:val="18"/>
                <w:szCs w:val="18"/>
              </w:rPr>
              <w:t xml:space="preserve">│   └── phishguard_workflow.json # Export del workflow de n8n (sin credenciales)</w:t>
            </w:r>
          </w:p>
          <w:p>
            <w:pPr>
              <w:spacing w:after="20" w:before="20"/>
            </w:pPr>
            <w:r>
              <w:rPr>
                <w:rFonts w:ascii="Courier New" w:cs="Courier New" w:eastAsia="Courier New" w:hAnsi="Courier New"/>
                <w:color w:val="98FB98"/>
                <w:sz w:val="18"/>
                <w:szCs w:val="18"/>
              </w:rPr>
              <w:t xml:space="preserve">└── evidencias/</w:t>
            </w:r>
          </w:p>
          <w:p>
            <w:pPr>
              <w:spacing w:after="20" w:before="20"/>
            </w:pPr>
            <w:r>
              <w:rPr>
                <w:rFonts w:ascii="Courier New" w:cs="Courier New" w:eastAsia="Courier New" w:hAnsi="Courier New"/>
                <w:color w:val="98FB98"/>
                <w:sz w:val="18"/>
                <w:szCs w:val="18"/>
              </w:rPr>
              <w:t xml:space="preserve">    ├── cap1_captura.png</w:t>
            </w:r>
          </w:p>
          <w:p>
            <w:pPr>
              <w:spacing w:after="20" w:before="20"/>
            </w:pPr>
            <w:r>
              <w:rPr>
                <w:rFonts w:ascii="Courier New" w:cs="Courier New" w:eastAsia="Courier New" w:hAnsi="Courier New"/>
                <w:color w:val="98FB98"/>
                <w:sz w:val="18"/>
                <w:szCs w:val="18"/>
              </w:rPr>
              <w:t xml:space="preserve">    ├── cap2_captura.png</w:t>
            </w:r>
          </w:p>
          <w:p>
            <w:pPr>
              <w:spacing w:after="20" w:before="20"/>
            </w:pPr>
            <w:r>
              <w:rPr>
                <w:rFonts w:ascii="Courier New" w:cs="Courier New" w:eastAsia="Courier New" w:hAnsi="Courier New"/>
                <w:color w:val="98FB98"/>
                <w:sz w:val="18"/>
                <w:szCs w:val="18"/>
              </w:rPr>
              <w:t xml:space="preserve">    ├── cap3_captura.png</w:t>
            </w:r>
          </w:p>
          <w:p>
            <w:pPr>
              <w:spacing w:after="20" w:before="20"/>
            </w:pPr>
            <w:r>
              <w:rPr>
                <w:rFonts w:ascii="Courier New" w:cs="Courier New" w:eastAsia="Courier New" w:hAnsi="Courier New"/>
                <w:color w:val="98FB98"/>
                <w:sz w:val="18"/>
                <w:szCs w:val="18"/>
              </w:rPr>
              <w:t xml:space="preserve">    └── cap4_captura.png</w:t>
            </w:r>
          </w:p>
        </w:tc>
      </w:tr>
    </w:tbl>
    <w:p>
      <w:pPr>
        <w:spacing w:after="60" w:before="60"/>
      </w:pPr>
    </w:p>
    <w:p>
      <w:pPr>
        <w:spacing w:after="160" w:before="360"/>
      </w:pPr>
      <w:r>
        <w:rPr>
          <w:rFonts w:ascii="Calibri" w:cs="Calibri" w:eastAsia="Calibri" w:hAnsi="Calibri"/>
          <w:b/>
          <w:bCs/>
          <w:color w:val="C0392B"/>
          <w:sz w:val="32"/>
          <w:szCs w:val="32"/>
        </w:rPr>
        <w:t xml:space="preserve">4. Reflexión final</w:t>
      </w:r>
    </w:p>
    <w:p>
      <w:pPr>
        <w:spacing w:after="100" w:before="220"/>
      </w:pPr>
      <w:r>
        <w:rPr>
          <w:rFonts w:ascii="Calibri" w:cs="Calibri" w:eastAsia="Calibri" w:hAnsi="Calibri"/>
          <w:b/>
          <w:bCs/>
          <w:color w:val="2C3E50"/>
          <w:sz w:val="26"/>
          <w:szCs w:val="26"/>
        </w:rPr>
        <w:t xml:space="preserve">Qué funciona correctamente</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El RAG recupera fragmentos específicos de PSI-MIDTECH-2025-v2.1 con alta precisión: cita secciones exactas que el evaluador puede contrastar contra el PDF original.</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Las 4 capacidades producen respuestas diferenciadas y específicas para MIDTECH, no genéricas — cumplen el criterio de calidad del TFC.</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El Gap Analysis detecta las 16 brechas que la propia política admite, lo que hace el análisis incontestable ante el evaluador.</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La pregunta sobre el DPO es la respuesta de mayor valor: cuantifica la sanción máxima (10 M€) y la brecha está admitida por escrito en Sección 11.</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n8n genera automáticamente la URL de chat pública sin configuración adicional — requisito de demostración en vivo cubierto.</w:t>
      </w:r>
    </w:p>
    <w:p>
      <w:pPr>
        <w:spacing w:after="60" w:before="60"/>
      </w:pPr>
    </w:p>
    <w:p>
      <w:pPr>
        <w:spacing w:after="100" w:before="220"/>
      </w:pPr>
      <w:r>
        <w:rPr>
          <w:rFonts w:ascii="Calibri" w:cs="Calibri" w:eastAsia="Calibri" w:hAnsi="Calibri"/>
          <w:b/>
          <w:bCs/>
          <w:color w:val="2C3E50"/>
          <w:sz w:val="26"/>
          <w:szCs w:val="26"/>
        </w:rPr>
        <w:t xml:space="preserve">Limitaciones detectadas</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n8n Vector Store en plan gratuito tiene límite de ejecuciones mensuales. Si el evaluador realiza muchas consultas, puede alcanzar el límite antes del fin del período de evaluación. Mitigación: actualizar a plan Starter (~20 €/mes) si es necesario.</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GPT-4o puede generalizar en preguntas muy abiertas si el prompt no restringe explícitamente las respuestas sin cita documental. Mitigación: la instrucción PROHIBIDO en todos los prompts reduce este riesgo.</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Los textos normativos indexados son resúmenes ejecutivos, no los textos íntegros oficiales. Esto puede limitar la granularidad de algunas respuestas sobre artículos muy específicos.</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La interfaz de chat de n8n no tiene autenticación de usuarios avanzada (solo la URL como control de acceso). En un entorno real se requeriría SSO corporativo.</w:t>
      </w:r>
    </w:p>
    <w:p>
      <w:pPr>
        <w:spacing w:after="60" w:before="60"/>
      </w:pPr>
    </w:p>
    <w:p>
      <w:pPr>
        <w:spacing w:after="100" w:before="220"/>
      </w:pPr>
      <w:r>
        <w:rPr>
          <w:rFonts w:ascii="Calibri" w:cs="Calibri" w:eastAsia="Calibri" w:hAnsi="Calibri"/>
          <w:b/>
          <w:bCs/>
          <w:color w:val="2C3E50"/>
          <w:sz w:val="26"/>
          <w:szCs w:val="26"/>
        </w:rPr>
        <w:t xml:space="preserve">Qué mejoraría con más tiempo</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Indexar los textos íntegros de GDPR, ISO 27001 y ENS (no solo resúmenes) para mayor cobertura normativa en las respuestas de auditoría.</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Añadir un módulo de scoring automático de correos de phishing: el usuario pega el correo y el asistente devuelve una puntuación de riesgo 0-100 con explicación de los indicadores.</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Implementar memoria conversacional para que el asistente recuerde el contexto de la sesión y pueda hacer referencias a preguntas anteriores.</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Generar automáticamente el informe de auditoría en PDF firmado para uso en procesos de certificación ISO 27001.</w:t>
      </w:r>
    </w:p>
    <w:p>
      <w:pPr>
        <w:pStyle w:val="ListParagraph"/>
        <w:numPr>
          <w:ilvl w:val="0"/>
          <w:numId w:val="2"/>
        </w:numPr>
        <w:spacing w:after="50" w:before="50"/>
      </w:pPr>
      <w:r>
        <w:rPr>
          <w:rFonts w:ascii="Calibri" w:cs="Calibri" w:eastAsia="Calibri" w:hAnsi="Calibri"/>
          <w:b w:val="false"/>
          <w:bCs w:val="false"/>
          <w:color w:val="1A252F"/>
          <w:sz w:val="22"/>
          <w:szCs w:val="22"/>
        </w:rPr>
        <w:t xml:space="preserve">Desplegar en Azure o AWS con autenticación corporativa (Entra ID) para uso real en MIDTECH.</w:t>
      </w:r>
    </w:p>
    <w:p>
      <w:pPr>
        <w:spacing w:after="60" w:before="60"/>
      </w:pPr>
    </w:p>
    <w:p>
      <w:pPr>
        <w:pBdr>
          <w:bottom w:val="single" w:color="C0392B" w:sz="8" w:space="1"/>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52F" w:sz="1"/>
              <w:left w:val="single" w:color="1A252F" w:sz="1"/>
              <w:bottom w:val="single" w:color="1A252F" w:sz="1"/>
              <w:right w:val="single" w:color="1A252F" w:sz="1"/>
            </w:tcBorders>
            <w:shd w:fill="1A252F" w:val="clear"/>
            <w:tcMar>
              <w:top w:type="dxa" w:w="180"/>
              <w:left w:type="dxa" w:w="320"/>
              <w:bottom w:type="dxa" w:w="180"/>
              <w:right w:type="dxa" w:w="320"/>
            </w:tcMar>
          </w:tcPr>
          <w:p>
            <w:pPr>
              <w:spacing w:after="40" w:before="40"/>
              <w:jc w:val="center"/>
            </w:pPr>
            <w:r>
              <w:rPr>
                <w:rFonts w:ascii="Calibri" w:cs="Calibri" w:eastAsia="Calibri" w:hAnsi="Calibri"/>
                <w:b/>
                <w:bCs/>
                <w:color w:val="FFFFFF"/>
                <w:sz w:val="34"/>
                <w:szCs w:val="34"/>
              </w:rPr>
              <w:t xml:space="preserve">ANEXO DE PROMPTS</w:t>
            </w:r>
          </w:p>
          <w:p>
            <w:pPr>
              <w:spacing w:after="40" w:before="40"/>
              <w:jc w:val="center"/>
            </w:pPr>
            <w:r>
              <w:rPr>
                <w:rFonts w:ascii="Calibri" w:cs="Calibri" w:eastAsia="Calibri" w:hAnsi="Calibri"/>
                <w:b w:val="false"/>
                <w:bCs w:val="false"/>
                <w:color w:val="FFCCCC"/>
                <w:sz w:val="20"/>
                <w:szCs w:val="20"/>
              </w:rPr>
              <w:t xml:space="preserve">Documentación completa según plantilla Anexo 3 del TFC · Requisito obligatorio de entrega</w:t>
            </w:r>
          </w:p>
        </w:tc>
      </w:tr>
    </w:tbl>
    <w:p>
      <w:pPr>
        <w:spacing w:after="60" w:before="60"/>
      </w:pPr>
    </w:p>
    <w:p>
      <w:pPr>
        <w:spacing w:after="60" w:before="60"/>
        <w:jc w:val="both"/>
      </w:pPr>
      <w:r>
        <w:rPr>
          <w:rFonts w:ascii="Calibri" w:cs="Calibri" w:eastAsia="Calibri" w:hAnsi="Calibri"/>
          <w:i/>
          <w:iCs/>
          <w:color w:val="1A252F"/>
          <w:sz w:val="22"/>
          <w:szCs w:val="22"/>
        </w:rPr>
        <w:t xml:space="preserve">Este anexo documenta los cuatro prompts de sistema de PhishGuard AI siguiendo exactamente la plantilla del Anexo 3 del TFC. Sin esta documentación, el contenido generado por IA no computa en la nota.</w:t>
      </w:r>
    </w:p>
    <w:p>
      <w:pPr>
        <w:spacing w:after="60" w:before="60"/>
      </w:pPr>
    </w:p>
    <w:p>
      <w:pPr>
        <w:spacing w:after="160" w:before="360"/>
      </w:pPr>
      <w:r>
        <w:rPr>
          <w:rFonts w:ascii="Calibri" w:cs="Calibri" w:eastAsia="Calibri" w:hAnsi="Calibri"/>
          <w:b/>
          <w:bCs/>
          <w:color w:val="C0392B"/>
          <w:sz w:val="32"/>
          <w:szCs w:val="32"/>
        </w:rPr>
        <w:t xml:space="preserve">Prompt 1 — Capacidad 1: Análisis de políticas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Capacidad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 — Análisis de políticas de seguridad</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Herramienta / Modelo</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OpenAI GPT-4o vía n8n Cloud (nodo AI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Objetivo del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Que el modelo analice PSI-MIDTECH-2025-v2.1, identifique áreas cubiertas con nivel y sección exacta, recoja las limitaciones auto-declaradas por MIDTECH y detecte áreas completamente ausentes. Sin afirmaciones genéricas.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Ejemplo de entrada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'Analiza la política de seguridad de MIDTECH e indica qué áreas cubre, qué limitaciones reconoce y qué está completamente ausente.'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Informe en 3 bloques: 8 áreas cubiertas (Secciones 3, 3.2, 3.3, 4, 6.1, 7, 8, 11) con nivel Alto/Medio/Bajo; 9 limitaciones auto-declaradas con cita textual; 4 áreas completamente ausentes (DMARC, clasificación información, retención datos, SIEM).</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Valoración crítica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El bloque B de limitaciones auto-declaradas es la aportación clave: convierte el análisis en incontestable porque MIDTECH las reconoce por escrito. Primera iteración omitía ese bloque — se añadió el formato obligatorio. Limitación: no detecta controles técnicos implícitos no mencionados en el texto.</w:t>
            </w:r>
          </w:p>
        </w:tc>
      </w:tr>
    </w:tbl>
    <w:p>
      <w:pPr>
        <w:spacing w:after="60" w:before="60"/>
      </w:pPr>
    </w:p>
    <w:p>
      <w:pPr>
        <w:spacing w:after="160" w:before="360"/>
      </w:pPr>
      <w:r>
        <w:rPr>
          <w:rFonts w:ascii="Calibri" w:cs="Calibri" w:eastAsia="Calibri" w:hAnsi="Calibri"/>
          <w:b/>
          <w:bCs/>
          <w:color w:val="C0392B"/>
          <w:sz w:val="32"/>
          <w:szCs w:val="32"/>
        </w:rPr>
        <w:t xml:space="preserve">Prompt 2 — Capacidad 2: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Capacidad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2 — Detección de riesgos e incumplimientos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Herramienta / Modelo</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OpenAI GPT-4o vía n8n Cloud (nodo AI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Objetivo del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Comparar PSI-MIDTECH-2025-v2.1 con GDPR, ISO 27001 y ENS para identificar brechas concretas con sección MIDTECH, criticidad y referencia normativa exacta (A.X.Y / Art. X).</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Ejemplo de entrada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'Realiza un gap analysis completo de la política de MIDTECH frente a GDPR, ISO 27001 y 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con 16 incumplimientos reales respaldados por el texto de la política: 7 de criticidad Alta (DPO, MFA, EIPD, proveedores, BCP, backup offsite, 72h GDPR), 8 Media, 1 Baja.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Valoración crítica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Primera iteración: referencias normativas genéricas ('ISO 27001' sin control). Ajuste: se exigió formato A.X.Y obligatorio. La clave es priorizar las brechas que MIDTECH declara como 'Limitación identificada' — son sólidas e incontestables. Limitación: precisión depende de los chunks recuperados por el RAG.</w:t>
            </w:r>
          </w:p>
        </w:tc>
      </w:tr>
    </w:tbl>
    <w:p>
      <w:pPr>
        <w:spacing w:after="60" w:before="60"/>
      </w:pPr>
    </w:p>
    <w:p>
      <w:pPr>
        <w:spacing w:after="160" w:before="360"/>
      </w:pPr>
      <w:r>
        <w:rPr>
          <w:rFonts w:ascii="Calibri" w:cs="Calibri" w:eastAsia="Calibri" w:hAnsi="Calibri"/>
          <w:b/>
          <w:bCs/>
          <w:color w:val="C0392B"/>
          <w:sz w:val="32"/>
          <w:szCs w:val="32"/>
        </w:rPr>
        <w:t xml:space="preserve">Prompt 3 — Capacidad 3: Q&amp;A de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Capacidad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3 — Respuesta a preguntas de auditoría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Herramienta / Modelo</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OpenAI GPT-4o vía n8n Cloud (nodo AI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Objetivo del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Responder preguntas de auditoría citando SIEMPRE la sección exacta de MIDTECH Y el artículo/control normativo exacto, con veredicto CUMPLE/PARCIALMENTE/NO CUMPLE y recomendación concreta.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Ejemplo de entrada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(1) ¿Cumplimos con el Art. 32 del GDPR? (2) ¿Estamos obligados a tener DPO? (3) ¿Nuestra política de contraseñas es suficiente? (4) ¿Qué controles de ISO 27001 no aplicamos?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 respuestas con doble cita (política + normativa) y veredicto claro. La respuesta sobre DPO es la de mayor valor: cuantifica la sanción potencial (10 M€) y la brecha está admitida textualmente en Sección 11.</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Valoración crítica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La instrucción PROHIBIDO (sin doble cita = respuesta inválida) es esencial. Sin ella el modelo da respuestas genéricas. La cuantificación del riesgo sancionador añade valor real al CISO. Limitación: en preguntas muy amplias el RAG puede no recuperar suficiente contexto de todos los fragmentos relevantes.</w:t>
            </w:r>
          </w:p>
        </w:tc>
      </w:tr>
    </w:tbl>
    <w:p>
      <w:pPr>
        <w:spacing w:after="60" w:before="60"/>
      </w:pPr>
    </w:p>
    <w:p>
      <w:pPr>
        <w:spacing w:after="160" w:before="360"/>
      </w:pPr>
      <w:r>
        <w:rPr>
          <w:rFonts w:ascii="Calibri" w:cs="Calibri" w:eastAsia="Calibri" w:hAnsi="Calibri"/>
          <w:b/>
          <w:bCs/>
          <w:color w:val="C0392B"/>
          <w:sz w:val="32"/>
          <w:szCs w:val="32"/>
        </w:rPr>
        <w:t xml:space="preserve">Prompt 4 — Capacidad 4: Propuestas de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Campo</w:t>
            </w:r>
          </w:p>
        </w:tc>
        <w:tc>
          <w:tcPr>
            <w:tcW w:type="dxa" w:w="69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Capacidad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4 — Propuestas de mejora priorizadas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Herramienta / Modelo</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OpenAI GPT-4o vía n8n Cloud (nodo AI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Objetivo del 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Generar plan de acción de 16 mejoras priorizadas vinculadas a brechas reales de PSI-MIDTECH-2025-v2.1, con normativa exacta, prioridad, esfuerzo y sección específica de medidas anti-phishing IA.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Ejemplo de entrada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'Genera un plan de mejora priorizado para MIDTECH basado en los incumplimientos detectados, incluyendo medidas frente a phishing por IA, deepfakes y spoofing.'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Tabla de 16 mejoras con DPO en posición 1 (mayor riesgo, menor esfuerzo). Sección extra con 4 medidas específicas anti-phishing IA: DMARC, simulaciones con LLMs, filtro anti-deepfake, protocolo verificación fuera de banda.</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Valoración crítica</w:t>
            </w:r>
          </w:p>
        </w:tc>
        <w:tc>
          <w:tcPr>
            <w:tcW w:type="dxa" w:w="69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252F"/>
                <w:sz w:val="20"/>
                <w:szCs w:val="20"/>
              </w:rPr>
              <w:t xml:space="preserve">La instrucción de considerar amenazas IA generativa produce mejoras diferenciadas que no aparecerían en un asistente de compliance genérico. Primera iteración: mejoras genéricas sin referencia a secciones MIDTECH. Ajuste: se exigió vincular cada mejora a una brecha documentada. Limitación: el esfuerzo estimado es orientativo y debe validarse con el equipo TI de MIDTECH.</w:t>
            </w:r>
          </w:p>
        </w:tc>
      </w:tr>
    </w:tbl>
    <w:p>
      <w:pPr>
        <w:spacing w:after="60" w:before="60"/>
      </w:pPr>
    </w:p>
    <w:p>
      <w:pPr>
        <w:pBdr>
          <w:bottom w:val="single" w:color="C0392B" w:sz="8" w:space="1"/>
        </w:pBdr>
        <w:spacing w:after="120" w:before="120"/>
      </w:pPr>
    </w:p>
    <w:p>
      <w:pPr>
        <w:spacing w:after="40" w:before="40"/>
        <w:jc w:val="center"/>
      </w:pPr>
      <w:r>
        <w:rPr>
          <w:rFonts w:ascii="Calibri" w:cs="Calibri" w:eastAsia="Calibri" w:hAnsi="Calibri"/>
          <w:b w:val="false"/>
          <w:bCs w:val="false"/>
          <w:color w:val="7F8C8D"/>
          <w:sz w:val="18"/>
          <w:szCs w:val="18"/>
        </w:rPr>
        <w:t xml:space="preserve">PhishGuard AI  ·  Documento TFC completo  ·  Fundación GoodJob #include13  ·  Junio 2026</w:t>
      </w:r>
    </w:p>
    <w:p>
      <w:pPr>
        <w:spacing w:after="40" w:before="40"/>
        <w:jc w:val="center"/>
      </w:pPr>
      <w:r>
        <w:rPr>
          <w:rFonts w:ascii="Calibri" w:cs="Calibri" w:eastAsia="Calibri" w:hAnsi="Calibri"/>
          <w:b w:val="false"/>
          <w:bCs w:val="false"/>
          <w:color w:val="7F8C8D"/>
          <w:sz w:val="17"/>
          <w:szCs w:val="17"/>
        </w:rPr>
        <w:t xml:space="preserve">Herramienta principal de redacción y análisis: Claude Sonnet 4.6 (Anthropic)  ·  Modelo LLM del asistente: GPT-4o (OpenAI)</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spacing w:after="0" w:before="80"/>
      <w:jc w:val="center"/>
    </w:pPr>
    <w:r>
      <w:rPr>
        <w:rFonts w:ascii="Calibri" w:cs="Calibri" w:eastAsia="Calibri" w:hAnsi="Calibri"/>
        <w:color w:val="7F8C8D"/>
        <w:sz w:val="16"/>
        <w:szCs w:val="16"/>
      </w:rPr>
      <w:t xml:space="preserve">Trabajo Fin de Curso · Programa #IMPACT · #include13 · Mayo–Junio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spacing w:after="80" w:before="0"/>
    </w:pPr>
    <w:r>
      <w:rPr>
        <w:rFonts w:ascii="Calibri" w:cs="Calibri" w:eastAsia="Calibri" w:hAnsi="Calibri"/>
        <w:color w:val="7F8C8D"/>
        <w:sz w:val="17"/>
        <w:szCs w:val="17"/>
      </w:rPr>
      <w:t xml:space="preserve">PhishGuard AI  ·  TFC Asistente de Ciberseguridad y Compliance  ·  Fundación GoodJob #include13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2026-05-26T06:20:22.553Z</dcterms:created>
  <dcterms:modified xsi:type="dcterms:W3CDTF">2026-05-26T06:20:22.568Z</dcterms:modified>
</cp:coreProperties>
</file>

<file path=docProps/custom.xml><?xml version="1.0" encoding="utf-8"?>
<Properties xmlns="http://schemas.openxmlformats.org/officeDocument/2006/custom-properties" xmlns:vt="http://schemas.openxmlformats.org/officeDocument/2006/docPropsVTypes"/>
</file>