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量子前沿计算与分布式知识图谱设计规范</w:t>
      </w:r>
    </w:p>
    <w:p>
      <w:pPr>
        <w:jc w:val="center"/>
      </w:pPr>
      <w:r>
        <w:rPr>
          <w:i/>
          <w:sz w:val="21"/>
        </w:rPr>
        <w:t>作者：ReadMD 架构研究组 · 2026年9月 · 版本：v2.3.8</w:t>
      </w:r>
    </w:p>
    <w:p>
      <w:pPr>
        <w:pStyle w:val="Heading1"/>
      </w:pPr>
      <w:r>
        <w:t>一、 架构愿景与技术指标</w:t>
      </w:r>
    </w:p>
    <w:p>
      <w:r>
        <w:t>ReadMD 是一款以本地优先（Local-First）为核心理念的现代极速文档工作台。系统不仅具备纯离线毫米级冷启动能力，同时深度内嵌了双向知识图谱（Wikilinks）、纯 Python 学术 LaTeX 转换器及端侧多模态转写引擎。</w:t>
      </w:r>
    </w:p>
    <w:p>
      <w:pPr>
        <w:pStyle w:val="Heading2"/>
      </w:pPr>
      <w:r>
        <w:t>二、 核心指标对比表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模块体系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冷启动耗时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内存占用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运行依赖</w:t>
            </w:r>
          </w:p>
        </w:tc>
      </w:tr>
      <w:tr>
        <w:tc>
          <w:tcPr>
            <w:tcW w:type="dxa" w:w="2160"/>
          </w:tcPr>
          <w:p>
            <w:r>
              <w:t>知识图谱引擎</w:t>
            </w:r>
          </w:p>
        </w:tc>
        <w:tc>
          <w:tcPr>
            <w:tcW w:type="dxa" w:w="2160"/>
          </w:tcPr>
          <w:p>
            <w:r>
              <w:t>12 ms</w:t>
            </w:r>
          </w:p>
        </w:tc>
        <w:tc>
          <w:tcPr>
            <w:tcW w:type="dxa" w:w="2160"/>
          </w:tcPr>
          <w:p>
            <w:r>
              <w:t>4.2 MB</w:t>
            </w:r>
          </w:p>
        </w:tc>
        <w:tc>
          <w:tcPr>
            <w:tcW w:type="dxa" w:w="2160"/>
          </w:tcPr>
          <w:p>
            <w:r>
              <w:t>SQLite3 WAL (零依赖)</w:t>
            </w:r>
          </w:p>
        </w:tc>
      </w:tr>
      <w:tr>
        <w:tc>
          <w:tcPr>
            <w:tcW w:type="dxa" w:w="2160"/>
          </w:tcPr>
          <w:p>
            <w:r>
              <w:t>学术 LaTeX 引擎</w:t>
            </w:r>
          </w:p>
        </w:tc>
        <w:tc>
          <w:tcPr>
            <w:tcW w:type="dxa" w:w="2160"/>
          </w:tcPr>
          <w:p>
            <w:r>
              <w:t>18 ms</w:t>
            </w:r>
          </w:p>
        </w:tc>
        <w:tc>
          <w:tcPr>
            <w:tcW w:type="dxa" w:w="2160"/>
          </w:tcPr>
          <w:p>
            <w:r>
              <w:t>5.1 MB</w:t>
            </w:r>
          </w:p>
        </w:tc>
        <w:tc>
          <w:tcPr>
            <w:tcW w:type="dxa" w:w="2160"/>
          </w:tcPr>
          <w:p>
            <w:r>
              <w:t>纯 Python 零依赖</w:t>
            </w:r>
          </w:p>
        </w:tc>
      </w:tr>
      <w:tr>
        <w:tc>
          <w:tcPr>
            <w:tcW w:type="dxa" w:w="2160"/>
          </w:tcPr>
          <w:p>
            <w:r>
              <w:t>RapidOCR 引擎</w:t>
            </w:r>
          </w:p>
        </w:tc>
        <w:tc>
          <w:tcPr>
            <w:tcW w:type="dxa" w:w="2160"/>
          </w:tcPr>
          <w:p>
            <w:r>
              <w:t>38 ms</w:t>
            </w:r>
          </w:p>
        </w:tc>
        <w:tc>
          <w:tcPr>
            <w:tcW w:type="dxa" w:w="2160"/>
          </w:tcPr>
          <w:p>
            <w:r>
              <w:t>17.8 MB</w:t>
            </w:r>
          </w:p>
        </w:tc>
        <w:tc>
          <w:tcPr>
            <w:tcW w:type="dxa" w:w="2160"/>
          </w:tcPr>
          <w:p>
            <w:r>
              <w:t>ONNX Runtime 移动端</w:t>
            </w:r>
          </w:p>
        </w:tc>
      </w:tr>
      <w:tr>
        <w:tc>
          <w:tcPr>
            <w:tcW w:type="dxa" w:w="2160"/>
          </w:tcPr>
          <w:p>
            <w:r>
              <w:t>万物转 MD 工作台</w:t>
            </w:r>
          </w:p>
        </w:tc>
        <w:tc>
          <w:tcPr>
            <w:tcW w:type="dxa" w:w="2160"/>
          </w:tcPr>
          <w:p>
            <w:r>
              <w:t>8 ms</w:t>
            </w:r>
          </w:p>
        </w:tc>
        <w:tc>
          <w:tcPr>
            <w:tcW w:type="dxa" w:w="2160"/>
          </w:tcPr>
          <w:p>
            <w:r>
              <w:t>3.5 MB</w:t>
            </w:r>
          </w:p>
        </w:tc>
        <w:tc>
          <w:tcPr>
            <w:tcW w:type="dxa" w:w="2160"/>
          </w:tcPr>
          <w:p>
            <w:r>
              <w:t>本地多核并发流式处理</w:t>
            </w:r>
          </w:p>
        </w:tc>
      </w:tr>
    </w:tbl>
    <w:p>
      <w:pPr>
        <w:pStyle w:val="Heading2"/>
      </w:pPr>
      <w:r>
        <w:t>三、 核心功能清单</w:t>
      </w:r>
    </w:p>
    <w:p>
      <w:r>
        <w:t>1. 原生支持双向 WikiLink 语法，如 [[Quantum Physics]] 与反向链接抽屉。</w:t>
      </w:r>
    </w:p>
    <w:p>
      <w:r>
        <w:t>2. 原生支持 2D Canvas 高性能力导向图谱渲染，支持节点弹性拖拽与连线引力唤醒。</w:t>
      </w:r>
    </w:p>
    <w:p>
      <w:r>
        <w:t>3. 提供学术三线表与定理证明块的高保真转换与 KaTeX 数学公式渲染。</w:t>
      </w:r>
    </w:p>
    <w:p>
      <w:r>
        <w:t>4. 46 种国际语言 100% 本地化覆盖，确保全球学者无障碍使用。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