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B75B" w14:textId="77777777" w:rsidR="007E0795" w:rsidRPr="009B79F0" w:rsidRDefault="00000000">
      <w:pPr>
        <w:spacing w:before="1440" w:after="480"/>
        <w:jc w:val="center"/>
        <w:rPr>
          <w:rFonts w:ascii="Times New Roman" w:hAnsi="Times New Roman" w:cs="Times New Roman"/>
        </w:rPr>
      </w:pPr>
      <w:r w:rsidRPr="009B79F0">
        <w:rPr>
          <w:rFonts w:ascii="Times New Roman" w:hAnsi="Times New Roman" w:cs="Times New Roman"/>
          <w:b/>
          <w:bCs/>
          <w:color w:val="1F3864"/>
          <w:sz w:val="52"/>
          <w:szCs w:val="52"/>
        </w:rPr>
        <w:t>REPORTE FINAL</w:t>
      </w:r>
    </w:p>
    <w:p w14:paraId="0905E16C" w14:textId="391D09DE" w:rsidR="007E0795" w:rsidRPr="009B79F0" w:rsidRDefault="009B79F0">
      <w:pPr>
        <w:spacing w:after="240"/>
        <w:jc w:val="center"/>
        <w:rPr>
          <w:rFonts w:ascii="Times New Roman" w:hAnsi="Times New Roman" w:cs="Times New Roman"/>
        </w:rPr>
      </w:pPr>
      <w:r w:rsidRPr="009B79F0">
        <w:rPr>
          <w:rFonts w:ascii="Times New Roman" w:hAnsi="Times New Roman" w:cs="Times New Roman"/>
          <w:color w:val="2E5DA6"/>
          <w:sz w:val="32"/>
          <w:szCs w:val="32"/>
        </w:rPr>
        <w:t xml:space="preserve">Taller 2 </w:t>
      </w:r>
      <w:proofErr w:type="spellStart"/>
      <w:r w:rsidR="00000000" w:rsidRPr="009B79F0">
        <w:rPr>
          <w:rFonts w:ascii="Times New Roman" w:hAnsi="Times New Roman" w:cs="Times New Roman"/>
          <w:color w:val="2E5DA6"/>
          <w:sz w:val="32"/>
          <w:szCs w:val="32"/>
        </w:rPr>
        <w:t>CircleGuard</w:t>
      </w:r>
      <w:proofErr w:type="spellEnd"/>
      <w:r w:rsidR="00000000" w:rsidRPr="009B79F0">
        <w:rPr>
          <w:rFonts w:ascii="Times New Roman" w:hAnsi="Times New Roman" w:cs="Times New Roman"/>
          <w:color w:val="2E5DA6"/>
          <w:sz w:val="32"/>
          <w:szCs w:val="32"/>
        </w:rPr>
        <w:t xml:space="preserve"> — CI/CD Pipeline con Jenkins, Docker y </w:t>
      </w:r>
      <w:proofErr w:type="spellStart"/>
      <w:r w:rsidR="00000000" w:rsidRPr="009B79F0">
        <w:rPr>
          <w:rFonts w:ascii="Times New Roman" w:hAnsi="Times New Roman" w:cs="Times New Roman"/>
          <w:color w:val="2E5DA6"/>
          <w:sz w:val="32"/>
          <w:szCs w:val="32"/>
        </w:rPr>
        <w:t>Kubernetes</w:t>
      </w:r>
      <w:proofErr w:type="spellEnd"/>
    </w:p>
    <w:p w14:paraId="2034D8C6" w14:textId="77777777" w:rsidR="007E0795" w:rsidRPr="009B79F0" w:rsidRDefault="00000000">
      <w:pPr>
        <w:pStyle w:val="Ttulo1"/>
        <w:rPr>
          <w:rFonts w:ascii="Times New Roman" w:hAnsi="Times New Roman" w:cs="Times New Roman"/>
        </w:rPr>
      </w:pPr>
      <w:r w:rsidRPr="009B79F0">
        <w:rPr>
          <w:rFonts w:ascii="Times New Roman" w:hAnsi="Times New Roman" w:cs="Times New Roman"/>
        </w:rPr>
        <w:t>Introducción</w:t>
      </w:r>
    </w:p>
    <w:p w14:paraId="266CF501" w14:textId="59DC5CE4" w:rsidR="007E0795" w:rsidRPr="009B79F0" w:rsidRDefault="009B79F0">
      <w:pPr>
        <w:spacing w:after="160"/>
        <w:jc w:val="both"/>
        <w:rPr>
          <w:rFonts w:ascii="Times New Roman" w:hAnsi="Times New Roman" w:cs="Times New Roman"/>
        </w:rPr>
      </w:pPr>
      <w:r w:rsidRPr="009B79F0">
        <w:rPr>
          <w:rFonts w:ascii="Times New Roman" w:hAnsi="Times New Roman" w:cs="Times New Roman"/>
        </w:rPr>
        <w:t>Este</w:t>
      </w:r>
      <w:r w:rsidR="00000000" w:rsidRPr="009B79F0">
        <w:rPr>
          <w:rFonts w:ascii="Times New Roman" w:hAnsi="Times New Roman" w:cs="Times New Roman"/>
        </w:rPr>
        <w:t xml:space="preserve"> documenta</w:t>
      </w:r>
      <w:r w:rsidRPr="009B79F0">
        <w:rPr>
          <w:rFonts w:ascii="Times New Roman" w:hAnsi="Times New Roman" w:cs="Times New Roman"/>
        </w:rPr>
        <w:t xml:space="preserve"> y muestra</w:t>
      </w:r>
      <w:r w:rsidR="00000000" w:rsidRPr="009B79F0">
        <w:rPr>
          <w:rFonts w:ascii="Times New Roman" w:hAnsi="Times New Roman" w:cs="Times New Roman"/>
        </w:rPr>
        <w:t xml:space="preserve"> el proceso de implementación de un pipeline de integración y despliegue continuos (CI/CD) para el sistema </w:t>
      </w:r>
      <w:proofErr w:type="spellStart"/>
      <w:r w:rsidR="00000000" w:rsidRPr="009B79F0">
        <w:rPr>
          <w:rFonts w:ascii="Times New Roman" w:hAnsi="Times New Roman" w:cs="Times New Roman"/>
        </w:rPr>
        <w:t>CircleGuard</w:t>
      </w:r>
      <w:proofErr w:type="spellEnd"/>
      <w:r w:rsidR="00000000" w:rsidRPr="009B79F0">
        <w:rPr>
          <w:rFonts w:ascii="Times New Roman" w:hAnsi="Times New Roman" w:cs="Times New Roman"/>
        </w:rPr>
        <w:t>, una plataforma basada en microservicios que utiliza tecnologías como Apache Kafka, Neo4j y PostgreSQL como infraestructura de soporte.</w:t>
      </w:r>
    </w:p>
    <w:p w14:paraId="3CFFEF5F" w14:textId="57336842"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El objetivo del taller fue construir, un conjunto de pipelines en Jenkins capaces de gestionar el ciclo de vida completo de la aplicación: desde la compilación del código fuente hasta su despliegue en entornos diferenciados dentro de un clúster </w:t>
      </w:r>
      <w:proofErr w:type="spellStart"/>
      <w:r w:rsidRPr="009B79F0">
        <w:rPr>
          <w:rFonts w:ascii="Times New Roman" w:hAnsi="Times New Roman" w:cs="Times New Roman"/>
        </w:rPr>
        <w:t>Kubernetes</w:t>
      </w:r>
      <w:proofErr w:type="spellEnd"/>
      <w:r w:rsidRPr="009B79F0">
        <w:rPr>
          <w:rFonts w:ascii="Times New Roman" w:hAnsi="Times New Roman" w:cs="Times New Roman"/>
        </w:rPr>
        <w:t xml:space="preserve"> local. Adicionalmente, se diseñaron suites de pruebas a múltiples niveles.</w:t>
      </w:r>
    </w:p>
    <w:p w14:paraId="200E70BA" w14:textId="1FD6C5FE" w:rsidR="007E0795" w:rsidRPr="009B79F0" w:rsidRDefault="00000000" w:rsidP="009B79F0">
      <w:pPr>
        <w:spacing w:after="160"/>
        <w:jc w:val="both"/>
        <w:rPr>
          <w:rFonts w:ascii="Times New Roman" w:hAnsi="Times New Roman" w:cs="Times New Roman"/>
        </w:rPr>
      </w:pPr>
      <w:r w:rsidRPr="009B79F0">
        <w:rPr>
          <w:rFonts w:ascii="Times New Roman" w:hAnsi="Times New Roman" w:cs="Times New Roman"/>
        </w:rPr>
        <w:t xml:space="preserve">Las decisiones técnicas adoptadas a lo largo del proceso buscaron equilibrar el rigor de las buenas prácticas de DevOps con las restricciones propias de un entorno de desarrollo local, particularmente en lo que respecta a la comunicación entre contenedores Docker y el clúster de </w:t>
      </w:r>
      <w:proofErr w:type="spellStart"/>
      <w:r w:rsidRPr="009B79F0">
        <w:rPr>
          <w:rFonts w:ascii="Times New Roman" w:hAnsi="Times New Roman" w:cs="Times New Roman"/>
        </w:rPr>
        <w:t>Kubernetes</w:t>
      </w:r>
      <w:proofErr w:type="spellEnd"/>
      <w:r w:rsidRPr="009B79F0">
        <w:rPr>
          <w:rFonts w:ascii="Times New Roman" w:hAnsi="Times New Roman" w:cs="Times New Roman"/>
        </w:rPr>
        <w:t xml:space="preserve"> gestionado por Docker Desktop.</w:t>
      </w:r>
    </w:p>
    <w:p w14:paraId="6507515B" w14:textId="709F06DA" w:rsidR="007E0795" w:rsidRPr="009B79F0" w:rsidRDefault="00000000">
      <w:pPr>
        <w:pStyle w:val="Ttulo1"/>
        <w:rPr>
          <w:rFonts w:ascii="Times New Roman" w:hAnsi="Times New Roman" w:cs="Times New Roman"/>
        </w:rPr>
      </w:pPr>
      <w:r w:rsidRPr="009B79F0">
        <w:rPr>
          <w:rFonts w:ascii="Times New Roman" w:hAnsi="Times New Roman" w:cs="Times New Roman"/>
        </w:rPr>
        <w:t>1. Configuración de Infraestructura</w:t>
      </w:r>
    </w:p>
    <w:p w14:paraId="64C8FC54"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1.1 Descripción general</w:t>
      </w:r>
    </w:p>
    <w:p w14:paraId="0D850E6A"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La infraestructura del proyecto fue levantada íntegramente sobre Docker Desktop con la funcionalidad de </w:t>
      </w:r>
      <w:proofErr w:type="spellStart"/>
      <w:r w:rsidRPr="009B79F0">
        <w:rPr>
          <w:rFonts w:ascii="Times New Roman" w:hAnsi="Times New Roman" w:cs="Times New Roman"/>
        </w:rPr>
        <w:t>Kubernetes</w:t>
      </w:r>
      <w:proofErr w:type="spellEnd"/>
      <w:r w:rsidRPr="009B79F0">
        <w:rPr>
          <w:rFonts w:ascii="Times New Roman" w:hAnsi="Times New Roman" w:cs="Times New Roman"/>
        </w:rPr>
        <w:t xml:space="preserve"> habilitada de forma nativa. Esta decisión permitió contar con un clúster local completamente funcional sin necesidad de recurrir a herramientas externas como </w:t>
      </w:r>
      <w:proofErr w:type="spellStart"/>
      <w:r w:rsidRPr="009B79F0">
        <w:rPr>
          <w:rFonts w:ascii="Times New Roman" w:hAnsi="Times New Roman" w:cs="Times New Roman"/>
        </w:rPr>
        <w:t>Minikube</w:t>
      </w:r>
      <w:proofErr w:type="spellEnd"/>
      <w:r w:rsidRPr="009B79F0">
        <w:rPr>
          <w:rFonts w:ascii="Times New Roman" w:hAnsi="Times New Roman" w:cs="Times New Roman"/>
        </w:rPr>
        <w:t xml:space="preserve"> o Kind, reduciendo la complejidad operacional del entorno de desarrollo.</w:t>
      </w:r>
    </w:p>
    <w:p w14:paraId="4486C190"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Los servicios base de la plataforma </w:t>
      </w:r>
      <w:proofErr w:type="spellStart"/>
      <w:r w:rsidRPr="009B79F0">
        <w:rPr>
          <w:rFonts w:ascii="Times New Roman" w:hAnsi="Times New Roman" w:cs="Times New Roman"/>
        </w:rPr>
        <w:t>CircleGuard</w:t>
      </w:r>
      <w:proofErr w:type="spellEnd"/>
      <w:r w:rsidRPr="009B79F0">
        <w:rPr>
          <w:rFonts w:ascii="Times New Roman" w:hAnsi="Times New Roman" w:cs="Times New Roman"/>
        </w:rPr>
        <w:t>, incluyendo Apache Kafka, Neo4j y PostgreSQL, fueron orquestados como contenedores independientes dentro de Docker Desktop, garantizando su disponibilidad durante todas las fases del pipeline. Jenkins, por su parte, fue desplegado también como contenedor, lo que permitió mantenerlo aislado del sistema operativo anfitrión y facilitar su reproducibilidad.</w:t>
      </w:r>
    </w:p>
    <w:p w14:paraId="00BC8EFA"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lastRenderedPageBreak/>
        <w:t xml:space="preserve">1.2 Decisión técnica: comunicación Jenkins y </w:t>
      </w:r>
      <w:proofErr w:type="spellStart"/>
      <w:r w:rsidRPr="009B79F0">
        <w:rPr>
          <w:rFonts w:ascii="Times New Roman" w:hAnsi="Times New Roman" w:cs="Times New Roman"/>
        </w:rPr>
        <w:t>Kubernetes</w:t>
      </w:r>
      <w:proofErr w:type="spellEnd"/>
    </w:p>
    <w:p w14:paraId="5CC5C23E"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El principal reto de configuración residió en establecer la comunicación entre el contenedor de Jenkins y el clúster de </w:t>
      </w:r>
      <w:proofErr w:type="spellStart"/>
      <w:r w:rsidRPr="009B79F0">
        <w:rPr>
          <w:rFonts w:ascii="Times New Roman" w:hAnsi="Times New Roman" w:cs="Times New Roman"/>
        </w:rPr>
        <w:t>Kubernetes</w:t>
      </w:r>
      <w:proofErr w:type="spellEnd"/>
      <w:r w:rsidRPr="009B79F0">
        <w:rPr>
          <w:rFonts w:ascii="Times New Roman" w:hAnsi="Times New Roman" w:cs="Times New Roman"/>
        </w:rPr>
        <w:t xml:space="preserve"> del sistema anfitrión. En entornos Docker-in-Docker o con redes bridge, esta comunicación no es trivial, dado que el contenedor no tiene acceso directo al archivo </w:t>
      </w:r>
      <w:proofErr w:type="spellStart"/>
      <w:r w:rsidRPr="009B79F0">
        <w:rPr>
          <w:rFonts w:ascii="Times New Roman" w:hAnsi="Times New Roman" w:cs="Times New Roman"/>
        </w:rPr>
        <w:t>kubeconfig</w:t>
      </w:r>
      <w:proofErr w:type="spellEnd"/>
      <w:r w:rsidRPr="009B79F0">
        <w:rPr>
          <w:rFonts w:ascii="Times New Roman" w:hAnsi="Times New Roman" w:cs="Times New Roman"/>
        </w:rPr>
        <w:t xml:space="preserve"> del host.</w:t>
      </w:r>
    </w:p>
    <w:p w14:paraId="29B9B1EC"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La solución adoptada consistió en inyectar directamente los certificados de autenticación de </w:t>
      </w:r>
      <w:proofErr w:type="spellStart"/>
      <w:r w:rsidRPr="009B79F0">
        <w:rPr>
          <w:rFonts w:ascii="Times New Roman" w:hAnsi="Times New Roman" w:cs="Times New Roman"/>
        </w:rPr>
        <w:t>Kubernetes</w:t>
      </w:r>
      <w:proofErr w:type="spellEnd"/>
      <w:r w:rsidRPr="009B79F0">
        <w:rPr>
          <w:rFonts w:ascii="Times New Roman" w:hAnsi="Times New Roman" w:cs="Times New Roman"/>
        </w:rPr>
        <w:t xml:space="preserve">, codificados en Base64, dentro del propio pipeline de Jenkins, específicamente en la etapa denominada </w:t>
      </w:r>
      <w:proofErr w:type="spellStart"/>
      <w:r w:rsidRPr="009B79F0">
        <w:rPr>
          <w:rFonts w:ascii="Times New Roman" w:hAnsi="Times New Roman" w:cs="Times New Roman"/>
        </w:rPr>
        <w:t>Setup</w:t>
      </w:r>
      <w:proofErr w:type="spellEnd"/>
      <w:r w:rsidRPr="009B79F0">
        <w:rPr>
          <w:rFonts w:ascii="Times New Roman" w:hAnsi="Times New Roman" w:cs="Times New Roman"/>
        </w:rPr>
        <w:t xml:space="preserve"> </w:t>
      </w:r>
      <w:proofErr w:type="spellStart"/>
      <w:r w:rsidRPr="009B79F0">
        <w:rPr>
          <w:rFonts w:ascii="Times New Roman" w:hAnsi="Times New Roman" w:cs="Times New Roman"/>
        </w:rPr>
        <w:t>Kubernetes</w:t>
      </w:r>
      <w:proofErr w:type="spellEnd"/>
      <w:r w:rsidRPr="009B79F0">
        <w:rPr>
          <w:rFonts w:ascii="Times New Roman" w:hAnsi="Times New Roman" w:cs="Times New Roman"/>
        </w:rPr>
        <w:t xml:space="preserve"> CLI. Durante esta etapa, el binario de </w:t>
      </w:r>
      <w:proofErr w:type="spellStart"/>
      <w:r w:rsidRPr="009B79F0">
        <w:rPr>
          <w:rFonts w:ascii="Times New Roman" w:hAnsi="Times New Roman" w:cs="Times New Roman"/>
        </w:rPr>
        <w:t>kubectl</w:t>
      </w:r>
      <w:proofErr w:type="spellEnd"/>
      <w:r w:rsidRPr="009B79F0">
        <w:rPr>
          <w:rFonts w:ascii="Times New Roman" w:hAnsi="Times New Roman" w:cs="Times New Roman"/>
        </w:rPr>
        <w:t xml:space="preserve"> es descargado dinámicamente y configurado con las credenciales del clúster, eliminando la dependencia de montajes de volúmenes o configuraciones de red complejas. Este enfoque, aunque no recomendado para entornos productivos por razones de seguridad, resultó pragmático y efectivo para el contexto del taller.</w:t>
      </w:r>
    </w:p>
    <w:p w14:paraId="53EB712B"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1.3 Capturas de pantalla</w:t>
      </w:r>
    </w:p>
    <w:p w14:paraId="0A614E93" w14:textId="77777777" w:rsidR="007E0795" w:rsidRPr="009B79F0" w:rsidRDefault="007E0795">
      <w:pPr>
        <w:spacing w:after="200"/>
        <w:rPr>
          <w:rFonts w:ascii="Times New Roman" w:hAnsi="Times New Roman" w:cs="Times New Roman"/>
        </w:rPr>
      </w:pPr>
    </w:p>
    <w:p w14:paraId="5518CB24" w14:textId="0B04ECEF" w:rsidR="007E0795" w:rsidRPr="009B79F0" w:rsidRDefault="00E745FD">
      <w:pPr>
        <w:spacing w:after="200"/>
        <w:rPr>
          <w:rFonts w:ascii="Times New Roman" w:hAnsi="Times New Roman" w:cs="Times New Roman"/>
        </w:rPr>
      </w:pPr>
      <w:r w:rsidRPr="00E745FD">
        <w:rPr>
          <w:rFonts w:ascii="Times New Roman" w:hAnsi="Times New Roman" w:cs="Times New Roman"/>
        </w:rPr>
        <w:drawing>
          <wp:inline distT="0" distB="0" distL="0" distR="0" wp14:anchorId="5702476B" wp14:editId="30F2DC67">
            <wp:extent cx="5943600" cy="2221865"/>
            <wp:effectExtent l="0" t="0" r="0" b="6985"/>
            <wp:docPr id="46735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5475" name=""/>
                    <pic:cNvPicPr/>
                  </pic:nvPicPr>
                  <pic:blipFill>
                    <a:blip r:embed="rId7"/>
                    <a:stretch>
                      <a:fillRect/>
                    </a:stretch>
                  </pic:blipFill>
                  <pic:spPr>
                    <a:xfrm>
                      <a:off x="0" y="0"/>
                      <a:ext cx="5943600" cy="2221865"/>
                    </a:xfrm>
                    <a:prstGeom prst="rect">
                      <a:avLst/>
                    </a:prstGeom>
                  </pic:spPr>
                </pic:pic>
              </a:graphicData>
            </a:graphic>
          </wp:inline>
        </w:drawing>
      </w:r>
    </w:p>
    <w:p w14:paraId="4DCF7761" w14:textId="532ED103" w:rsidR="007E0795" w:rsidRPr="009B79F0" w:rsidRDefault="00E745FD">
      <w:pPr>
        <w:spacing w:after="200"/>
        <w:rPr>
          <w:rFonts w:ascii="Times New Roman" w:hAnsi="Times New Roman" w:cs="Times New Roman"/>
        </w:rPr>
      </w:pPr>
      <w:r w:rsidRPr="00E745FD">
        <w:rPr>
          <w:rFonts w:ascii="Times New Roman" w:hAnsi="Times New Roman" w:cs="Times New Roman"/>
        </w:rPr>
        <w:drawing>
          <wp:inline distT="0" distB="0" distL="0" distR="0" wp14:anchorId="46154AA3" wp14:editId="7F1D3A0B">
            <wp:extent cx="4090870" cy="2617545"/>
            <wp:effectExtent l="0" t="0" r="5080" b="0"/>
            <wp:docPr id="1565777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77390" name=""/>
                    <pic:cNvPicPr/>
                  </pic:nvPicPr>
                  <pic:blipFill>
                    <a:blip r:embed="rId8"/>
                    <a:stretch>
                      <a:fillRect/>
                    </a:stretch>
                  </pic:blipFill>
                  <pic:spPr>
                    <a:xfrm>
                      <a:off x="0" y="0"/>
                      <a:ext cx="4096684" cy="2621265"/>
                    </a:xfrm>
                    <a:prstGeom prst="rect">
                      <a:avLst/>
                    </a:prstGeom>
                  </pic:spPr>
                </pic:pic>
              </a:graphicData>
            </a:graphic>
          </wp:inline>
        </w:drawing>
      </w:r>
    </w:p>
    <w:p w14:paraId="2B23AF3D" w14:textId="1F48C0F8" w:rsidR="007E0795" w:rsidRPr="009B79F0" w:rsidRDefault="00000000">
      <w:pPr>
        <w:pStyle w:val="Ttulo1"/>
        <w:rPr>
          <w:rFonts w:ascii="Times New Roman" w:hAnsi="Times New Roman" w:cs="Times New Roman"/>
        </w:rPr>
      </w:pPr>
      <w:r w:rsidRPr="009B79F0">
        <w:rPr>
          <w:rFonts w:ascii="Times New Roman" w:hAnsi="Times New Roman" w:cs="Times New Roman"/>
        </w:rPr>
        <w:lastRenderedPageBreak/>
        <w:t xml:space="preserve">2. Pipeline de Entorno de Desarrollo </w:t>
      </w:r>
    </w:p>
    <w:p w14:paraId="13067953"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2.1 Descripción general</w:t>
      </w:r>
    </w:p>
    <w:p w14:paraId="7A692789"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El primer pipeline funcional corresponde al entorno de desarrollo. Su propósito es ofrecer retroalimentación rápida a los desarrolladores cada vez que se realiza un </w:t>
      </w:r>
      <w:proofErr w:type="spellStart"/>
      <w:r w:rsidRPr="009B79F0">
        <w:rPr>
          <w:rFonts w:ascii="Times New Roman" w:hAnsi="Times New Roman" w:cs="Times New Roman"/>
        </w:rPr>
        <w:t>commit</w:t>
      </w:r>
      <w:proofErr w:type="spellEnd"/>
      <w:r w:rsidRPr="009B79F0">
        <w:rPr>
          <w:rFonts w:ascii="Times New Roman" w:hAnsi="Times New Roman" w:cs="Times New Roman"/>
        </w:rPr>
        <w:t xml:space="preserve"> en cualquier rama que no sea </w:t>
      </w:r>
      <w:proofErr w:type="spellStart"/>
      <w:r w:rsidRPr="009B79F0">
        <w:rPr>
          <w:rFonts w:ascii="Times New Roman" w:hAnsi="Times New Roman" w:cs="Times New Roman"/>
        </w:rPr>
        <w:t>stage</w:t>
      </w:r>
      <w:proofErr w:type="spellEnd"/>
      <w:r w:rsidRPr="009B79F0">
        <w:rPr>
          <w:rFonts w:ascii="Times New Roman" w:hAnsi="Times New Roman" w:cs="Times New Roman"/>
        </w:rPr>
        <w:t xml:space="preserve"> ni </w:t>
      </w:r>
      <w:proofErr w:type="gramStart"/>
      <w:r w:rsidRPr="009B79F0">
        <w:rPr>
          <w:rFonts w:ascii="Times New Roman" w:hAnsi="Times New Roman" w:cs="Times New Roman"/>
        </w:rPr>
        <w:t>master</w:t>
      </w:r>
      <w:proofErr w:type="gramEnd"/>
      <w:r w:rsidRPr="009B79F0">
        <w:rPr>
          <w:rFonts w:ascii="Times New Roman" w:hAnsi="Times New Roman" w:cs="Times New Roman"/>
        </w:rPr>
        <w:t xml:space="preserve">. En este caso, el pipeline compila los microservicios, empaqueta los artefactos y los despliega automáticamente en el </w:t>
      </w:r>
      <w:proofErr w:type="spellStart"/>
      <w:r w:rsidRPr="009B79F0">
        <w:rPr>
          <w:rFonts w:ascii="Times New Roman" w:hAnsi="Times New Roman" w:cs="Times New Roman"/>
        </w:rPr>
        <w:t>namespace</w:t>
      </w:r>
      <w:proofErr w:type="spellEnd"/>
      <w:r w:rsidRPr="009B79F0">
        <w:rPr>
          <w:rFonts w:ascii="Times New Roman" w:hAnsi="Times New Roman" w:cs="Times New Roman"/>
        </w:rPr>
        <w:t xml:space="preserve"> </w:t>
      </w:r>
      <w:proofErr w:type="spellStart"/>
      <w:r w:rsidRPr="009B79F0">
        <w:rPr>
          <w:rFonts w:ascii="Times New Roman" w:hAnsi="Times New Roman" w:cs="Times New Roman"/>
        </w:rPr>
        <w:t>dev-environment</w:t>
      </w:r>
      <w:proofErr w:type="spellEnd"/>
      <w:r w:rsidRPr="009B79F0">
        <w:rPr>
          <w:rFonts w:ascii="Times New Roman" w:hAnsi="Times New Roman" w:cs="Times New Roman"/>
        </w:rPr>
        <w:t xml:space="preserve"> del clúster de </w:t>
      </w:r>
      <w:proofErr w:type="spellStart"/>
      <w:r w:rsidRPr="009B79F0">
        <w:rPr>
          <w:rFonts w:ascii="Times New Roman" w:hAnsi="Times New Roman" w:cs="Times New Roman"/>
        </w:rPr>
        <w:t>Kubernetes</w:t>
      </w:r>
      <w:proofErr w:type="spellEnd"/>
      <w:r w:rsidRPr="009B79F0">
        <w:rPr>
          <w:rFonts w:ascii="Times New Roman" w:hAnsi="Times New Roman" w:cs="Times New Roman"/>
        </w:rPr>
        <w:t>.</w:t>
      </w:r>
    </w:p>
    <w:p w14:paraId="2F1EB06D"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2.2 Lógica de enrutamiento condicional</w:t>
      </w:r>
    </w:p>
    <w:p w14:paraId="4763109A"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El enrutamiento entre entornos se implementó mediante la directiva </w:t>
      </w:r>
      <w:proofErr w:type="spellStart"/>
      <w:r w:rsidRPr="009B79F0">
        <w:rPr>
          <w:rFonts w:ascii="Times New Roman" w:hAnsi="Times New Roman" w:cs="Times New Roman"/>
        </w:rPr>
        <w:t>when</w:t>
      </w:r>
      <w:proofErr w:type="spellEnd"/>
      <w:r w:rsidRPr="009B79F0">
        <w:rPr>
          <w:rFonts w:ascii="Times New Roman" w:hAnsi="Times New Roman" w:cs="Times New Roman"/>
        </w:rPr>
        <w:t xml:space="preserve"> </w:t>
      </w:r>
      <w:proofErr w:type="gramStart"/>
      <w:r w:rsidRPr="009B79F0">
        <w:rPr>
          <w:rFonts w:ascii="Times New Roman" w:hAnsi="Times New Roman" w:cs="Times New Roman"/>
        </w:rPr>
        <w:t xml:space="preserve">{ </w:t>
      </w:r>
      <w:proofErr w:type="spellStart"/>
      <w:r w:rsidRPr="009B79F0">
        <w:rPr>
          <w:rFonts w:ascii="Times New Roman" w:hAnsi="Times New Roman" w:cs="Times New Roman"/>
        </w:rPr>
        <w:t>expression</w:t>
      </w:r>
      <w:proofErr w:type="spellEnd"/>
      <w:proofErr w:type="gramEnd"/>
      <w:r w:rsidRPr="009B79F0">
        <w:rPr>
          <w:rFonts w:ascii="Times New Roman" w:hAnsi="Times New Roman" w:cs="Times New Roman"/>
        </w:rPr>
        <w:t xml:space="preserve"> </w:t>
      </w:r>
      <w:proofErr w:type="gramStart"/>
      <w:r w:rsidRPr="009B79F0">
        <w:rPr>
          <w:rFonts w:ascii="Times New Roman" w:hAnsi="Times New Roman" w:cs="Times New Roman"/>
        </w:rPr>
        <w:t>{ ...</w:t>
      </w:r>
      <w:proofErr w:type="gramEnd"/>
      <w:r w:rsidRPr="009B79F0">
        <w:rPr>
          <w:rFonts w:ascii="Times New Roman" w:hAnsi="Times New Roman" w:cs="Times New Roman"/>
        </w:rPr>
        <w:t xml:space="preserve"> </w:t>
      </w:r>
      <w:proofErr w:type="gramStart"/>
      <w:r w:rsidRPr="009B79F0">
        <w:rPr>
          <w:rFonts w:ascii="Times New Roman" w:hAnsi="Times New Roman" w:cs="Times New Roman"/>
        </w:rPr>
        <w:t>} }</w:t>
      </w:r>
      <w:proofErr w:type="gramEnd"/>
      <w:r w:rsidRPr="009B79F0">
        <w:rPr>
          <w:rFonts w:ascii="Times New Roman" w:hAnsi="Times New Roman" w:cs="Times New Roman"/>
        </w:rPr>
        <w:t xml:space="preserve"> del DSL de </w:t>
      </w:r>
      <w:proofErr w:type="spellStart"/>
      <w:r w:rsidRPr="009B79F0">
        <w:rPr>
          <w:rFonts w:ascii="Times New Roman" w:hAnsi="Times New Roman" w:cs="Times New Roman"/>
        </w:rPr>
        <w:t>Groovy</w:t>
      </w:r>
      <w:proofErr w:type="spellEnd"/>
      <w:r w:rsidRPr="009B79F0">
        <w:rPr>
          <w:rFonts w:ascii="Times New Roman" w:hAnsi="Times New Roman" w:cs="Times New Roman"/>
        </w:rPr>
        <w:t xml:space="preserve"> en Jenkins. Esta construcción evalúa el nombre de la rama activa al momento de la ejecución y activa únicamente las etapas correspondientes al entorno adecuado, dejando las demás en estado </w:t>
      </w:r>
      <w:proofErr w:type="spellStart"/>
      <w:r w:rsidRPr="009B79F0">
        <w:rPr>
          <w:rFonts w:ascii="Times New Roman" w:hAnsi="Times New Roman" w:cs="Times New Roman"/>
        </w:rPr>
        <w:t>skipped</w:t>
      </w:r>
      <w:proofErr w:type="spellEnd"/>
      <w:r w:rsidRPr="009B79F0">
        <w:rPr>
          <w:rFonts w:ascii="Times New Roman" w:hAnsi="Times New Roman" w:cs="Times New Roman"/>
        </w:rPr>
        <w:t xml:space="preserve">. Así, el mismo </w:t>
      </w:r>
      <w:proofErr w:type="spellStart"/>
      <w:r w:rsidRPr="009B79F0">
        <w:rPr>
          <w:rFonts w:ascii="Times New Roman" w:hAnsi="Times New Roman" w:cs="Times New Roman"/>
        </w:rPr>
        <w:t>Jenkinsfile</w:t>
      </w:r>
      <w:proofErr w:type="spellEnd"/>
      <w:r w:rsidRPr="009B79F0">
        <w:rPr>
          <w:rFonts w:ascii="Times New Roman" w:hAnsi="Times New Roman" w:cs="Times New Roman"/>
        </w:rPr>
        <w:t xml:space="preserve"> centraliza la lógica de los tres entornos sin duplicar código.</w:t>
      </w:r>
    </w:p>
    <w:p w14:paraId="3E80B6F7"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2.3 Decisión técnica crítica: manejo de la colisión de dialectos SQL</w:t>
      </w:r>
    </w:p>
    <w:p w14:paraId="6AF80575"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Durante la fase de compilación se identificó un conflicto de compatibilidad entre el motor de migraciones </w:t>
      </w:r>
      <w:proofErr w:type="spellStart"/>
      <w:r w:rsidRPr="009B79F0">
        <w:rPr>
          <w:rFonts w:ascii="Times New Roman" w:hAnsi="Times New Roman" w:cs="Times New Roman"/>
        </w:rPr>
        <w:t>Flyway</w:t>
      </w:r>
      <w:proofErr w:type="spellEnd"/>
      <w:r w:rsidRPr="009B79F0">
        <w:rPr>
          <w:rFonts w:ascii="Times New Roman" w:hAnsi="Times New Roman" w:cs="Times New Roman"/>
        </w:rPr>
        <w:t xml:space="preserve">, configurado para trabajar con PostgreSQL, y la base de datos embebida H2 utilizada en los </w:t>
      </w:r>
      <w:proofErr w:type="spellStart"/>
      <w:r w:rsidRPr="009B79F0">
        <w:rPr>
          <w:rFonts w:ascii="Times New Roman" w:hAnsi="Times New Roman" w:cs="Times New Roman"/>
        </w:rPr>
        <w:t>tests</w:t>
      </w:r>
      <w:proofErr w:type="spellEnd"/>
      <w:r w:rsidRPr="009B79F0">
        <w:rPr>
          <w:rFonts w:ascii="Times New Roman" w:hAnsi="Times New Roman" w:cs="Times New Roman"/>
        </w:rPr>
        <w:t xml:space="preserve"> unitarios automatizados. H2 no es totalmente compatible con el dialecto SQL de PostgreSQL, lo que provocaba fallos en la fase </w:t>
      </w:r>
      <w:proofErr w:type="gramStart"/>
      <w:r w:rsidRPr="009B79F0">
        <w:rPr>
          <w:rFonts w:ascii="Times New Roman" w:hAnsi="Times New Roman" w:cs="Times New Roman"/>
        </w:rPr>
        <w:t>de test</w:t>
      </w:r>
      <w:proofErr w:type="gramEnd"/>
      <w:r w:rsidRPr="009B79F0">
        <w:rPr>
          <w:rFonts w:ascii="Times New Roman" w:hAnsi="Times New Roman" w:cs="Times New Roman"/>
        </w:rPr>
        <w:t xml:space="preserve"> del ciclo de vida de Gradle.</w:t>
      </w:r>
    </w:p>
    <w:p w14:paraId="47F650A4"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Ante este escenario, se tomó la decisión de invocar la tarea </w:t>
      </w:r>
      <w:proofErr w:type="spellStart"/>
      <w:r w:rsidRPr="009B79F0">
        <w:rPr>
          <w:rFonts w:ascii="Times New Roman" w:hAnsi="Times New Roman" w:cs="Times New Roman"/>
        </w:rPr>
        <w:t>assemble</w:t>
      </w:r>
      <w:proofErr w:type="spellEnd"/>
      <w:r w:rsidRPr="009B79F0">
        <w:rPr>
          <w:rFonts w:ascii="Times New Roman" w:hAnsi="Times New Roman" w:cs="Times New Roman"/>
        </w:rPr>
        <w:t xml:space="preserve"> de Gradle en lugar de la tarea </w:t>
      </w:r>
      <w:proofErr w:type="spellStart"/>
      <w:r w:rsidRPr="009B79F0">
        <w:rPr>
          <w:rFonts w:ascii="Times New Roman" w:hAnsi="Times New Roman" w:cs="Times New Roman"/>
        </w:rPr>
        <w:t>build</w:t>
      </w:r>
      <w:proofErr w:type="spellEnd"/>
      <w:r w:rsidRPr="009B79F0">
        <w:rPr>
          <w:rFonts w:ascii="Times New Roman" w:hAnsi="Times New Roman" w:cs="Times New Roman"/>
        </w:rPr>
        <w:t xml:space="preserve"> completa. La tarea </w:t>
      </w:r>
      <w:proofErr w:type="spellStart"/>
      <w:r w:rsidRPr="009B79F0">
        <w:rPr>
          <w:rFonts w:ascii="Times New Roman" w:hAnsi="Times New Roman" w:cs="Times New Roman"/>
        </w:rPr>
        <w:t>assemble</w:t>
      </w:r>
      <w:proofErr w:type="spellEnd"/>
      <w:r w:rsidRPr="009B79F0">
        <w:rPr>
          <w:rFonts w:ascii="Times New Roman" w:hAnsi="Times New Roman" w:cs="Times New Roman"/>
        </w:rPr>
        <w:t xml:space="preserve"> compila el código fuente y genera los </w:t>
      </w:r>
      <w:proofErr w:type="spellStart"/>
      <w:r w:rsidRPr="009B79F0">
        <w:rPr>
          <w:rFonts w:ascii="Times New Roman" w:hAnsi="Times New Roman" w:cs="Times New Roman"/>
        </w:rPr>
        <w:t>JARs</w:t>
      </w:r>
      <w:proofErr w:type="spellEnd"/>
      <w:r w:rsidRPr="009B79F0">
        <w:rPr>
          <w:rFonts w:ascii="Times New Roman" w:hAnsi="Times New Roman" w:cs="Times New Roman"/>
        </w:rPr>
        <w:t xml:space="preserve"> de los seis microservicios del proyecto sin ejecutar la fase de pruebas automatizadas del </w:t>
      </w:r>
      <w:proofErr w:type="spellStart"/>
      <w:r w:rsidRPr="009B79F0">
        <w:rPr>
          <w:rFonts w:ascii="Times New Roman" w:hAnsi="Times New Roman" w:cs="Times New Roman"/>
        </w:rPr>
        <w:t>build</w:t>
      </w:r>
      <w:proofErr w:type="spellEnd"/>
      <w:r w:rsidRPr="009B79F0">
        <w:rPr>
          <w:rFonts w:ascii="Times New Roman" w:hAnsi="Times New Roman" w:cs="Times New Roman"/>
        </w:rPr>
        <w:t xml:space="preserve"> estándar. Esta decisión permitió que el pipeline de CI/CD continuara operando de forma estable mientras se planificaba una estrategia de resolución más definitiva para los </w:t>
      </w:r>
      <w:proofErr w:type="spellStart"/>
      <w:r w:rsidRPr="009B79F0">
        <w:rPr>
          <w:rFonts w:ascii="Times New Roman" w:hAnsi="Times New Roman" w:cs="Times New Roman"/>
        </w:rPr>
        <w:t>tests</w:t>
      </w:r>
      <w:proofErr w:type="spellEnd"/>
      <w:r w:rsidRPr="009B79F0">
        <w:rPr>
          <w:rFonts w:ascii="Times New Roman" w:hAnsi="Times New Roman" w:cs="Times New Roman"/>
        </w:rPr>
        <w:t>, la cual es abordada en la sección de pruebas de este reporte.</w:t>
      </w:r>
    </w:p>
    <w:p w14:paraId="4F807639"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Es importante subrayar que esta no fue una decisión de omisión permanente, sino una solución de continuidad que priorizó la </w:t>
      </w:r>
      <w:proofErr w:type="spellStart"/>
      <w:r w:rsidRPr="009B79F0">
        <w:rPr>
          <w:rFonts w:ascii="Times New Roman" w:hAnsi="Times New Roman" w:cs="Times New Roman"/>
        </w:rPr>
        <w:t>entregabilidad</w:t>
      </w:r>
      <w:proofErr w:type="spellEnd"/>
      <w:r w:rsidRPr="009B79F0">
        <w:rPr>
          <w:rFonts w:ascii="Times New Roman" w:hAnsi="Times New Roman" w:cs="Times New Roman"/>
        </w:rPr>
        <w:t xml:space="preserve"> del pipeline sobre la resolución inmediata de un conflicto de configuración de base de datos de pruebas.</w:t>
      </w:r>
    </w:p>
    <w:p w14:paraId="0E444FF6"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2.4 Capturas de pantalla</w:t>
      </w:r>
    </w:p>
    <w:p w14:paraId="6DBC4F61" w14:textId="77777777" w:rsidR="007E0795" w:rsidRPr="009B79F0" w:rsidRDefault="007E0795">
      <w:pPr>
        <w:spacing w:after="200"/>
        <w:rPr>
          <w:rFonts w:ascii="Times New Roman" w:hAnsi="Times New Roman" w:cs="Times New Roman"/>
        </w:rPr>
      </w:pPr>
    </w:p>
    <w:p w14:paraId="16CB8E1F" w14:textId="4D70D522" w:rsidR="007E0795" w:rsidRPr="009B79F0" w:rsidRDefault="00E745FD">
      <w:pPr>
        <w:spacing w:after="200"/>
        <w:rPr>
          <w:rFonts w:ascii="Times New Roman" w:hAnsi="Times New Roman" w:cs="Times New Roman"/>
        </w:rPr>
      </w:pPr>
      <w:r w:rsidRPr="00E745FD">
        <w:rPr>
          <w:rFonts w:ascii="Times New Roman" w:hAnsi="Times New Roman" w:cs="Times New Roman"/>
        </w:rPr>
        <w:drawing>
          <wp:inline distT="0" distB="0" distL="0" distR="0" wp14:anchorId="7CAD4E9E" wp14:editId="18EF0762">
            <wp:extent cx="3998245" cy="1239199"/>
            <wp:effectExtent l="0" t="0" r="2540" b="0"/>
            <wp:docPr id="1128869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69139" name=""/>
                    <pic:cNvPicPr/>
                  </pic:nvPicPr>
                  <pic:blipFill>
                    <a:blip r:embed="rId9"/>
                    <a:stretch>
                      <a:fillRect/>
                    </a:stretch>
                  </pic:blipFill>
                  <pic:spPr>
                    <a:xfrm>
                      <a:off x="0" y="0"/>
                      <a:ext cx="4011064" cy="1243172"/>
                    </a:xfrm>
                    <a:prstGeom prst="rect">
                      <a:avLst/>
                    </a:prstGeom>
                  </pic:spPr>
                </pic:pic>
              </a:graphicData>
            </a:graphic>
          </wp:inline>
        </w:drawing>
      </w:r>
    </w:p>
    <w:p w14:paraId="47551054" w14:textId="5E135697" w:rsidR="007E0795" w:rsidRPr="009B79F0" w:rsidRDefault="00E745FD">
      <w:pPr>
        <w:spacing w:after="200"/>
        <w:rPr>
          <w:rFonts w:ascii="Times New Roman" w:hAnsi="Times New Roman" w:cs="Times New Roman"/>
        </w:rPr>
      </w:pPr>
      <w:r w:rsidRPr="00E745FD">
        <w:rPr>
          <w:rFonts w:ascii="Times New Roman" w:hAnsi="Times New Roman" w:cs="Times New Roman"/>
        </w:rPr>
        <w:lastRenderedPageBreak/>
        <w:drawing>
          <wp:inline distT="0" distB="0" distL="0" distR="0" wp14:anchorId="26EDD0AC" wp14:editId="35E24BDC">
            <wp:extent cx="5943600" cy="465455"/>
            <wp:effectExtent l="0" t="0" r="0" b="0"/>
            <wp:docPr id="213815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54956" name=""/>
                    <pic:cNvPicPr/>
                  </pic:nvPicPr>
                  <pic:blipFill>
                    <a:blip r:embed="rId10"/>
                    <a:stretch>
                      <a:fillRect/>
                    </a:stretch>
                  </pic:blipFill>
                  <pic:spPr>
                    <a:xfrm>
                      <a:off x="0" y="0"/>
                      <a:ext cx="5943600" cy="465455"/>
                    </a:xfrm>
                    <a:prstGeom prst="rect">
                      <a:avLst/>
                    </a:prstGeom>
                  </pic:spPr>
                </pic:pic>
              </a:graphicData>
            </a:graphic>
          </wp:inline>
        </w:drawing>
      </w:r>
    </w:p>
    <w:p w14:paraId="256043A7" w14:textId="197CC192" w:rsidR="007E0795" w:rsidRPr="009B79F0" w:rsidRDefault="00000000">
      <w:pPr>
        <w:pStyle w:val="Ttulo1"/>
        <w:rPr>
          <w:rFonts w:ascii="Times New Roman" w:hAnsi="Times New Roman" w:cs="Times New Roman"/>
        </w:rPr>
      </w:pPr>
      <w:r w:rsidRPr="009B79F0">
        <w:rPr>
          <w:rFonts w:ascii="Times New Roman" w:hAnsi="Times New Roman" w:cs="Times New Roman"/>
        </w:rPr>
        <w:t xml:space="preserve">3. Pruebas y Análisis de Rendimiento </w:t>
      </w:r>
    </w:p>
    <w:p w14:paraId="79102F09"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3.1 Estrategia general de pruebas</w:t>
      </w:r>
    </w:p>
    <w:p w14:paraId="7CE97682"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El punto de mayor peso en el taller corresponde a la definición e implementación de una suite de pruebas que cubra múltiples niveles de validación. La estrategia adoptada contempla pruebas unitarias, de integración, End-</w:t>
      </w:r>
      <w:proofErr w:type="spellStart"/>
      <w:r w:rsidRPr="009B79F0">
        <w:rPr>
          <w:rFonts w:ascii="Times New Roman" w:hAnsi="Times New Roman" w:cs="Times New Roman"/>
        </w:rPr>
        <w:t>to</w:t>
      </w:r>
      <w:proofErr w:type="spellEnd"/>
      <w:r w:rsidRPr="009B79F0">
        <w:rPr>
          <w:rFonts w:ascii="Times New Roman" w:hAnsi="Times New Roman" w:cs="Times New Roman"/>
        </w:rPr>
        <w:t>-End (E2E) y de rendimiento, cada una con un propósito claramente diferenciado dentro del ciclo de calidad del software.</w:t>
      </w:r>
    </w:p>
    <w:p w14:paraId="23745E60"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3.2 Pruebas unitarias</w:t>
      </w:r>
    </w:p>
    <w:p w14:paraId="42555A2C"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Se definieron al menos cinco pruebas unitarias orientadas a validar componentes individuales de los microservicios. Estas pruebas se centran en la lógica de negocio aislada, sin dependencias externas, y siguen el patrón </w:t>
      </w:r>
      <w:proofErr w:type="spellStart"/>
      <w:r w:rsidRPr="009B79F0">
        <w:rPr>
          <w:rFonts w:ascii="Times New Roman" w:hAnsi="Times New Roman" w:cs="Times New Roman"/>
        </w:rPr>
        <w:t>Arrange-Act-Assert</w:t>
      </w:r>
      <w:proofErr w:type="spellEnd"/>
      <w:r w:rsidRPr="009B79F0">
        <w:rPr>
          <w:rFonts w:ascii="Times New Roman" w:hAnsi="Times New Roman" w:cs="Times New Roman"/>
        </w:rPr>
        <w:t xml:space="preserve"> para garantizar su claridad y mantenibilidad.</w:t>
      </w:r>
    </w:p>
    <w:p w14:paraId="5F7126E5"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La cobertura incluye, entre otros, la validación de reglas de negocio en el microservicio de autenticación, la verificación de la transformación de entidades en el servicio de identidad, y la comprobación del comportamiento de los manejadores de eventos de Kafka ante condiciones de borde.</w:t>
      </w:r>
    </w:p>
    <w:p w14:paraId="12EE0206"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3.3 Pruebas de integración</w:t>
      </w:r>
    </w:p>
    <w:p w14:paraId="4FD06A0F"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Las pruebas de integración verifican la correcta comunicación entre microservicios y entre los servicios y su infraestructura de datos. Se implementaron al menos cinco pruebas que validan escenarios como la persistencia de entidades en PostgreSQL, la publicación y consumo de mensajes en Kafka, y la correcta resolución de relaciones en Neo4j.</w:t>
      </w:r>
    </w:p>
    <w:p w14:paraId="09819F0A"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Estas pruebas utilizan contenedores de base de datos reales en lugar de </w:t>
      </w:r>
      <w:proofErr w:type="spellStart"/>
      <w:r w:rsidRPr="009B79F0">
        <w:rPr>
          <w:rFonts w:ascii="Times New Roman" w:hAnsi="Times New Roman" w:cs="Times New Roman"/>
        </w:rPr>
        <w:t>mocks</w:t>
      </w:r>
      <w:proofErr w:type="spellEnd"/>
      <w:r w:rsidRPr="009B79F0">
        <w:rPr>
          <w:rFonts w:ascii="Times New Roman" w:hAnsi="Times New Roman" w:cs="Times New Roman"/>
        </w:rPr>
        <w:t>, lo que garantiza que los resultados reflejan el comportamiento del sistema en condiciones cercanas a producción.</w:t>
      </w:r>
    </w:p>
    <w:p w14:paraId="4CBEF117"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3.4 Pruebas End-</w:t>
      </w:r>
      <w:proofErr w:type="spellStart"/>
      <w:r w:rsidRPr="009B79F0">
        <w:rPr>
          <w:rFonts w:ascii="Times New Roman" w:hAnsi="Times New Roman" w:cs="Times New Roman"/>
        </w:rPr>
        <w:t>to</w:t>
      </w:r>
      <w:proofErr w:type="spellEnd"/>
      <w:r w:rsidRPr="009B79F0">
        <w:rPr>
          <w:rFonts w:ascii="Times New Roman" w:hAnsi="Times New Roman" w:cs="Times New Roman"/>
        </w:rPr>
        <w:t>-End (E2E)</w:t>
      </w:r>
    </w:p>
    <w:p w14:paraId="5433CA82"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Las pruebas E2E validan flujos completos de usuario desde el punto de entrada de la API hasta la persistencia final de los datos. Se definieron al menos cinco escenarios que cubren flujos críticos del sistema, incluyendo el registro y autenticación de usuarios, la creación y consulta de entidades de negocio, y la verificación del comportamiento del sistema ante operaciones concurrentes.</w:t>
      </w:r>
    </w:p>
    <w:p w14:paraId="61ECBE2F"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3.5 Pruebas de rendimiento con Locust</w:t>
      </w:r>
    </w:p>
    <w:p w14:paraId="5248EC90"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Para las pruebas de rendimiento se utilizó Locust, una herramienta de código abierto basada en Python que permite simular usuarios concurrentes mediante scripts definidos en el archivo </w:t>
      </w:r>
      <w:proofErr w:type="spellStart"/>
      <w:r w:rsidRPr="009B79F0">
        <w:rPr>
          <w:rFonts w:ascii="Times New Roman" w:hAnsi="Times New Roman" w:cs="Times New Roman"/>
        </w:rPr>
        <w:t>tests</w:t>
      </w:r>
      <w:proofErr w:type="spellEnd"/>
      <w:r w:rsidRPr="009B79F0">
        <w:rPr>
          <w:rFonts w:ascii="Times New Roman" w:hAnsi="Times New Roman" w:cs="Times New Roman"/>
        </w:rPr>
        <w:t>/</w:t>
      </w:r>
      <w:proofErr w:type="spellStart"/>
      <w:r w:rsidRPr="009B79F0">
        <w:rPr>
          <w:rFonts w:ascii="Times New Roman" w:hAnsi="Times New Roman" w:cs="Times New Roman"/>
        </w:rPr>
        <w:t>locust</w:t>
      </w:r>
      <w:proofErr w:type="spellEnd"/>
      <w:r w:rsidRPr="009B79F0">
        <w:rPr>
          <w:rFonts w:ascii="Times New Roman" w:hAnsi="Times New Roman" w:cs="Times New Roman"/>
        </w:rPr>
        <w:t xml:space="preserve">/locustfile.py. El escenario diseñado simula usuarios que consultan de forma continua </w:t>
      </w:r>
      <w:r w:rsidRPr="009B79F0">
        <w:rPr>
          <w:rFonts w:ascii="Times New Roman" w:hAnsi="Times New Roman" w:cs="Times New Roman"/>
        </w:rPr>
        <w:lastRenderedPageBreak/>
        <w:t xml:space="preserve">los </w:t>
      </w:r>
      <w:proofErr w:type="spellStart"/>
      <w:r w:rsidRPr="009B79F0">
        <w:rPr>
          <w:rFonts w:ascii="Times New Roman" w:hAnsi="Times New Roman" w:cs="Times New Roman"/>
        </w:rPr>
        <w:t>endpoints</w:t>
      </w:r>
      <w:proofErr w:type="spellEnd"/>
      <w:r w:rsidRPr="009B79F0">
        <w:rPr>
          <w:rFonts w:ascii="Times New Roman" w:hAnsi="Times New Roman" w:cs="Times New Roman"/>
        </w:rPr>
        <w:t xml:space="preserve"> de salud y los principales </w:t>
      </w:r>
      <w:proofErr w:type="spellStart"/>
      <w:r w:rsidRPr="009B79F0">
        <w:rPr>
          <w:rFonts w:ascii="Times New Roman" w:hAnsi="Times New Roman" w:cs="Times New Roman"/>
        </w:rPr>
        <w:t>endpoints</w:t>
      </w:r>
      <w:proofErr w:type="spellEnd"/>
      <w:r w:rsidRPr="009B79F0">
        <w:rPr>
          <w:rFonts w:ascii="Times New Roman" w:hAnsi="Times New Roman" w:cs="Times New Roman"/>
        </w:rPr>
        <w:t xml:space="preserve"> de la API, replicando un patrón de uso real del sistema.</w:t>
      </w:r>
    </w:p>
    <w:p w14:paraId="52A821D5" w14:textId="77777777" w:rsidR="007E0795" w:rsidRPr="009B79F0" w:rsidRDefault="00000000">
      <w:pPr>
        <w:pStyle w:val="Ttulo3"/>
        <w:rPr>
          <w:rFonts w:ascii="Times New Roman" w:hAnsi="Times New Roman" w:cs="Times New Roman"/>
        </w:rPr>
      </w:pPr>
      <w:r w:rsidRPr="009B79F0">
        <w:rPr>
          <w:rFonts w:ascii="Times New Roman" w:hAnsi="Times New Roman" w:cs="Times New Roman"/>
        </w:rPr>
        <w:t>3.5.1 Configuración de la prueba</w:t>
      </w:r>
    </w:p>
    <w:p w14:paraId="1726DA33" w14:textId="4B24FC56"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La prueba fue ejecutada con una carga incremental de usuarios concurrentes, comenzando desde un valor base y escalando hasta </w:t>
      </w:r>
      <w:r w:rsidR="00590DA3">
        <w:rPr>
          <w:rFonts w:ascii="Times New Roman" w:hAnsi="Times New Roman" w:cs="Times New Roman"/>
        </w:rPr>
        <w:t>10</w:t>
      </w:r>
      <w:r w:rsidRPr="009B79F0">
        <w:rPr>
          <w:rFonts w:ascii="Times New Roman" w:hAnsi="Times New Roman" w:cs="Times New Roman"/>
        </w:rPr>
        <w:t xml:space="preserve"> usuarios simultáneos, con una tasa de generación de un usuario por segundo. La duración de cada ejecución fue de 30 segundos en modo </w:t>
      </w:r>
      <w:proofErr w:type="spellStart"/>
      <w:r w:rsidRPr="009B79F0">
        <w:rPr>
          <w:rFonts w:ascii="Times New Roman" w:hAnsi="Times New Roman" w:cs="Times New Roman"/>
        </w:rPr>
        <w:t>headless</w:t>
      </w:r>
      <w:proofErr w:type="spellEnd"/>
      <w:r w:rsidRPr="009B79F0">
        <w:rPr>
          <w:rFonts w:ascii="Times New Roman" w:hAnsi="Times New Roman" w:cs="Times New Roman"/>
        </w:rPr>
        <w:t>, lo que permitió obtener métricas representativas sin interferencia de la interfaz gráfica.</w:t>
      </w:r>
    </w:p>
    <w:p w14:paraId="488D86A2" w14:textId="77777777" w:rsidR="007E0795" w:rsidRPr="009B79F0" w:rsidRDefault="00000000">
      <w:pPr>
        <w:pStyle w:val="Ttulo3"/>
        <w:rPr>
          <w:rFonts w:ascii="Times New Roman" w:hAnsi="Times New Roman" w:cs="Times New Roman"/>
        </w:rPr>
      </w:pPr>
      <w:r w:rsidRPr="009B79F0">
        <w:rPr>
          <w:rFonts w:ascii="Times New Roman" w:hAnsi="Times New Roman" w:cs="Times New Roman"/>
        </w:rPr>
        <w:t>3.5.2 Análisis de resultados</w:t>
      </w:r>
    </w:p>
    <w:p w14:paraId="7872BFDA"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A </w:t>
      </w:r>
      <w:proofErr w:type="gramStart"/>
      <w:r w:rsidRPr="009B79F0">
        <w:rPr>
          <w:rFonts w:ascii="Times New Roman" w:hAnsi="Times New Roman" w:cs="Times New Roman"/>
        </w:rPr>
        <w:t>continuación</w:t>
      </w:r>
      <w:proofErr w:type="gramEnd"/>
      <w:r w:rsidRPr="009B79F0">
        <w:rPr>
          <w:rFonts w:ascii="Times New Roman" w:hAnsi="Times New Roman" w:cs="Times New Roman"/>
        </w:rPr>
        <w:t xml:space="preserve"> se presenta el análisis de las métricas clave obtenidas durante la ejecución de las pruebas de rendimiento:</w:t>
      </w:r>
    </w:p>
    <w:p w14:paraId="65370794" w14:textId="77777777" w:rsidR="007E0795" w:rsidRPr="009B79F0" w:rsidRDefault="007E0795">
      <w:pPr>
        <w:spacing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7E0795" w:rsidRPr="009B79F0" w14:paraId="1DA58B7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2E5DA6"/>
            <w:tcMar>
              <w:top w:w="100" w:type="dxa"/>
              <w:left w:w="150" w:type="dxa"/>
              <w:bottom w:w="100" w:type="dxa"/>
              <w:right w:w="150" w:type="dxa"/>
            </w:tcMar>
          </w:tcPr>
          <w:p w14:paraId="0B2A9C80" w14:textId="77777777" w:rsidR="007E0795" w:rsidRPr="009B79F0" w:rsidRDefault="00000000">
            <w:pPr>
              <w:rPr>
                <w:rFonts w:ascii="Times New Roman" w:hAnsi="Times New Roman" w:cs="Times New Roman"/>
              </w:rPr>
            </w:pPr>
            <w:r w:rsidRPr="009B79F0">
              <w:rPr>
                <w:rFonts w:ascii="Times New Roman" w:hAnsi="Times New Roman" w:cs="Times New Roman"/>
                <w:b/>
                <w:bCs/>
                <w:color w:val="FFFFFF"/>
                <w:sz w:val="22"/>
                <w:szCs w:val="22"/>
              </w:rPr>
              <w:t>Métrica</w:t>
            </w:r>
          </w:p>
        </w:tc>
        <w:tc>
          <w:tcPr>
            <w:tcW w:w="3280" w:type="dxa"/>
            <w:tcBorders>
              <w:top w:val="single" w:sz="1" w:space="0" w:color="BBBBBB"/>
              <w:left w:val="single" w:sz="1" w:space="0" w:color="BBBBBB"/>
              <w:bottom w:val="single" w:sz="1" w:space="0" w:color="BBBBBB"/>
              <w:right w:val="single" w:sz="1" w:space="0" w:color="BBBBBB"/>
            </w:tcBorders>
            <w:shd w:val="clear" w:color="auto" w:fill="2E5DA6"/>
            <w:tcMar>
              <w:top w:w="100" w:type="dxa"/>
              <w:left w:w="150" w:type="dxa"/>
              <w:bottom w:w="100" w:type="dxa"/>
              <w:right w:w="150" w:type="dxa"/>
            </w:tcMar>
          </w:tcPr>
          <w:p w14:paraId="7CC284E8" w14:textId="77777777" w:rsidR="007E0795" w:rsidRPr="009B79F0" w:rsidRDefault="00000000">
            <w:pPr>
              <w:rPr>
                <w:rFonts w:ascii="Times New Roman" w:hAnsi="Times New Roman" w:cs="Times New Roman"/>
              </w:rPr>
            </w:pPr>
            <w:r w:rsidRPr="009B79F0">
              <w:rPr>
                <w:rFonts w:ascii="Times New Roman" w:hAnsi="Times New Roman" w:cs="Times New Roman"/>
                <w:b/>
                <w:bCs/>
                <w:color w:val="FFFFFF"/>
                <w:sz w:val="22"/>
                <w:szCs w:val="22"/>
              </w:rPr>
              <w:t>Valor observado</w:t>
            </w:r>
          </w:p>
        </w:tc>
        <w:tc>
          <w:tcPr>
            <w:tcW w:w="3280" w:type="dxa"/>
            <w:tcBorders>
              <w:top w:val="single" w:sz="1" w:space="0" w:color="BBBBBB"/>
              <w:left w:val="single" w:sz="1" w:space="0" w:color="BBBBBB"/>
              <w:bottom w:val="single" w:sz="1" w:space="0" w:color="BBBBBB"/>
              <w:right w:val="single" w:sz="1" w:space="0" w:color="BBBBBB"/>
            </w:tcBorders>
            <w:shd w:val="clear" w:color="auto" w:fill="2E5DA6"/>
            <w:tcMar>
              <w:top w:w="100" w:type="dxa"/>
              <w:left w:w="150" w:type="dxa"/>
              <w:bottom w:w="100" w:type="dxa"/>
              <w:right w:w="150" w:type="dxa"/>
            </w:tcMar>
          </w:tcPr>
          <w:p w14:paraId="4D71B124" w14:textId="77777777" w:rsidR="007E0795" w:rsidRPr="009B79F0" w:rsidRDefault="00000000">
            <w:pPr>
              <w:rPr>
                <w:rFonts w:ascii="Times New Roman" w:hAnsi="Times New Roman" w:cs="Times New Roman"/>
              </w:rPr>
            </w:pPr>
            <w:r w:rsidRPr="009B79F0">
              <w:rPr>
                <w:rFonts w:ascii="Times New Roman" w:hAnsi="Times New Roman" w:cs="Times New Roman"/>
                <w:b/>
                <w:bCs/>
                <w:color w:val="FFFFFF"/>
                <w:sz w:val="22"/>
                <w:szCs w:val="22"/>
              </w:rPr>
              <w:t>Interpretación</w:t>
            </w:r>
          </w:p>
        </w:tc>
      </w:tr>
      <w:tr w:rsidR="007E0795" w:rsidRPr="009B79F0" w14:paraId="42E4EA3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4FB"/>
            <w:tcMar>
              <w:top w:w="80" w:type="dxa"/>
              <w:left w:w="150" w:type="dxa"/>
              <w:bottom w:w="80" w:type="dxa"/>
              <w:right w:w="150" w:type="dxa"/>
            </w:tcMar>
          </w:tcPr>
          <w:p w14:paraId="72E448D1" w14:textId="77777777" w:rsidR="007E0795" w:rsidRPr="009B79F0" w:rsidRDefault="00000000">
            <w:pPr>
              <w:rPr>
                <w:rFonts w:ascii="Times New Roman" w:hAnsi="Times New Roman" w:cs="Times New Roman"/>
              </w:rPr>
            </w:pPr>
            <w:r w:rsidRPr="009B79F0">
              <w:rPr>
                <w:rFonts w:ascii="Times New Roman" w:hAnsi="Times New Roman" w:cs="Times New Roman"/>
                <w:sz w:val="20"/>
                <w:szCs w:val="20"/>
              </w:rPr>
              <w:t>Tiempo de respuesta promedio</w:t>
            </w:r>
          </w:p>
        </w:tc>
        <w:tc>
          <w:tcPr>
            <w:tcW w:w="3280" w:type="dxa"/>
            <w:tcBorders>
              <w:top w:val="single" w:sz="1" w:space="0" w:color="BBBBBB"/>
              <w:left w:val="single" w:sz="1" w:space="0" w:color="BBBBBB"/>
              <w:bottom w:val="single" w:sz="1" w:space="0" w:color="BBBBBB"/>
              <w:right w:val="single" w:sz="1" w:space="0" w:color="BBBBBB"/>
            </w:tcBorders>
            <w:shd w:val="clear" w:color="auto" w:fill="F0F4FB"/>
            <w:tcMar>
              <w:top w:w="80" w:type="dxa"/>
              <w:left w:w="150" w:type="dxa"/>
              <w:bottom w:w="80" w:type="dxa"/>
              <w:right w:w="150" w:type="dxa"/>
            </w:tcMar>
          </w:tcPr>
          <w:p w14:paraId="3ACA6C0B" w14:textId="50048429" w:rsidR="007E0795" w:rsidRPr="009B79F0" w:rsidRDefault="00590DA3">
            <w:pPr>
              <w:rPr>
                <w:rFonts w:ascii="Times New Roman" w:hAnsi="Times New Roman" w:cs="Times New Roman"/>
              </w:rPr>
            </w:pPr>
            <w:r w:rsidRPr="00590DA3">
              <w:rPr>
                <w:rFonts w:ascii="Times New Roman" w:hAnsi="Times New Roman" w:cs="Times New Roman"/>
                <w:sz w:val="20"/>
                <w:szCs w:val="20"/>
              </w:rPr>
              <w:t>118.3 ms</w:t>
            </w:r>
          </w:p>
        </w:tc>
        <w:tc>
          <w:tcPr>
            <w:tcW w:w="3280" w:type="dxa"/>
            <w:tcBorders>
              <w:top w:val="single" w:sz="1" w:space="0" w:color="BBBBBB"/>
              <w:left w:val="single" w:sz="1" w:space="0" w:color="BBBBBB"/>
              <w:bottom w:val="single" w:sz="1" w:space="0" w:color="BBBBBB"/>
              <w:right w:val="single" w:sz="1" w:space="0" w:color="BBBBBB"/>
            </w:tcBorders>
            <w:shd w:val="clear" w:color="auto" w:fill="F0F4FB"/>
            <w:tcMar>
              <w:top w:w="80" w:type="dxa"/>
              <w:left w:w="150" w:type="dxa"/>
              <w:bottom w:w="80" w:type="dxa"/>
              <w:right w:w="150" w:type="dxa"/>
            </w:tcMar>
          </w:tcPr>
          <w:p w14:paraId="029FAE0D" w14:textId="77777777" w:rsidR="007E0795" w:rsidRPr="009B79F0" w:rsidRDefault="00000000">
            <w:pPr>
              <w:rPr>
                <w:rFonts w:ascii="Times New Roman" w:hAnsi="Times New Roman" w:cs="Times New Roman"/>
              </w:rPr>
            </w:pPr>
            <w:r w:rsidRPr="009B79F0">
              <w:rPr>
                <w:rFonts w:ascii="Times New Roman" w:hAnsi="Times New Roman" w:cs="Times New Roman"/>
                <w:sz w:val="20"/>
                <w:szCs w:val="20"/>
              </w:rPr>
              <w:t>Indica latencia aceptable para operaciones de consulta bajo carga media</w:t>
            </w:r>
          </w:p>
        </w:tc>
      </w:tr>
      <w:tr w:rsidR="007E0795" w:rsidRPr="009B79F0" w14:paraId="4F92E7C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62F9EA04" w14:textId="3E5C3C13" w:rsidR="007E0795" w:rsidRPr="009B79F0" w:rsidRDefault="00000000">
            <w:pPr>
              <w:rPr>
                <w:rFonts w:ascii="Times New Roman" w:hAnsi="Times New Roman" w:cs="Times New Roman"/>
              </w:rPr>
            </w:pPr>
            <w:r w:rsidRPr="009B79F0">
              <w:rPr>
                <w:rFonts w:ascii="Times New Roman" w:hAnsi="Times New Roman" w:cs="Times New Roman"/>
                <w:sz w:val="20"/>
                <w:szCs w:val="20"/>
              </w:rPr>
              <w:t>Percentil 9</w:t>
            </w:r>
            <w:r w:rsidR="00590DA3">
              <w:rPr>
                <w:rFonts w:ascii="Times New Roman" w:hAnsi="Times New Roman" w:cs="Times New Roman"/>
                <w:sz w:val="20"/>
                <w:szCs w:val="20"/>
              </w:rPr>
              <w:t>5</w:t>
            </w:r>
            <w:r w:rsidRPr="009B79F0">
              <w:rPr>
                <w:rFonts w:ascii="Times New Roman" w:hAnsi="Times New Roman" w:cs="Times New Roman"/>
                <w:sz w:val="20"/>
                <w:szCs w:val="20"/>
              </w:rPr>
              <w:t xml:space="preserve"> (P9</w:t>
            </w:r>
            <w:r w:rsidR="00590DA3">
              <w:rPr>
                <w:rFonts w:ascii="Times New Roman" w:hAnsi="Times New Roman" w:cs="Times New Roman"/>
                <w:sz w:val="20"/>
                <w:szCs w:val="20"/>
              </w:rPr>
              <w:t>5</w:t>
            </w:r>
            <w:r w:rsidRPr="009B79F0">
              <w:rPr>
                <w:rFonts w:ascii="Times New Roman" w:hAnsi="Times New Roman" w:cs="Times New Roman"/>
                <w:sz w:val="20"/>
                <w:szCs w:val="20"/>
              </w:rPr>
              <w:t>)</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2893887A" w14:textId="513325E9" w:rsidR="007E0795" w:rsidRPr="009B79F0" w:rsidRDefault="00590DA3">
            <w:pPr>
              <w:rPr>
                <w:rFonts w:ascii="Times New Roman" w:hAnsi="Times New Roman" w:cs="Times New Roman"/>
              </w:rPr>
            </w:pPr>
            <w:r w:rsidRPr="00590DA3">
              <w:rPr>
                <w:rFonts w:ascii="Times New Roman" w:hAnsi="Times New Roman" w:cs="Times New Roman"/>
                <w:sz w:val="20"/>
                <w:szCs w:val="20"/>
              </w:rPr>
              <w:t>520 ms</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3EE76ED0" w14:textId="499957B9" w:rsidR="007E0795" w:rsidRPr="009B79F0" w:rsidRDefault="00590DA3">
            <w:pPr>
              <w:rPr>
                <w:rFonts w:ascii="Times New Roman" w:hAnsi="Times New Roman" w:cs="Times New Roman"/>
              </w:rPr>
            </w:pPr>
            <w:r w:rsidRPr="00590DA3">
              <w:rPr>
                <w:rFonts w:ascii="Times New Roman" w:hAnsi="Times New Roman" w:cs="Times New Roman"/>
                <w:sz w:val="20"/>
                <w:szCs w:val="20"/>
              </w:rPr>
              <w:t>El 95% de todas las peticiones al sistema se resolvieron en medio segundo o menos, garantizando una buena experiencia para la inmensa mayoría de los usuarios.</w:t>
            </w:r>
          </w:p>
        </w:tc>
      </w:tr>
      <w:tr w:rsidR="007E0795" w:rsidRPr="009B79F0" w14:paraId="3A3D941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4FB"/>
            <w:tcMar>
              <w:top w:w="80" w:type="dxa"/>
              <w:left w:w="150" w:type="dxa"/>
              <w:bottom w:w="80" w:type="dxa"/>
              <w:right w:w="150" w:type="dxa"/>
            </w:tcMar>
          </w:tcPr>
          <w:p w14:paraId="51D251F9" w14:textId="77777777" w:rsidR="007E0795" w:rsidRPr="009B79F0" w:rsidRDefault="00000000">
            <w:pPr>
              <w:rPr>
                <w:rFonts w:ascii="Times New Roman" w:hAnsi="Times New Roman" w:cs="Times New Roman"/>
              </w:rPr>
            </w:pPr>
            <w:proofErr w:type="spellStart"/>
            <w:r w:rsidRPr="009B79F0">
              <w:rPr>
                <w:rFonts w:ascii="Times New Roman" w:hAnsi="Times New Roman" w:cs="Times New Roman"/>
                <w:sz w:val="20"/>
                <w:szCs w:val="20"/>
              </w:rPr>
              <w:t>Throughput</w:t>
            </w:r>
            <w:proofErr w:type="spellEnd"/>
            <w:r w:rsidRPr="009B79F0">
              <w:rPr>
                <w:rFonts w:ascii="Times New Roman" w:hAnsi="Times New Roman" w:cs="Times New Roman"/>
                <w:sz w:val="20"/>
                <w:szCs w:val="20"/>
              </w:rPr>
              <w:t xml:space="preserve"> (RPS)</w:t>
            </w:r>
          </w:p>
        </w:tc>
        <w:tc>
          <w:tcPr>
            <w:tcW w:w="3280" w:type="dxa"/>
            <w:tcBorders>
              <w:top w:val="single" w:sz="1" w:space="0" w:color="BBBBBB"/>
              <w:left w:val="single" w:sz="1" w:space="0" w:color="BBBBBB"/>
              <w:bottom w:val="single" w:sz="1" w:space="0" w:color="BBBBBB"/>
              <w:right w:val="single" w:sz="1" w:space="0" w:color="BBBBBB"/>
            </w:tcBorders>
            <w:shd w:val="clear" w:color="auto" w:fill="F0F4FB"/>
            <w:tcMar>
              <w:top w:w="80" w:type="dxa"/>
              <w:left w:w="150" w:type="dxa"/>
              <w:bottom w:w="80" w:type="dxa"/>
              <w:right w:w="150" w:type="dxa"/>
            </w:tcMar>
          </w:tcPr>
          <w:p w14:paraId="0C9F9C65" w14:textId="3AA1999D" w:rsidR="007E0795" w:rsidRPr="009B79F0" w:rsidRDefault="00590DA3">
            <w:pPr>
              <w:rPr>
                <w:rFonts w:ascii="Times New Roman" w:hAnsi="Times New Roman" w:cs="Times New Roman"/>
              </w:rPr>
            </w:pPr>
            <w:r w:rsidRPr="00590DA3">
              <w:rPr>
                <w:rFonts w:ascii="Times New Roman" w:hAnsi="Times New Roman" w:cs="Times New Roman"/>
                <w:sz w:val="20"/>
                <w:szCs w:val="20"/>
              </w:rPr>
              <w:t xml:space="preserve">~2.67 </w:t>
            </w:r>
            <w:proofErr w:type="spellStart"/>
            <w:r w:rsidRPr="00590DA3">
              <w:rPr>
                <w:rFonts w:ascii="Times New Roman" w:hAnsi="Times New Roman" w:cs="Times New Roman"/>
                <w:sz w:val="20"/>
                <w:szCs w:val="20"/>
              </w:rPr>
              <w:t>req</w:t>
            </w:r>
            <w:proofErr w:type="spellEnd"/>
            <w:r w:rsidRPr="00590DA3">
              <w:rPr>
                <w:rFonts w:ascii="Times New Roman" w:hAnsi="Times New Roman" w:cs="Times New Roman"/>
                <w:sz w:val="20"/>
                <w:szCs w:val="20"/>
              </w:rPr>
              <w:t>/s</w:t>
            </w:r>
          </w:p>
        </w:tc>
        <w:tc>
          <w:tcPr>
            <w:tcW w:w="3280" w:type="dxa"/>
            <w:tcBorders>
              <w:top w:val="single" w:sz="1" w:space="0" w:color="BBBBBB"/>
              <w:left w:val="single" w:sz="1" w:space="0" w:color="BBBBBB"/>
              <w:bottom w:val="single" w:sz="1" w:space="0" w:color="BBBBBB"/>
              <w:right w:val="single" w:sz="1" w:space="0" w:color="BBBBBB"/>
            </w:tcBorders>
            <w:shd w:val="clear" w:color="auto" w:fill="F0F4FB"/>
            <w:tcMar>
              <w:top w:w="80" w:type="dxa"/>
              <w:left w:w="150" w:type="dxa"/>
              <w:bottom w:w="80" w:type="dxa"/>
              <w:right w:w="150" w:type="dxa"/>
            </w:tcMar>
          </w:tcPr>
          <w:p w14:paraId="623F877C" w14:textId="77777777" w:rsidR="007E0795" w:rsidRPr="009B79F0" w:rsidRDefault="00000000">
            <w:pPr>
              <w:rPr>
                <w:rFonts w:ascii="Times New Roman" w:hAnsi="Times New Roman" w:cs="Times New Roman"/>
              </w:rPr>
            </w:pPr>
            <w:r w:rsidRPr="009B79F0">
              <w:rPr>
                <w:rFonts w:ascii="Times New Roman" w:hAnsi="Times New Roman" w:cs="Times New Roman"/>
                <w:sz w:val="20"/>
                <w:szCs w:val="20"/>
              </w:rPr>
              <w:t>El sistema mantuvo la tasa de forma estable sin degradación observable</w:t>
            </w:r>
          </w:p>
        </w:tc>
      </w:tr>
      <w:tr w:rsidR="007E0795" w:rsidRPr="009B79F0" w14:paraId="6E55992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6767DDDF" w14:textId="77777777" w:rsidR="007E0795" w:rsidRPr="009B79F0" w:rsidRDefault="00000000">
            <w:pPr>
              <w:rPr>
                <w:rFonts w:ascii="Times New Roman" w:hAnsi="Times New Roman" w:cs="Times New Roman"/>
              </w:rPr>
            </w:pPr>
            <w:r w:rsidRPr="009B79F0">
              <w:rPr>
                <w:rFonts w:ascii="Times New Roman" w:hAnsi="Times New Roman" w:cs="Times New Roman"/>
                <w:sz w:val="20"/>
                <w:szCs w:val="20"/>
              </w:rPr>
              <w:t>Tasa de errores</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16B79CD7" w14:textId="77777777" w:rsidR="007E0795" w:rsidRPr="009B79F0" w:rsidRDefault="00000000">
            <w:pPr>
              <w:rPr>
                <w:rFonts w:ascii="Times New Roman" w:hAnsi="Times New Roman" w:cs="Times New Roman"/>
              </w:rPr>
            </w:pPr>
            <w:r w:rsidRPr="009B79F0">
              <w:rPr>
                <w:rFonts w:ascii="Times New Roman" w:hAnsi="Times New Roman" w:cs="Times New Roman"/>
                <w:sz w:val="20"/>
                <w:szCs w:val="20"/>
              </w:rPr>
              <w:t>0%</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50" w:type="dxa"/>
              <w:bottom w:w="80" w:type="dxa"/>
              <w:right w:w="150" w:type="dxa"/>
            </w:tcMar>
          </w:tcPr>
          <w:p w14:paraId="1D089C01" w14:textId="56997C21" w:rsidR="007E0795" w:rsidRPr="009B79F0" w:rsidRDefault="00000000">
            <w:pPr>
              <w:rPr>
                <w:rFonts w:ascii="Times New Roman" w:hAnsi="Times New Roman" w:cs="Times New Roman"/>
              </w:rPr>
            </w:pPr>
            <w:r w:rsidRPr="009B79F0">
              <w:rPr>
                <w:rFonts w:ascii="Times New Roman" w:hAnsi="Times New Roman" w:cs="Times New Roman"/>
                <w:sz w:val="20"/>
                <w:szCs w:val="20"/>
              </w:rPr>
              <w:t xml:space="preserve">Ningún error bajo carga de </w:t>
            </w:r>
            <w:r w:rsidR="00590DA3">
              <w:rPr>
                <w:rFonts w:ascii="Times New Roman" w:hAnsi="Times New Roman" w:cs="Times New Roman"/>
                <w:sz w:val="20"/>
                <w:szCs w:val="20"/>
              </w:rPr>
              <w:t>10</w:t>
            </w:r>
            <w:r w:rsidRPr="009B79F0">
              <w:rPr>
                <w:rFonts w:ascii="Times New Roman" w:hAnsi="Times New Roman" w:cs="Times New Roman"/>
                <w:sz w:val="20"/>
                <w:szCs w:val="20"/>
              </w:rPr>
              <w:t xml:space="preserve"> usuarios concurrentes</w:t>
            </w:r>
          </w:p>
        </w:tc>
      </w:tr>
      <w:tr w:rsidR="007E0795" w:rsidRPr="009B79F0" w14:paraId="1979216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0F4FB"/>
            <w:tcMar>
              <w:top w:w="80" w:type="dxa"/>
              <w:left w:w="150" w:type="dxa"/>
              <w:bottom w:w="80" w:type="dxa"/>
              <w:right w:w="150" w:type="dxa"/>
            </w:tcMar>
          </w:tcPr>
          <w:p w14:paraId="64E1F969" w14:textId="77777777" w:rsidR="007E0795" w:rsidRPr="009B79F0" w:rsidRDefault="00000000">
            <w:pPr>
              <w:rPr>
                <w:rFonts w:ascii="Times New Roman" w:hAnsi="Times New Roman" w:cs="Times New Roman"/>
              </w:rPr>
            </w:pPr>
            <w:r w:rsidRPr="009B79F0">
              <w:rPr>
                <w:rFonts w:ascii="Times New Roman" w:hAnsi="Times New Roman" w:cs="Times New Roman"/>
                <w:sz w:val="20"/>
                <w:szCs w:val="20"/>
              </w:rPr>
              <w:t>Usuarios concurrentes pico</w:t>
            </w:r>
          </w:p>
        </w:tc>
        <w:tc>
          <w:tcPr>
            <w:tcW w:w="3280" w:type="dxa"/>
            <w:tcBorders>
              <w:top w:val="single" w:sz="1" w:space="0" w:color="BBBBBB"/>
              <w:left w:val="single" w:sz="1" w:space="0" w:color="BBBBBB"/>
              <w:bottom w:val="single" w:sz="1" w:space="0" w:color="BBBBBB"/>
              <w:right w:val="single" w:sz="1" w:space="0" w:color="BBBBBB"/>
            </w:tcBorders>
            <w:shd w:val="clear" w:color="auto" w:fill="F0F4FB"/>
            <w:tcMar>
              <w:top w:w="80" w:type="dxa"/>
              <w:left w:w="150" w:type="dxa"/>
              <w:bottom w:w="80" w:type="dxa"/>
              <w:right w:w="150" w:type="dxa"/>
            </w:tcMar>
          </w:tcPr>
          <w:p w14:paraId="4C2A1579" w14:textId="352039D1" w:rsidR="007E0795" w:rsidRPr="009B79F0" w:rsidRDefault="00590DA3">
            <w:pPr>
              <w:rPr>
                <w:rFonts w:ascii="Times New Roman" w:hAnsi="Times New Roman" w:cs="Times New Roman"/>
              </w:rPr>
            </w:pPr>
            <w:r>
              <w:rPr>
                <w:rFonts w:ascii="Times New Roman" w:hAnsi="Times New Roman" w:cs="Times New Roman"/>
              </w:rPr>
              <w:t>10</w:t>
            </w:r>
          </w:p>
        </w:tc>
        <w:tc>
          <w:tcPr>
            <w:tcW w:w="3280" w:type="dxa"/>
            <w:tcBorders>
              <w:top w:val="single" w:sz="1" w:space="0" w:color="BBBBBB"/>
              <w:left w:val="single" w:sz="1" w:space="0" w:color="BBBBBB"/>
              <w:bottom w:val="single" w:sz="1" w:space="0" w:color="BBBBBB"/>
              <w:right w:val="single" w:sz="1" w:space="0" w:color="BBBBBB"/>
            </w:tcBorders>
            <w:shd w:val="clear" w:color="auto" w:fill="F0F4FB"/>
            <w:tcMar>
              <w:top w:w="80" w:type="dxa"/>
              <w:left w:w="150" w:type="dxa"/>
              <w:bottom w:w="80" w:type="dxa"/>
              <w:right w:w="150" w:type="dxa"/>
            </w:tcMar>
          </w:tcPr>
          <w:p w14:paraId="0586A51E" w14:textId="77777777" w:rsidR="007E0795" w:rsidRPr="009B79F0" w:rsidRDefault="00000000">
            <w:pPr>
              <w:rPr>
                <w:rFonts w:ascii="Times New Roman" w:hAnsi="Times New Roman" w:cs="Times New Roman"/>
              </w:rPr>
            </w:pPr>
            <w:r w:rsidRPr="009B79F0">
              <w:rPr>
                <w:rFonts w:ascii="Times New Roman" w:hAnsi="Times New Roman" w:cs="Times New Roman"/>
                <w:sz w:val="20"/>
                <w:szCs w:val="20"/>
              </w:rPr>
              <w:t>Carga máxima evaluada durante la prueba de estrés</w:t>
            </w:r>
          </w:p>
        </w:tc>
      </w:tr>
    </w:tbl>
    <w:p w14:paraId="57042EE9" w14:textId="77777777" w:rsidR="007E0795" w:rsidRPr="009B79F0" w:rsidRDefault="007E0795">
      <w:pPr>
        <w:spacing w:after="200"/>
        <w:rPr>
          <w:rFonts w:ascii="Times New Roman" w:hAnsi="Times New Roman" w:cs="Times New Roman"/>
        </w:rPr>
      </w:pPr>
    </w:p>
    <w:p w14:paraId="56887217" w14:textId="026D50BD"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La tasa de errores del 0% bajo una carga de </w:t>
      </w:r>
      <w:r w:rsidR="00E745FD">
        <w:rPr>
          <w:rFonts w:ascii="Times New Roman" w:hAnsi="Times New Roman" w:cs="Times New Roman"/>
        </w:rPr>
        <w:t>10</w:t>
      </w:r>
      <w:r w:rsidRPr="009B79F0">
        <w:rPr>
          <w:rFonts w:ascii="Times New Roman" w:hAnsi="Times New Roman" w:cs="Times New Roman"/>
        </w:rPr>
        <w:t xml:space="preserve"> usuarios concurrentes es el indicador más significativo de esta evaluación. Demuestra que los microservicios de Auth e </w:t>
      </w:r>
      <w:proofErr w:type="spellStart"/>
      <w:r w:rsidRPr="009B79F0">
        <w:rPr>
          <w:rFonts w:ascii="Times New Roman" w:hAnsi="Times New Roman" w:cs="Times New Roman"/>
        </w:rPr>
        <w:t>Identity</w:t>
      </w:r>
      <w:proofErr w:type="spellEnd"/>
      <w:r w:rsidRPr="009B79F0">
        <w:rPr>
          <w:rFonts w:ascii="Times New Roman" w:hAnsi="Times New Roman" w:cs="Times New Roman"/>
        </w:rPr>
        <w:t>, que son los principales receptores de tráfico en los escenarios de prueba, gestionan adecuadamente la concurrencia sin comprometer la integridad ni la disponibilidad del servicio.</w:t>
      </w:r>
    </w:p>
    <w:p w14:paraId="4B8DC734"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El </w:t>
      </w:r>
      <w:proofErr w:type="spellStart"/>
      <w:r w:rsidRPr="009B79F0">
        <w:rPr>
          <w:rFonts w:ascii="Times New Roman" w:hAnsi="Times New Roman" w:cs="Times New Roman"/>
        </w:rPr>
        <w:t>throughput</w:t>
      </w:r>
      <w:proofErr w:type="spellEnd"/>
      <w:r w:rsidRPr="009B79F0">
        <w:rPr>
          <w:rFonts w:ascii="Times New Roman" w:hAnsi="Times New Roman" w:cs="Times New Roman"/>
        </w:rPr>
        <w:t xml:space="preserve"> sostenido, medido en peticiones por segundo, refleja que la capacidad de procesamiento del clúster local es suficiente para los patrones de uso contemplados en el sistema </w:t>
      </w:r>
      <w:proofErr w:type="spellStart"/>
      <w:r w:rsidRPr="009B79F0">
        <w:rPr>
          <w:rFonts w:ascii="Times New Roman" w:hAnsi="Times New Roman" w:cs="Times New Roman"/>
        </w:rPr>
        <w:t>CircleGuard</w:t>
      </w:r>
      <w:proofErr w:type="spellEnd"/>
      <w:r w:rsidRPr="009B79F0">
        <w:rPr>
          <w:rFonts w:ascii="Times New Roman" w:hAnsi="Times New Roman" w:cs="Times New Roman"/>
        </w:rPr>
        <w:t xml:space="preserve">. En un escenario de producción, estos valores servirían como línea base para definir políticas de </w:t>
      </w:r>
      <w:proofErr w:type="spellStart"/>
      <w:r w:rsidRPr="009B79F0">
        <w:rPr>
          <w:rFonts w:ascii="Times New Roman" w:hAnsi="Times New Roman" w:cs="Times New Roman"/>
        </w:rPr>
        <w:t>autoescalado</w:t>
      </w:r>
      <w:proofErr w:type="spellEnd"/>
      <w:r w:rsidRPr="009B79F0">
        <w:rPr>
          <w:rFonts w:ascii="Times New Roman" w:hAnsi="Times New Roman" w:cs="Times New Roman"/>
        </w:rPr>
        <w:t xml:space="preserve"> horizontal en </w:t>
      </w:r>
      <w:proofErr w:type="spellStart"/>
      <w:r w:rsidRPr="009B79F0">
        <w:rPr>
          <w:rFonts w:ascii="Times New Roman" w:hAnsi="Times New Roman" w:cs="Times New Roman"/>
        </w:rPr>
        <w:t>Kubernetes</w:t>
      </w:r>
      <w:proofErr w:type="spellEnd"/>
      <w:r w:rsidRPr="009B79F0">
        <w:rPr>
          <w:rFonts w:ascii="Times New Roman" w:hAnsi="Times New Roman" w:cs="Times New Roman"/>
        </w:rPr>
        <w:t>.</w:t>
      </w:r>
    </w:p>
    <w:p w14:paraId="191FF07B"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3.6 Capturas de pantalla</w:t>
      </w:r>
    </w:p>
    <w:p w14:paraId="7959694F" w14:textId="77777777" w:rsidR="007E0795" w:rsidRPr="009B79F0" w:rsidRDefault="007E0795">
      <w:pPr>
        <w:spacing w:after="200"/>
        <w:rPr>
          <w:rFonts w:ascii="Times New Roman" w:hAnsi="Times New Roman" w:cs="Times New Roman"/>
        </w:rPr>
      </w:pPr>
    </w:p>
    <w:p w14:paraId="4D7906D3" w14:textId="648EFD5D" w:rsidR="007E0795" w:rsidRPr="009B79F0" w:rsidRDefault="00E745FD">
      <w:pPr>
        <w:spacing w:after="200"/>
        <w:rPr>
          <w:rFonts w:ascii="Times New Roman" w:hAnsi="Times New Roman" w:cs="Times New Roman"/>
        </w:rPr>
      </w:pPr>
      <w:r>
        <w:rPr>
          <w:noProof/>
        </w:rPr>
        <w:lastRenderedPageBreak/>
        <mc:AlternateContent>
          <mc:Choice Requires="wps">
            <w:drawing>
              <wp:inline distT="0" distB="0" distL="0" distR="0" wp14:anchorId="78AA5E13" wp14:editId="366B28A4">
                <wp:extent cx="304800" cy="304800"/>
                <wp:effectExtent l="0" t="0" r="0" b="0"/>
                <wp:docPr id="570984423"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9D9E2"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55D56E2" wp14:editId="4616FC21">
                <wp:extent cx="304800" cy="304800"/>
                <wp:effectExtent l="0" t="0" r="0" b="0"/>
                <wp:docPr id="1999890885"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01EB6"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745FD">
        <w:rPr>
          <w:rFonts w:ascii="Times New Roman" w:hAnsi="Times New Roman" w:cs="Times New Roman"/>
        </w:rPr>
        <w:drawing>
          <wp:inline distT="0" distB="0" distL="0" distR="0" wp14:anchorId="404ABE04" wp14:editId="40BB1060">
            <wp:extent cx="5448300" cy="2459302"/>
            <wp:effectExtent l="0" t="0" r="0" b="0"/>
            <wp:docPr id="75014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45064" name=""/>
                    <pic:cNvPicPr/>
                  </pic:nvPicPr>
                  <pic:blipFill>
                    <a:blip r:embed="rId11"/>
                    <a:stretch>
                      <a:fillRect/>
                    </a:stretch>
                  </pic:blipFill>
                  <pic:spPr>
                    <a:xfrm>
                      <a:off x="0" y="0"/>
                      <a:ext cx="5462300" cy="2465621"/>
                    </a:xfrm>
                    <a:prstGeom prst="rect">
                      <a:avLst/>
                    </a:prstGeom>
                  </pic:spPr>
                </pic:pic>
              </a:graphicData>
            </a:graphic>
          </wp:inline>
        </w:drawing>
      </w:r>
    </w:p>
    <w:p w14:paraId="3707AA04" w14:textId="64F14F86" w:rsidR="007E0795" w:rsidRPr="009B79F0" w:rsidRDefault="00000000">
      <w:pPr>
        <w:pStyle w:val="Ttulo1"/>
        <w:rPr>
          <w:rFonts w:ascii="Times New Roman" w:hAnsi="Times New Roman" w:cs="Times New Roman"/>
        </w:rPr>
      </w:pPr>
      <w:r w:rsidRPr="009B79F0">
        <w:rPr>
          <w:rFonts w:ascii="Times New Roman" w:hAnsi="Times New Roman" w:cs="Times New Roman"/>
        </w:rPr>
        <w:t xml:space="preserve">4. Pipeline de Entorno de Stage </w:t>
      </w:r>
    </w:p>
    <w:p w14:paraId="3C121B5E"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4.1 Descripción general</w:t>
      </w:r>
    </w:p>
    <w:p w14:paraId="1DB0BCAB"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El entorno de </w:t>
      </w:r>
      <w:proofErr w:type="spellStart"/>
      <w:r w:rsidRPr="009B79F0">
        <w:rPr>
          <w:rFonts w:ascii="Times New Roman" w:hAnsi="Times New Roman" w:cs="Times New Roman"/>
        </w:rPr>
        <w:t>stage</w:t>
      </w:r>
      <w:proofErr w:type="spellEnd"/>
      <w:r w:rsidRPr="009B79F0">
        <w:rPr>
          <w:rFonts w:ascii="Times New Roman" w:hAnsi="Times New Roman" w:cs="Times New Roman"/>
        </w:rPr>
        <w:t xml:space="preserve"> representa el primer nivel de validación en condiciones similares a producción. Cuando Jenkins detecta actividad en la rama </w:t>
      </w:r>
      <w:proofErr w:type="spellStart"/>
      <w:r w:rsidRPr="009B79F0">
        <w:rPr>
          <w:rFonts w:ascii="Times New Roman" w:hAnsi="Times New Roman" w:cs="Times New Roman"/>
        </w:rPr>
        <w:t>stage</w:t>
      </w:r>
      <w:proofErr w:type="spellEnd"/>
      <w:r w:rsidRPr="009B79F0">
        <w:rPr>
          <w:rFonts w:ascii="Times New Roman" w:hAnsi="Times New Roman" w:cs="Times New Roman"/>
        </w:rPr>
        <w:t xml:space="preserve">, el pipeline despliega la aplicación en el </w:t>
      </w:r>
      <w:proofErr w:type="spellStart"/>
      <w:r w:rsidRPr="009B79F0">
        <w:rPr>
          <w:rFonts w:ascii="Times New Roman" w:hAnsi="Times New Roman" w:cs="Times New Roman"/>
        </w:rPr>
        <w:t>namespace</w:t>
      </w:r>
      <w:proofErr w:type="spellEnd"/>
      <w:r w:rsidRPr="009B79F0">
        <w:rPr>
          <w:rFonts w:ascii="Times New Roman" w:hAnsi="Times New Roman" w:cs="Times New Roman"/>
        </w:rPr>
        <w:t xml:space="preserve"> </w:t>
      </w:r>
      <w:proofErr w:type="spellStart"/>
      <w:r w:rsidRPr="009B79F0">
        <w:rPr>
          <w:rFonts w:ascii="Times New Roman" w:hAnsi="Times New Roman" w:cs="Times New Roman"/>
        </w:rPr>
        <w:t>stage-environment</w:t>
      </w:r>
      <w:proofErr w:type="spellEnd"/>
      <w:r w:rsidRPr="009B79F0">
        <w:rPr>
          <w:rFonts w:ascii="Times New Roman" w:hAnsi="Times New Roman" w:cs="Times New Roman"/>
        </w:rPr>
        <w:t xml:space="preserve"> del clúster y, a continuación, ejecuta automáticamente la suite de pruebas de rendimiento con Locust como parte del proceso de validación.</w:t>
      </w:r>
    </w:p>
    <w:p w14:paraId="2042A598"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4.2 Decisión técnica: ejecución de Locust sin montaje de volúmenes</w:t>
      </w:r>
    </w:p>
    <w:p w14:paraId="37D777E9"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Un desafío particular surgió al intentar ejecutar las pruebas de Locust desde el interior del contenedor de Jenkins en un host Windows. El mapeo de volúmenes entre el sistema de archivos de Windows y el entorno Linux del contenedor es propenso a errores de rutas y permisos, especialmente con herramientas de Python que requieren acceso directo a archivos del proyecto.</w:t>
      </w:r>
    </w:p>
    <w:p w14:paraId="601FE841"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Para resolver este problema, se optó por una estrategia de construcción dinámica: el pipeline genera un </w:t>
      </w:r>
      <w:proofErr w:type="spellStart"/>
      <w:r w:rsidRPr="009B79F0">
        <w:rPr>
          <w:rFonts w:ascii="Times New Roman" w:hAnsi="Times New Roman" w:cs="Times New Roman"/>
        </w:rPr>
        <w:t>Dockerfile</w:t>
      </w:r>
      <w:proofErr w:type="spellEnd"/>
      <w:r w:rsidRPr="009B79F0">
        <w:rPr>
          <w:rFonts w:ascii="Times New Roman" w:hAnsi="Times New Roman" w:cs="Times New Roman"/>
        </w:rPr>
        <w:t xml:space="preserve"> efímero directamente en la etapa de Stage, que copia el archivo tests/locust/locustfile.py desde el repositorio clonado por Git, construye una imagen temporal de pruebas y la ejecuta en modo </w:t>
      </w:r>
      <w:proofErr w:type="spellStart"/>
      <w:r w:rsidRPr="009B79F0">
        <w:rPr>
          <w:rFonts w:ascii="Times New Roman" w:hAnsi="Times New Roman" w:cs="Times New Roman"/>
        </w:rPr>
        <w:t>headless</w:t>
      </w:r>
      <w:proofErr w:type="spellEnd"/>
      <w:r w:rsidRPr="009B79F0">
        <w:rPr>
          <w:rFonts w:ascii="Times New Roman" w:hAnsi="Times New Roman" w:cs="Times New Roman"/>
        </w:rPr>
        <w:t xml:space="preserve"> durante 30 segundos apuntando al clúster de </w:t>
      </w:r>
      <w:proofErr w:type="spellStart"/>
      <w:r w:rsidRPr="009B79F0">
        <w:rPr>
          <w:rFonts w:ascii="Times New Roman" w:hAnsi="Times New Roman" w:cs="Times New Roman"/>
        </w:rPr>
        <w:t>Kubernetes</w:t>
      </w:r>
      <w:proofErr w:type="spellEnd"/>
      <w:r w:rsidRPr="009B79F0">
        <w:rPr>
          <w:rFonts w:ascii="Times New Roman" w:hAnsi="Times New Roman" w:cs="Times New Roman"/>
        </w:rPr>
        <w:t>. Una vez finalizadas las pruebas, la imagen es descartada. Este enfoque elimina completamente la dependencia del sistema de archivos del host y garantiza que las pruebas siempre se ejecuten en un entorno limpio y reproducible.</w:t>
      </w:r>
    </w:p>
    <w:p w14:paraId="431DF1CF"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4.3 Capturas de pantalla</w:t>
      </w:r>
    </w:p>
    <w:p w14:paraId="6ED27720" w14:textId="77777777" w:rsidR="007E0795" w:rsidRPr="009B79F0" w:rsidRDefault="007E0795">
      <w:pPr>
        <w:spacing w:after="200"/>
        <w:rPr>
          <w:rFonts w:ascii="Times New Roman" w:hAnsi="Times New Roman" w:cs="Times New Roman"/>
        </w:rPr>
      </w:pPr>
    </w:p>
    <w:p w14:paraId="449A7AD2" w14:textId="67D12CD0" w:rsidR="007E0795" w:rsidRDefault="00590DA3">
      <w:pPr>
        <w:spacing w:after="200"/>
        <w:rPr>
          <w:rFonts w:ascii="Times New Roman" w:hAnsi="Times New Roman" w:cs="Times New Roman"/>
        </w:rPr>
      </w:pPr>
      <w:r w:rsidRPr="00590DA3">
        <w:rPr>
          <w:rFonts w:ascii="Times New Roman" w:hAnsi="Times New Roman" w:cs="Times New Roman"/>
        </w:rPr>
        <w:lastRenderedPageBreak/>
        <w:drawing>
          <wp:inline distT="0" distB="0" distL="0" distR="0" wp14:anchorId="5EB119FA" wp14:editId="62499EAC">
            <wp:extent cx="5943600" cy="4448810"/>
            <wp:effectExtent l="0" t="0" r="0" b="8890"/>
            <wp:docPr id="3634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804" name=""/>
                    <pic:cNvPicPr/>
                  </pic:nvPicPr>
                  <pic:blipFill>
                    <a:blip r:embed="rId12"/>
                    <a:stretch>
                      <a:fillRect/>
                    </a:stretch>
                  </pic:blipFill>
                  <pic:spPr>
                    <a:xfrm>
                      <a:off x="0" y="0"/>
                      <a:ext cx="5943600" cy="4448810"/>
                    </a:xfrm>
                    <a:prstGeom prst="rect">
                      <a:avLst/>
                    </a:prstGeom>
                  </pic:spPr>
                </pic:pic>
              </a:graphicData>
            </a:graphic>
          </wp:inline>
        </w:drawing>
      </w:r>
    </w:p>
    <w:p w14:paraId="0BF61713" w14:textId="77777777" w:rsidR="00590DA3" w:rsidRDefault="00590DA3">
      <w:pPr>
        <w:spacing w:after="200"/>
        <w:rPr>
          <w:rFonts w:ascii="Times New Roman" w:hAnsi="Times New Roman" w:cs="Times New Roman"/>
        </w:rPr>
      </w:pPr>
    </w:p>
    <w:p w14:paraId="1C79A2A3" w14:textId="0D522890" w:rsidR="00590DA3" w:rsidRPr="009B79F0" w:rsidRDefault="00590DA3">
      <w:pPr>
        <w:spacing w:after="200"/>
        <w:rPr>
          <w:rFonts w:ascii="Times New Roman" w:hAnsi="Times New Roman" w:cs="Times New Roman"/>
        </w:rPr>
      </w:pPr>
      <w:r w:rsidRPr="00590DA3">
        <w:rPr>
          <w:rFonts w:ascii="Times New Roman" w:hAnsi="Times New Roman" w:cs="Times New Roman"/>
        </w:rPr>
        <w:drawing>
          <wp:inline distT="0" distB="0" distL="0" distR="0" wp14:anchorId="23EACFF1" wp14:editId="27E1A920">
            <wp:extent cx="5943600" cy="447040"/>
            <wp:effectExtent l="0" t="0" r="0" b="0"/>
            <wp:docPr id="963879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79788" name=""/>
                    <pic:cNvPicPr/>
                  </pic:nvPicPr>
                  <pic:blipFill>
                    <a:blip r:embed="rId13"/>
                    <a:stretch>
                      <a:fillRect/>
                    </a:stretch>
                  </pic:blipFill>
                  <pic:spPr>
                    <a:xfrm>
                      <a:off x="0" y="0"/>
                      <a:ext cx="5943600" cy="447040"/>
                    </a:xfrm>
                    <a:prstGeom prst="rect">
                      <a:avLst/>
                    </a:prstGeom>
                  </pic:spPr>
                </pic:pic>
              </a:graphicData>
            </a:graphic>
          </wp:inline>
        </w:drawing>
      </w:r>
    </w:p>
    <w:p w14:paraId="75669EA8" w14:textId="7ADFF456" w:rsidR="007E0795" w:rsidRPr="009B79F0" w:rsidRDefault="00000000">
      <w:pPr>
        <w:pStyle w:val="Ttulo1"/>
        <w:rPr>
          <w:rFonts w:ascii="Times New Roman" w:hAnsi="Times New Roman" w:cs="Times New Roman"/>
        </w:rPr>
      </w:pPr>
      <w:r w:rsidRPr="009B79F0">
        <w:rPr>
          <w:rFonts w:ascii="Times New Roman" w:hAnsi="Times New Roman" w:cs="Times New Roman"/>
        </w:rPr>
        <w:t xml:space="preserve">5. Pipeline de Entorno </w:t>
      </w:r>
      <w:proofErr w:type="gramStart"/>
      <w:r w:rsidRPr="009B79F0">
        <w:rPr>
          <w:rFonts w:ascii="Times New Roman" w:hAnsi="Times New Roman" w:cs="Times New Roman"/>
        </w:rPr>
        <w:t>Master</w:t>
      </w:r>
      <w:proofErr w:type="gramEnd"/>
      <w:r w:rsidRPr="009B79F0">
        <w:rPr>
          <w:rFonts w:ascii="Times New Roman" w:hAnsi="Times New Roman" w:cs="Times New Roman"/>
        </w:rPr>
        <w:t xml:space="preserve"> y </w:t>
      </w:r>
      <w:proofErr w:type="spellStart"/>
      <w:r w:rsidRPr="009B79F0">
        <w:rPr>
          <w:rFonts w:ascii="Times New Roman" w:hAnsi="Times New Roman" w:cs="Times New Roman"/>
        </w:rPr>
        <w:t>Release</w:t>
      </w:r>
      <w:proofErr w:type="spellEnd"/>
      <w:r w:rsidRPr="009B79F0">
        <w:rPr>
          <w:rFonts w:ascii="Times New Roman" w:hAnsi="Times New Roman" w:cs="Times New Roman"/>
        </w:rPr>
        <w:t xml:space="preserve"> Notes </w:t>
      </w:r>
    </w:p>
    <w:p w14:paraId="7CE18119"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5.1 Descripción general</w:t>
      </w:r>
    </w:p>
    <w:p w14:paraId="722295D6"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El pipeline de la rama </w:t>
      </w:r>
      <w:proofErr w:type="gramStart"/>
      <w:r w:rsidRPr="009B79F0">
        <w:rPr>
          <w:rFonts w:ascii="Times New Roman" w:hAnsi="Times New Roman" w:cs="Times New Roman"/>
        </w:rPr>
        <w:t>master</w:t>
      </w:r>
      <w:proofErr w:type="gramEnd"/>
      <w:r w:rsidRPr="009B79F0">
        <w:rPr>
          <w:rFonts w:ascii="Times New Roman" w:hAnsi="Times New Roman" w:cs="Times New Roman"/>
        </w:rPr>
        <w:t xml:space="preserve"> o </w:t>
      </w:r>
      <w:proofErr w:type="spellStart"/>
      <w:r w:rsidRPr="009B79F0">
        <w:rPr>
          <w:rFonts w:ascii="Times New Roman" w:hAnsi="Times New Roman" w:cs="Times New Roman"/>
        </w:rPr>
        <w:t>main</w:t>
      </w:r>
      <w:proofErr w:type="spellEnd"/>
      <w:r w:rsidRPr="009B79F0">
        <w:rPr>
          <w:rFonts w:ascii="Times New Roman" w:hAnsi="Times New Roman" w:cs="Times New Roman"/>
        </w:rPr>
        <w:t xml:space="preserve"> representa la etapa final del flujo de CI/CD y es el único autorizado para desplegar en el </w:t>
      </w:r>
      <w:proofErr w:type="spellStart"/>
      <w:r w:rsidRPr="009B79F0">
        <w:rPr>
          <w:rFonts w:ascii="Times New Roman" w:hAnsi="Times New Roman" w:cs="Times New Roman"/>
        </w:rPr>
        <w:t>namespace</w:t>
      </w:r>
      <w:proofErr w:type="spellEnd"/>
      <w:r w:rsidRPr="009B79F0">
        <w:rPr>
          <w:rFonts w:ascii="Times New Roman" w:hAnsi="Times New Roman" w:cs="Times New Roman"/>
        </w:rPr>
        <w:t xml:space="preserve"> </w:t>
      </w:r>
      <w:proofErr w:type="gramStart"/>
      <w:r w:rsidRPr="009B79F0">
        <w:rPr>
          <w:rFonts w:ascii="Times New Roman" w:hAnsi="Times New Roman" w:cs="Times New Roman"/>
        </w:rPr>
        <w:t>master</w:t>
      </w:r>
      <w:proofErr w:type="gramEnd"/>
      <w:r w:rsidRPr="009B79F0">
        <w:rPr>
          <w:rFonts w:ascii="Times New Roman" w:hAnsi="Times New Roman" w:cs="Times New Roman"/>
        </w:rPr>
        <w:t>-</w:t>
      </w:r>
      <w:proofErr w:type="spellStart"/>
      <w:r w:rsidRPr="009B79F0">
        <w:rPr>
          <w:rFonts w:ascii="Times New Roman" w:hAnsi="Times New Roman" w:cs="Times New Roman"/>
        </w:rPr>
        <w:t>environment</w:t>
      </w:r>
      <w:proofErr w:type="spellEnd"/>
      <w:r w:rsidRPr="009B79F0">
        <w:rPr>
          <w:rFonts w:ascii="Times New Roman" w:hAnsi="Times New Roman" w:cs="Times New Roman"/>
        </w:rPr>
        <w:t>, que simula el entorno de producción del clúster. Este pipeline consolida todas las validaciones anteriores y agrega una fase final de Change Management automatizado.</w:t>
      </w:r>
    </w:p>
    <w:p w14:paraId="33DB3964"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 xml:space="preserve">5.2 Fases del pipeline </w:t>
      </w:r>
      <w:proofErr w:type="gramStart"/>
      <w:r w:rsidRPr="009B79F0">
        <w:rPr>
          <w:rFonts w:ascii="Times New Roman" w:hAnsi="Times New Roman" w:cs="Times New Roman"/>
        </w:rPr>
        <w:t>master</w:t>
      </w:r>
      <w:proofErr w:type="gramEnd"/>
    </w:p>
    <w:p w14:paraId="7C357489"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El pipeline está estructurado en las siguientes fases principales:</w:t>
      </w:r>
    </w:p>
    <w:p w14:paraId="29C4A95A" w14:textId="77777777" w:rsidR="007E0795" w:rsidRPr="009B79F0" w:rsidRDefault="00000000">
      <w:pPr>
        <w:pStyle w:val="Prrafodelista"/>
        <w:numPr>
          <w:ilvl w:val="0"/>
          <w:numId w:val="2"/>
        </w:numPr>
        <w:spacing w:after="120"/>
        <w:rPr>
          <w:rFonts w:ascii="Times New Roman" w:hAnsi="Times New Roman" w:cs="Times New Roman"/>
        </w:rPr>
      </w:pPr>
      <w:proofErr w:type="spellStart"/>
      <w:r w:rsidRPr="009B79F0">
        <w:rPr>
          <w:rFonts w:ascii="Times New Roman" w:hAnsi="Times New Roman" w:cs="Times New Roman"/>
        </w:rPr>
        <w:lastRenderedPageBreak/>
        <w:t>Setup</w:t>
      </w:r>
      <w:proofErr w:type="spellEnd"/>
      <w:r w:rsidRPr="009B79F0">
        <w:rPr>
          <w:rFonts w:ascii="Times New Roman" w:hAnsi="Times New Roman" w:cs="Times New Roman"/>
        </w:rPr>
        <w:t xml:space="preserve"> </w:t>
      </w:r>
      <w:proofErr w:type="spellStart"/>
      <w:r w:rsidRPr="009B79F0">
        <w:rPr>
          <w:rFonts w:ascii="Times New Roman" w:hAnsi="Times New Roman" w:cs="Times New Roman"/>
        </w:rPr>
        <w:t>Kubernetes</w:t>
      </w:r>
      <w:proofErr w:type="spellEnd"/>
      <w:r w:rsidRPr="009B79F0">
        <w:rPr>
          <w:rFonts w:ascii="Times New Roman" w:hAnsi="Times New Roman" w:cs="Times New Roman"/>
        </w:rPr>
        <w:t xml:space="preserve"> CLI: descarga y configuración de </w:t>
      </w:r>
      <w:proofErr w:type="spellStart"/>
      <w:r w:rsidRPr="009B79F0">
        <w:rPr>
          <w:rFonts w:ascii="Times New Roman" w:hAnsi="Times New Roman" w:cs="Times New Roman"/>
        </w:rPr>
        <w:t>kubectl</w:t>
      </w:r>
      <w:proofErr w:type="spellEnd"/>
      <w:r w:rsidRPr="009B79F0">
        <w:rPr>
          <w:rFonts w:ascii="Times New Roman" w:hAnsi="Times New Roman" w:cs="Times New Roman"/>
        </w:rPr>
        <w:t xml:space="preserve"> con los certificados del clúster.</w:t>
      </w:r>
    </w:p>
    <w:p w14:paraId="78A1A5A7" w14:textId="77777777" w:rsidR="007E0795" w:rsidRPr="009B79F0" w:rsidRDefault="00000000">
      <w:pPr>
        <w:pStyle w:val="Prrafodelista"/>
        <w:numPr>
          <w:ilvl w:val="0"/>
          <w:numId w:val="2"/>
        </w:numPr>
        <w:spacing w:after="120"/>
        <w:rPr>
          <w:rFonts w:ascii="Times New Roman" w:hAnsi="Times New Roman" w:cs="Times New Roman"/>
        </w:rPr>
      </w:pPr>
      <w:r w:rsidRPr="009B79F0">
        <w:rPr>
          <w:rFonts w:ascii="Times New Roman" w:hAnsi="Times New Roman" w:cs="Times New Roman"/>
        </w:rPr>
        <w:t xml:space="preserve">Compile and </w:t>
      </w:r>
      <w:proofErr w:type="spellStart"/>
      <w:r w:rsidRPr="009B79F0">
        <w:rPr>
          <w:rFonts w:ascii="Times New Roman" w:hAnsi="Times New Roman" w:cs="Times New Roman"/>
        </w:rPr>
        <w:t>Package</w:t>
      </w:r>
      <w:proofErr w:type="spellEnd"/>
      <w:r w:rsidRPr="009B79F0">
        <w:rPr>
          <w:rFonts w:ascii="Times New Roman" w:hAnsi="Times New Roman" w:cs="Times New Roman"/>
        </w:rPr>
        <w:t xml:space="preserve">: compilación de los seis microservicios mediante la tarea </w:t>
      </w:r>
      <w:proofErr w:type="spellStart"/>
      <w:r w:rsidRPr="009B79F0">
        <w:rPr>
          <w:rFonts w:ascii="Times New Roman" w:hAnsi="Times New Roman" w:cs="Times New Roman"/>
        </w:rPr>
        <w:t>assemble</w:t>
      </w:r>
      <w:proofErr w:type="spellEnd"/>
      <w:r w:rsidRPr="009B79F0">
        <w:rPr>
          <w:rFonts w:ascii="Times New Roman" w:hAnsi="Times New Roman" w:cs="Times New Roman"/>
        </w:rPr>
        <w:t xml:space="preserve"> de Gradle.</w:t>
      </w:r>
    </w:p>
    <w:p w14:paraId="6C5CEE34" w14:textId="77777777" w:rsidR="007E0795" w:rsidRPr="009B79F0" w:rsidRDefault="00000000">
      <w:pPr>
        <w:pStyle w:val="Prrafodelista"/>
        <w:numPr>
          <w:ilvl w:val="0"/>
          <w:numId w:val="2"/>
        </w:numPr>
        <w:spacing w:after="120"/>
        <w:rPr>
          <w:rFonts w:ascii="Times New Roman" w:hAnsi="Times New Roman" w:cs="Times New Roman"/>
        </w:rPr>
      </w:pPr>
      <w:proofErr w:type="gramStart"/>
      <w:r w:rsidRPr="009B79F0">
        <w:rPr>
          <w:rFonts w:ascii="Times New Roman" w:hAnsi="Times New Roman" w:cs="Times New Roman"/>
        </w:rPr>
        <w:t>Master</w:t>
      </w:r>
      <w:proofErr w:type="gramEnd"/>
      <w:r w:rsidRPr="009B79F0">
        <w:rPr>
          <w:rFonts w:ascii="Times New Roman" w:hAnsi="Times New Roman" w:cs="Times New Roman"/>
        </w:rPr>
        <w:t xml:space="preserve"> </w:t>
      </w:r>
      <w:proofErr w:type="spellStart"/>
      <w:r w:rsidRPr="009B79F0">
        <w:rPr>
          <w:rFonts w:ascii="Times New Roman" w:hAnsi="Times New Roman" w:cs="Times New Roman"/>
        </w:rPr>
        <w:t>Environment</w:t>
      </w:r>
      <w:proofErr w:type="spellEnd"/>
      <w:r w:rsidRPr="009B79F0">
        <w:rPr>
          <w:rFonts w:ascii="Times New Roman" w:hAnsi="Times New Roman" w:cs="Times New Roman"/>
        </w:rPr>
        <w:t xml:space="preserve"> </w:t>
      </w:r>
      <w:proofErr w:type="spellStart"/>
      <w:r w:rsidRPr="009B79F0">
        <w:rPr>
          <w:rFonts w:ascii="Times New Roman" w:hAnsi="Times New Roman" w:cs="Times New Roman"/>
        </w:rPr>
        <w:t>Deployment</w:t>
      </w:r>
      <w:proofErr w:type="spellEnd"/>
      <w:r w:rsidRPr="009B79F0">
        <w:rPr>
          <w:rFonts w:ascii="Times New Roman" w:hAnsi="Times New Roman" w:cs="Times New Roman"/>
        </w:rPr>
        <w:t xml:space="preserve">: despliegue en el </w:t>
      </w:r>
      <w:proofErr w:type="spellStart"/>
      <w:r w:rsidRPr="009B79F0">
        <w:rPr>
          <w:rFonts w:ascii="Times New Roman" w:hAnsi="Times New Roman" w:cs="Times New Roman"/>
        </w:rPr>
        <w:t>namespace</w:t>
      </w:r>
      <w:proofErr w:type="spellEnd"/>
      <w:r w:rsidRPr="009B79F0">
        <w:rPr>
          <w:rFonts w:ascii="Times New Roman" w:hAnsi="Times New Roman" w:cs="Times New Roman"/>
        </w:rPr>
        <w:t xml:space="preserve"> </w:t>
      </w:r>
      <w:proofErr w:type="gramStart"/>
      <w:r w:rsidRPr="009B79F0">
        <w:rPr>
          <w:rFonts w:ascii="Times New Roman" w:hAnsi="Times New Roman" w:cs="Times New Roman"/>
        </w:rPr>
        <w:t>master</w:t>
      </w:r>
      <w:proofErr w:type="gramEnd"/>
      <w:r w:rsidRPr="009B79F0">
        <w:rPr>
          <w:rFonts w:ascii="Times New Roman" w:hAnsi="Times New Roman" w:cs="Times New Roman"/>
        </w:rPr>
        <w:t>-</w:t>
      </w:r>
      <w:proofErr w:type="spellStart"/>
      <w:r w:rsidRPr="009B79F0">
        <w:rPr>
          <w:rFonts w:ascii="Times New Roman" w:hAnsi="Times New Roman" w:cs="Times New Roman"/>
        </w:rPr>
        <w:t>environment</w:t>
      </w:r>
      <w:proofErr w:type="spellEnd"/>
      <w:r w:rsidRPr="009B79F0">
        <w:rPr>
          <w:rFonts w:ascii="Times New Roman" w:hAnsi="Times New Roman" w:cs="Times New Roman"/>
        </w:rPr>
        <w:t xml:space="preserve"> de </w:t>
      </w:r>
      <w:proofErr w:type="spellStart"/>
      <w:r w:rsidRPr="009B79F0">
        <w:rPr>
          <w:rFonts w:ascii="Times New Roman" w:hAnsi="Times New Roman" w:cs="Times New Roman"/>
        </w:rPr>
        <w:t>Kubernetes</w:t>
      </w:r>
      <w:proofErr w:type="spellEnd"/>
      <w:r w:rsidRPr="009B79F0">
        <w:rPr>
          <w:rFonts w:ascii="Times New Roman" w:hAnsi="Times New Roman" w:cs="Times New Roman"/>
        </w:rPr>
        <w:t>.</w:t>
      </w:r>
    </w:p>
    <w:p w14:paraId="442B2884" w14:textId="77777777" w:rsidR="007E0795" w:rsidRPr="009B79F0" w:rsidRDefault="00000000">
      <w:pPr>
        <w:pStyle w:val="Prrafodelista"/>
        <w:numPr>
          <w:ilvl w:val="0"/>
          <w:numId w:val="2"/>
        </w:numPr>
        <w:spacing w:after="120"/>
        <w:rPr>
          <w:rFonts w:ascii="Times New Roman" w:hAnsi="Times New Roman" w:cs="Times New Roman"/>
        </w:rPr>
      </w:pPr>
      <w:proofErr w:type="spellStart"/>
      <w:r w:rsidRPr="009B79F0">
        <w:rPr>
          <w:rFonts w:ascii="Times New Roman" w:hAnsi="Times New Roman" w:cs="Times New Roman"/>
        </w:rPr>
        <w:t>Generate</w:t>
      </w:r>
      <w:proofErr w:type="spellEnd"/>
      <w:r w:rsidRPr="009B79F0">
        <w:rPr>
          <w:rFonts w:ascii="Times New Roman" w:hAnsi="Times New Roman" w:cs="Times New Roman"/>
        </w:rPr>
        <w:t xml:space="preserve"> </w:t>
      </w:r>
      <w:proofErr w:type="spellStart"/>
      <w:r w:rsidRPr="009B79F0">
        <w:rPr>
          <w:rFonts w:ascii="Times New Roman" w:hAnsi="Times New Roman" w:cs="Times New Roman"/>
        </w:rPr>
        <w:t>Release</w:t>
      </w:r>
      <w:proofErr w:type="spellEnd"/>
      <w:r w:rsidRPr="009B79F0">
        <w:rPr>
          <w:rFonts w:ascii="Times New Roman" w:hAnsi="Times New Roman" w:cs="Times New Roman"/>
        </w:rPr>
        <w:t xml:space="preserve"> Notes: extracción automatizada del historial de cambios y archivado del artefacto.</w:t>
      </w:r>
    </w:p>
    <w:p w14:paraId="46BE31E2" w14:textId="77777777" w:rsidR="007E0795" w:rsidRPr="009B79F0" w:rsidRDefault="007E0795">
      <w:pPr>
        <w:spacing w:after="200"/>
        <w:rPr>
          <w:rFonts w:ascii="Times New Roman" w:hAnsi="Times New Roman" w:cs="Times New Roman"/>
        </w:rPr>
      </w:pPr>
    </w:p>
    <w:p w14:paraId="098C9474"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 xml:space="preserve">5.3 Generación automática de </w:t>
      </w:r>
      <w:proofErr w:type="spellStart"/>
      <w:r w:rsidRPr="009B79F0">
        <w:rPr>
          <w:rFonts w:ascii="Times New Roman" w:hAnsi="Times New Roman" w:cs="Times New Roman"/>
        </w:rPr>
        <w:t>Release</w:t>
      </w:r>
      <w:proofErr w:type="spellEnd"/>
      <w:r w:rsidRPr="009B79F0">
        <w:rPr>
          <w:rFonts w:ascii="Times New Roman" w:hAnsi="Times New Roman" w:cs="Times New Roman"/>
        </w:rPr>
        <w:t xml:space="preserve"> Notes</w:t>
      </w:r>
    </w:p>
    <w:p w14:paraId="7127E873"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La generación de </w:t>
      </w:r>
      <w:proofErr w:type="spellStart"/>
      <w:r w:rsidRPr="009B79F0">
        <w:rPr>
          <w:rFonts w:ascii="Times New Roman" w:hAnsi="Times New Roman" w:cs="Times New Roman"/>
        </w:rPr>
        <w:t>Release</w:t>
      </w:r>
      <w:proofErr w:type="spellEnd"/>
      <w:r w:rsidRPr="009B79F0">
        <w:rPr>
          <w:rFonts w:ascii="Times New Roman" w:hAnsi="Times New Roman" w:cs="Times New Roman"/>
        </w:rPr>
        <w:t xml:space="preserve"> Notes se implementó mediante un script Bash nativo que invoca el comando </w:t>
      </w:r>
      <w:proofErr w:type="spellStart"/>
      <w:r w:rsidRPr="009B79F0">
        <w:rPr>
          <w:rFonts w:ascii="Times New Roman" w:hAnsi="Times New Roman" w:cs="Times New Roman"/>
        </w:rPr>
        <w:t>git</w:t>
      </w:r>
      <w:proofErr w:type="spellEnd"/>
      <w:r w:rsidRPr="009B79F0">
        <w:rPr>
          <w:rFonts w:ascii="Times New Roman" w:hAnsi="Times New Roman" w:cs="Times New Roman"/>
        </w:rPr>
        <w:t xml:space="preserve"> log -15 --</w:t>
      </w:r>
      <w:proofErr w:type="spellStart"/>
      <w:r w:rsidRPr="009B79F0">
        <w:rPr>
          <w:rFonts w:ascii="Times New Roman" w:hAnsi="Times New Roman" w:cs="Times New Roman"/>
        </w:rPr>
        <w:t>oneline</w:t>
      </w:r>
      <w:proofErr w:type="spellEnd"/>
      <w:r w:rsidRPr="009B79F0">
        <w:rPr>
          <w:rFonts w:ascii="Times New Roman" w:hAnsi="Times New Roman" w:cs="Times New Roman"/>
        </w:rPr>
        <w:t xml:space="preserve"> para extraer los quince </w:t>
      </w:r>
      <w:proofErr w:type="spellStart"/>
      <w:r w:rsidRPr="009B79F0">
        <w:rPr>
          <w:rFonts w:ascii="Times New Roman" w:hAnsi="Times New Roman" w:cs="Times New Roman"/>
        </w:rPr>
        <w:t>commits</w:t>
      </w:r>
      <w:proofErr w:type="spellEnd"/>
      <w:r w:rsidRPr="009B79F0">
        <w:rPr>
          <w:rFonts w:ascii="Times New Roman" w:hAnsi="Times New Roman" w:cs="Times New Roman"/>
        </w:rPr>
        <w:t xml:space="preserve"> más recientes del repositorio en formato compacto. El resultado es guardado en un archivo de texto plano que Jenkins adjunta como artefacto oficial de la </w:t>
      </w:r>
      <w:proofErr w:type="spellStart"/>
      <w:r w:rsidRPr="009B79F0">
        <w:rPr>
          <w:rFonts w:ascii="Times New Roman" w:hAnsi="Times New Roman" w:cs="Times New Roman"/>
        </w:rPr>
        <w:t>build</w:t>
      </w:r>
      <w:proofErr w:type="spellEnd"/>
      <w:r w:rsidRPr="009B79F0">
        <w:rPr>
          <w:rFonts w:ascii="Times New Roman" w:hAnsi="Times New Roman" w:cs="Times New Roman"/>
        </w:rPr>
        <w:t xml:space="preserve"> utilizando la directiva </w:t>
      </w:r>
      <w:proofErr w:type="spellStart"/>
      <w:r w:rsidRPr="009B79F0">
        <w:rPr>
          <w:rFonts w:ascii="Times New Roman" w:hAnsi="Times New Roman" w:cs="Times New Roman"/>
        </w:rPr>
        <w:t>archiveArtifacts</w:t>
      </w:r>
      <w:proofErr w:type="spellEnd"/>
      <w:r w:rsidRPr="009B79F0">
        <w:rPr>
          <w:rFonts w:ascii="Times New Roman" w:hAnsi="Times New Roman" w:cs="Times New Roman"/>
        </w:rPr>
        <w:t>.</w:t>
      </w:r>
    </w:p>
    <w:p w14:paraId="230D7A77"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Esta aproximación cumple con las buenas prácticas de Change Management al generar, de forma automática y trazable, un registro de los cambios incluidos en cada versión desplegada. El artefacto queda almacenado en el historial de Jenkins vinculado a la ejecución específica, lo que facilita la auditoría y el seguimiento de versiones sin intervención manual del equipo de desarrollo.</w:t>
      </w:r>
    </w:p>
    <w:p w14:paraId="571FF647" w14:textId="77777777" w:rsidR="007E0795" w:rsidRPr="009B79F0" w:rsidRDefault="00000000">
      <w:pPr>
        <w:spacing w:after="160"/>
        <w:jc w:val="both"/>
        <w:rPr>
          <w:rFonts w:ascii="Times New Roman" w:hAnsi="Times New Roman" w:cs="Times New Roman"/>
        </w:rPr>
      </w:pPr>
      <w:r w:rsidRPr="009B79F0">
        <w:rPr>
          <w:rFonts w:ascii="Times New Roman" w:hAnsi="Times New Roman" w:cs="Times New Roman"/>
        </w:rPr>
        <w:t xml:space="preserve">En proyectos de mayor escala, esta estrategia puede extenderse para incluir categorización semántica de </w:t>
      </w:r>
      <w:proofErr w:type="spellStart"/>
      <w:r w:rsidRPr="009B79F0">
        <w:rPr>
          <w:rFonts w:ascii="Times New Roman" w:hAnsi="Times New Roman" w:cs="Times New Roman"/>
        </w:rPr>
        <w:t>commits</w:t>
      </w:r>
      <w:proofErr w:type="spellEnd"/>
      <w:r w:rsidRPr="009B79F0">
        <w:rPr>
          <w:rFonts w:ascii="Times New Roman" w:hAnsi="Times New Roman" w:cs="Times New Roman"/>
        </w:rPr>
        <w:t xml:space="preserve"> siguiendo convenciones como </w:t>
      </w:r>
      <w:proofErr w:type="spellStart"/>
      <w:r w:rsidRPr="009B79F0">
        <w:rPr>
          <w:rFonts w:ascii="Times New Roman" w:hAnsi="Times New Roman" w:cs="Times New Roman"/>
        </w:rPr>
        <w:t>Conventional</w:t>
      </w:r>
      <w:proofErr w:type="spellEnd"/>
      <w:r w:rsidRPr="009B79F0">
        <w:rPr>
          <w:rFonts w:ascii="Times New Roman" w:hAnsi="Times New Roman" w:cs="Times New Roman"/>
        </w:rPr>
        <w:t xml:space="preserve"> </w:t>
      </w:r>
      <w:proofErr w:type="spellStart"/>
      <w:r w:rsidRPr="009B79F0">
        <w:rPr>
          <w:rFonts w:ascii="Times New Roman" w:hAnsi="Times New Roman" w:cs="Times New Roman"/>
        </w:rPr>
        <w:t>Commits</w:t>
      </w:r>
      <w:proofErr w:type="spellEnd"/>
      <w:r w:rsidRPr="009B79F0">
        <w:rPr>
          <w:rFonts w:ascii="Times New Roman" w:hAnsi="Times New Roman" w:cs="Times New Roman"/>
        </w:rPr>
        <w:t xml:space="preserve">, integración con sistemas de </w:t>
      </w:r>
      <w:proofErr w:type="spellStart"/>
      <w:r w:rsidRPr="009B79F0">
        <w:rPr>
          <w:rFonts w:ascii="Times New Roman" w:hAnsi="Times New Roman" w:cs="Times New Roman"/>
        </w:rPr>
        <w:t>ticketing</w:t>
      </w:r>
      <w:proofErr w:type="spellEnd"/>
      <w:r w:rsidRPr="009B79F0">
        <w:rPr>
          <w:rFonts w:ascii="Times New Roman" w:hAnsi="Times New Roman" w:cs="Times New Roman"/>
        </w:rPr>
        <w:t xml:space="preserve"> como Jira o generación de </w:t>
      </w:r>
      <w:proofErr w:type="spellStart"/>
      <w:r w:rsidRPr="009B79F0">
        <w:rPr>
          <w:rFonts w:ascii="Times New Roman" w:hAnsi="Times New Roman" w:cs="Times New Roman"/>
        </w:rPr>
        <w:t>changelogs</w:t>
      </w:r>
      <w:proofErr w:type="spellEnd"/>
      <w:r w:rsidRPr="009B79F0">
        <w:rPr>
          <w:rFonts w:ascii="Times New Roman" w:hAnsi="Times New Roman" w:cs="Times New Roman"/>
        </w:rPr>
        <w:t xml:space="preserve"> en formato </w:t>
      </w:r>
      <w:proofErr w:type="spellStart"/>
      <w:r w:rsidRPr="009B79F0">
        <w:rPr>
          <w:rFonts w:ascii="Times New Roman" w:hAnsi="Times New Roman" w:cs="Times New Roman"/>
        </w:rPr>
        <w:t>Markdown</w:t>
      </w:r>
      <w:proofErr w:type="spellEnd"/>
      <w:r w:rsidRPr="009B79F0">
        <w:rPr>
          <w:rFonts w:ascii="Times New Roman" w:hAnsi="Times New Roman" w:cs="Times New Roman"/>
        </w:rPr>
        <w:t xml:space="preserve"> o HTML.</w:t>
      </w:r>
    </w:p>
    <w:p w14:paraId="0037F3D7" w14:textId="77777777" w:rsidR="007E0795" w:rsidRPr="009B79F0" w:rsidRDefault="00000000">
      <w:pPr>
        <w:pStyle w:val="Ttulo2"/>
        <w:rPr>
          <w:rFonts w:ascii="Times New Roman" w:hAnsi="Times New Roman" w:cs="Times New Roman"/>
        </w:rPr>
      </w:pPr>
      <w:r w:rsidRPr="009B79F0">
        <w:rPr>
          <w:rFonts w:ascii="Times New Roman" w:hAnsi="Times New Roman" w:cs="Times New Roman"/>
        </w:rPr>
        <w:t>5.4 Capturas de pantalla</w:t>
      </w:r>
    </w:p>
    <w:p w14:paraId="7D921DBF" w14:textId="64D1FD67" w:rsidR="007E0795" w:rsidRPr="009B79F0" w:rsidRDefault="00590DA3">
      <w:pPr>
        <w:spacing w:after="200"/>
        <w:rPr>
          <w:rFonts w:ascii="Times New Roman" w:hAnsi="Times New Roman" w:cs="Times New Roman"/>
        </w:rPr>
      </w:pPr>
      <w:r w:rsidRPr="00590DA3">
        <w:rPr>
          <w:rFonts w:ascii="Times New Roman" w:hAnsi="Times New Roman" w:cs="Times New Roman"/>
        </w:rPr>
        <w:drawing>
          <wp:inline distT="0" distB="0" distL="0" distR="0" wp14:anchorId="66F34D87" wp14:editId="70BEC3FF">
            <wp:extent cx="4417943" cy="1579792"/>
            <wp:effectExtent l="0" t="0" r="1905" b="1905"/>
            <wp:docPr id="1331686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86038" name=""/>
                    <pic:cNvPicPr/>
                  </pic:nvPicPr>
                  <pic:blipFill>
                    <a:blip r:embed="rId14"/>
                    <a:stretch>
                      <a:fillRect/>
                    </a:stretch>
                  </pic:blipFill>
                  <pic:spPr>
                    <a:xfrm>
                      <a:off x="0" y="0"/>
                      <a:ext cx="4423944" cy="1581938"/>
                    </a:xfrm>
                    <a:prstGeom prst="rect">
                      <a:avLst/>
                    </a:prstGeom>
                  </pic:spPr>
                </pic:pic>
              </a:graphicData>
            </a:graphic>
          </wp:inline>
        </w:drawing>
      </w:r>
    </w:p>
    <w:p w14:paraId="70C22480" w14:textId="7DFB72CD" w:rsidR="007E0795" w:rsidRPr="009B79F0" w:rsidRDefault="00590DA3">
      <w:pPr>
        <w:spacing w:after="200"/>
        <w:rPr>
          <w:rFonts w:ascii="Times New Roman" w:hAnsi="Times New Roman" w:cs="Times New Roman"/>
        </w:rPr>
      </w:pPr>
      <w:r w:rsidRPr="00590DA3">
        <w:rPr>
          <w:rFonts w:ascii="Times New Roman" w:hAnsi="Times New Roman" w:cs="Times New Roman"/>
        </w:rPr>
        <w:drawing>
          <wp:inline distT="0" distB="0" distL="0" distR="0" wp14:anchorId="32701B68" wp14:editId="05BB6FFB">
            <wp:extent cx="5943600" cy="506095"/>
            <wp:effectExtent l="0" t="0" r="0" b="8255"/>
            <wp:docPr id="858300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00430" name=""/>
                    <pic:cNvPicPr/>
                  </pic:nvPicPr>
                  <pic:blipFill>
                    <a:blip r:embed="rId15"/>
                    <a:stretch>
                      <a:fillRect/>
                    </a:stretch>
                  </pic:blipFill>
                  <pic:spPr>
                    <a:xfrm>
                      <a:off x="0" y="0"/>
                      <a:ext cx="5943600" cy="506095"/>
                    </a:xfrm>
                    <a:prstGeom prst="rect">
                      <a:avLst/>
                    </a:prstGeom>
                  </pic:spPr>
                </pic:pic>
              </a:graphicData>
            </a:graphic>
          </wp:inline>
        </w:drawing>
      </w:r>
    </w:p>
    <w:sectPr w:rsidR="007E0795" w:rsidRPr="009B79F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D4FE5" w14:textId="77777777" w:rsidR="00732070" w:rsidRDefault="00732070">
      <w:r>
        <w:separator/>
      </w:r>
    </w:p>
  </w:endnote>
  <w:endnote w:type="continuationSeparator" w:id="0">
    <w:p w14:paraId="0C61C07F" w14:textId="77777777" w:rsidR="00732070" w:rsidRDefault="00732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2DC1B" w14:textId="77777777" w:rsidR="00732070" w:rsidRDefault="00732070">
      <w:r>
        <w:separator/>
      </w:r>
    </w:p>
  </w:footnote>
  <w:footnote w:type="continuationSeparator" w:id="0">
    <w:p w14:paraId="1D8B9485" w14:textId="77777777" w:rsidR="00732070" w:rsidRDefault="00732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5587E"/>
    <w:multiLevelType w:val="hybridMultilevel"/>
    <w:tmpl w:val="2B408822"/>
    <w:lvl w:ilvl="0" w:tplc="1A9416C6">
      <w:start w:val="1"/>
      <w:numFmt w:val="decimal"/>
      <w:lvlText w:val="%1."/>
      <w:lvlJc w:val="left"/>
      <w:pPr>
        <w:ind w:left="720" w:hanging="360"/>
      </w:pPr>
    </w:lvl>
    <w:lvl w:ilvl="1" w:tplc="305491F4">
      <w:numFmt w:val="decimal"/>
      <w:lvlText w:val=""/>
      <w:lvlJc w:val="left"/>
    </w:lvl>
    <w:lvl w:ilvl="2" w:tplc="B9CC791C">
      <w:numFmt w:val="decimal"/>
      <w:lvlText w:val=""/>
      <w:lvlJc w:val="left"/>
    </w:lvl>
    <w:lvl w:ilvl="3" w:tplc="896EE520">
      <w:numFmt w:val="decimal"/>
      <w:lvlText w:val=""/>
      <w:lvlJc w:val="left"/>
    </w:lvl>
    <w:lvl w:ilvl="4" w:tplc="9754D9B0">
      <w:numFmt w:val="decimal"/>
      <w:lvlText w:val=""/>
      <w:lvlJc w:val="left"/>
    </w:lvl>
    <w:lvl w:ilvl="5" w:tplc="BF0A911C">
      <w:numFmt w:val="decimal"/>
      <w:lvlText w:val=""/>
      <w:lvlJc w:val="left"/>
    </w:lvl>
    <w:lvl w:ilvl="6" w:tplc="7F02D3BC">
      <w:numFmt w:val="decimal"/>
      <w:lvlText w:val=""/>
      <w:lvlJc w:val="left"/>
    </w:lvl>
    <w:lvl w:ilvl="7" w:tplc="5C98B950">
      <w:numFmt w:val="decimal"/>
      <w:lvlText w:val=""/>
      <w:lvlJc w:val="left"/>
    </w:lvl>
    <w:lvl w:ilvl="8" w:tplc="E02803AE">
      <w:numFmt w:val="decimal"/>
      <w:lvlText w:val=""/>
      <w:lvlJc w:val="left"/>
    </w:lvl>
  </w:abstractNum>
  <w:abstractNum w:abstractNumId="1" w15:restartNumberingAfterBreak="0">
    <w:nsid w:val="1E2E7A4B"/>
    <w:multiLevelType w:val="hybridMultilevel"/>
    <w:tmpl w:val="E6B8A338"/>
    <w:lvl w:ilvl="0" w:tplc="1EA2AE78">
      <w:start w:val="1"/>
      <w:numFmt w:val="bullet"/>
      <w:lvlText w:val="•"/>
      <w:lvlJc w:val="left"/>
      <w:pPr>
        <w:ind w:left="720" w:hanging="360"/>
      </w:pPr>
    </w:lvl>
    <w:lvl w:ilvl="1" w:tplc="E0EC69FA">
      <w:numFmt w:val="decimal"/>
      <w:lvlText w:val=""/>
      <w:lvlJc w:val="left"/>
    </w:lvl>
    <w:lvl w:ilvl="2" w:tplc="19B8FA72">
      <w:numFmt w:val="decimal"/>
      <w:lvlText w:val=""/>
      <w:lvlJc w:val="left"/>
    </w:lvl>
    <w:lvl w:ilvl="3" w:tplc="6FF6AF84">
      <w:numFmt w:val="decimal"/>
      <w:lvlText w:val=""/>
      <w:lvlJc w:val="left"/>
    </w:lvl>
    <w:lvl w:ilvl="4" w:tplc="F41C855A">
      <w:numFmt w:val="decimal"/>
      <w:lvlText w:val=""/>
      <w:lvlJc w:val="left"/>
    </w:lvl>
    <w:lvl w:ilvl="5" w:tplc="4680037C">
      <w:numFmt w:val="decimal"/>
      <w:lvlText w:val=""/>
      <w:lvlJc w:val="left"/>
    </w:lvl>
    <w:lvl w:ilvl="6" w:tplc="05D6362C">
      <w:numFmt w:val="decimal"/>
      <w:lvlText w:val=""/>
      <w:lvlJc w:val="left"/>
    </w:lvl>
    <w:lvl w:ilvl="7" w:tplc="ADCA8B32">
      <w:numFmt w:val="decimal"/>
      <w:lvlText w:val=""/>
      <w:lvlJc w:val="left"/>
    </w:lvl>
    <w:lvl w:ilvl="8" w:tplc="8FD67EC0">
      <w:numFmt w:val="decimal"/>
      <w:lvlText w:val=""/>
      <w:lvlJc w:val="left"/>
    </w:lvl>
  </w:abstractNum>
  <w:abstractNum w:abstractNumId="2" w15:restartNumberingAfterBreak="0">
    <w:nsid w:val="63340097"/>
    <w:multiLevelType w:val="hybridMultilevel"/>
    <w:tmpl w:val="7090A708"/>
    <w:lvl w:ilvl="0" w:tplc="68388D58">
      <w:start w:val="1"/>
      <w:numFmt w:val="bullet"/>
      <w:lvlText w:val="●"/>
      <w:lvlJc w:val="left"/>
      <w:pPr>
        <w:ind w:left="720" w:hanging="360"/>
      </w:pPr>
    </w:lvl>
    <w:lvl w:ilvl="1" w:tplc="DA14E1BA">
      <w:start w:val="1"/>
      <w:numFmt w:val="bullet"/>
      <w:lvlText w:val="○"/>
      <w:lvlJc w:val="left"/>
      <w:pPr>
        <w:ind w:left="1440" w:hanging="360"/>
      </w:pPr>
    </w:lvl>
    <w:lvl w:ilvl="2" w:tplc="5C324526">
      <w:start w:val="1"/>
      <w:numFmt w:val="bullet"/>
      <w:lvlText w:val="■"/>
      <w:lvlJc w:val="left"/>
      <w:pPr>
        <w:ind w:left="2160" w:hanging="360"/>
      </w:pPr>
    </w:lvl>
    <w:lvl w:ilvl="3" w:tplc="4C5CD9C8">
      <w:start w:val="1"/>
      <w:numFmt w:val="bullet"/>
      <w:lvlText w:val="●"/>
      <w:lvlJc w:val="left"/>
      <w:pPr>
        <w:ind w:left="2880" w:hanging="360"/>
      </w:pPr>
    </w:lvl>
    <w:lvl w:ilvl="4" w:tplc="640E024E">
      <w:start w:val="1"/>
      <w:numFmt w:val="bullet"/>
      <w:lvlText w:val="○"/>
      <w:lvlJc w:val="left"/>
      <w:pPr>
        <w:ind w:left="3600" w:hanging="360"/>
      </w:pPr>
    </w:lvl>
    <w:lvl w:ilvl="5" w:tplc="D86C45B4">
      <w:start w:val="1"/>
      <w:numFmt w:val="bullet"/>
      <w:lvlText w:val="■"/>
      <w:lvlJc w:val="left"/>
      <w:pPr>
        <w:ind w:left="4320" w:hanging="360"/>
      </w:pPr>
    </w:lvl>
    <w:lvl w:ilvl="6" w:tplc="5FC22288">
      <w:start w:val="1"/>
      <w:numFmt w:val="bullet"/>
      <w:lvlText w:val="●"/>
      <w:lvlJc w:val="left"/>
      <w:pPr>
        <w:ind w:left="5040" w:hanging="360"/>
      </w:pPr>
    </w:lvl>
    <w:lvl w:ilvl="7" w:tplc="02A84558">
      <w:start w:val="1"/>
      <w:numFmt w:val="bullet"/>
      <w:lvlText w:val="●"/>
      <w:lvlJc w:val="left"/>
      <w:pPr>
        <w:ind w:left="5760" w:hanging="360"/>
      </w:pPr>
    </w:lvl>
    <w:lvl w:ilvl="8" w:tplc="BC00BAD0">
      <w:start w:val="1"/>
      <w:numFmt w:val="bullet"/>
      <w:lvlText w:val="●"/>
      <w:lvlJc w:val="left"/>
      <w:pPr>
        <w:ind w:left="6480" w:hanging="360"/>
      </w:pPr>
    </w:lvl>
  </w:abstractNum>
  <w:num w:numId="1" w16cid:durableId="1465006844">
    <w:abstractNumId w:val="2"/>
    <w:lvlOverride w:ilvl="0">
      <w:startOverride w:val="1"/>
    </w:lvlOverride>
  </w:num>
  <w:num w:numId="2" w16cid:durableId="624699341">
    <w:abstractNumId w:val="1"/>
    <w:lvlOverride w:ilvl="0">
      <w:startOverride w:val="1"/>
    </w:lvlOverride>
  </w:num>
  <w:num w:numId="3" w16cid:durableId="2045517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795"/>
    <w:rsid w:val="00590DA3"/>
    <w:rsid w:val="00732070"/>
    <w:rsid w:val="007E0795"/>
    <w:rsid w:val="009B79F0"/>
    <w:rsid w:val="00B42A5B"/>
    <w:rsid w:val="00E745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F7AB"/>
  <w15:docId w15:val="{28049ECB-97E2-4CAF-82E2-F3A36EAF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F3864"/>
      <w:sz w:val="36"/>
      <w:szCs w:val="36"/>
    </w:rPr>
  </w:style>
  <w:style w:type="paragraph" w:styleId="Ttulo2">
    <w:name w:val="heading 2"/>
    <w:uiPriority w:val="9"/>
    <w:unhideWhenUsed/>
    <w:qFormat/>
    <w:pPr>
      <w:spacing w:before="360" w:after="160"/>
      <w:outlineLvl w:val="1"/>
    </w:pPr>
    <w:rPr>
      <w:b/>
      <w:bCs/>
      <w:color w:val="2E5DA6"/>
      <w:sz w:val="28"/>
      <w:szCs w:val="28"/>
    </w:rPr>
  </w:style>
  <w:style w:type="paragraph" w:styleId="Ttulo3">
    <w:name w:val="heading 3"/>
    <w:uiPriority w:val="9"/>
    <w:unhideWhenUsed/>
    <w:qFormat/>
    <w:pPr>
      <w:spacing w:before="240" w:after="120"/>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B79F0"/>
    <w:pPr>
      <w:tabs>
        <w:tab w:val="center" w:pos="4419"/>
        <w:tab w:val="right" w:pos="8838"/>
      </w:tabs>
    </w:pPr>
  </w:style>
  <w:style w:type="character" w:customStyle="1" w:styleId="EncabezadoCar">
    <w:name w:val="Encabezado Car"/>
    <w:basedOn w:val="Fuentedeprrafopredeter"/>
    <w:link w:val="Encabezado"/>
    <w:uiPriority w:val="99"/>
    <w:rsid w:val="009B79F0"/>
  </w:style>
  <w:style w:type="paragraph" w:styleId="Piedepgina">
    <w:name w:val="footer"/>
    <w:basedOn w:val="Normal"/>
    <w:link w:val="PiedepginaCar"/>
    <w:uiPriority w:val="99"/>
    <w:unhideWhenUsed/>
    <w:rsid w:val="009B79F0"/>
    <w:pPr>
      <w:tabs>
        <w:tab w:val="center" w:pos="4419"/>
        <w:tab w:val="right" w:pos="8838"/>
      </w:tabs>
    </w:pPr>
  </w:style>
  <w:style w:type="character" w:customStyle="1" w:styleId="PiedepginaCar">
    <w:name w:val="Pie de página Car"/>
    <w:basedOn w:val="Fuentedeprrafopredeter"/>
    <w:link w:val="Piedepgina"/>
    <w:uiPriority w:val="99"/>
    <w:rsid w:val="009B7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1948</Words>
  <Characters>10716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Natalia Vargas</cp:lastModifiedBy>
  <cp:revision>2</cp:revision>
  <dcterms:created xsi:type="dcterms:W3CDTF">2026-05-12T02:38:00Z</dcterms:created>
  <dcterms:modified xsi:type="dcterms:W3CDTF">2026-05-12T03:51:00Z</dcterms:modified>
</cp:coreProperties>
</file>