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TH Sarabun New" w:cs="TH Sarabun New" w:eastAsia="TH Sarabun New" w:hAnsi="TH Sarabun New"/>
          <w:b/>
          <w:bCs/>
          <w:color w:val="5B6472"/>
          <w:sz w:val="24"/>
          <w:szCs w:val="24"/>
        </w:rPr>
        <w:t xml:space="preserve">คู่มือการใช้งานระบบ (Level 3 — สสอ.)</w:t>
      </w:r>
    </w:p>
    <w:p>
      <w:pPr>
        <w:spacing w:after="160"/>
      </w:pPr>
      <w:r>
        <w:rPr>
          <w:rFonts w:ascii="TH Sarabun New" w:cs="TH Sarabun New" w:eastAsia="TH Sarabun New" w:hAnsi="TH Sarabun New"/>
          <w:b/>
          <w:bCs/>
          <w:color w:val="B3123A"/>
          <w:sz w:val="44"/>
          <w:szCs w:val="44"/>
        </w:rPr>
        <w:t xml:space="preserve">การประเมินพชอ.ไต และเมนูลดโซเดียม</w:t>
      </w:r>
    </w:p>
    <w:p>
      <w:pPr>
        <w:spacing w:after="60" w:line="3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5B6472"/>
          <w:sz w:val="27"/>
          <w:szCs w:val="27"/>
        </w:rPr>
        <w:t xml:space="preserve">สำหรับผู้ใช้งานระดับ </w:t>
      </w:r>
      <w:r>
        <w:rPr>
          <w:rFonts w:ascii="TH Sarabun New" w:cs="TH Sarabun New" w:eastAsia="TH Sarabun New" w:hAnsi="TH Sarabun New"/>
          <w:b/>
          <w:bCs/>
          <w:i/>
          <w:iCs/>
          <w:color w:val="5B6472"/>
          <w:sz w:val="27"/>
          <w:szCs w:val="27"/>
        </w:rPr>
        <w:t xml:space="preserve">สำนักงานสาธารณสุขอำเภอ (สสอ.)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5B6472"/>
          <w:sz w:val="27"/>
          <w:szCs w:val="27"/>
        </w:rPr>
        <w:t xml:space="preserve"> — ระบบ Smart Salt &amp; Sodium Monitor</w:t>
      </w:r>
    </w:p>
    <w:p>
      <w:pPr>
        <w:spacing w:after="40" w:line="3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5B6472"/>
          <w:sz w:val="25"/>
          <w:szCs w:val="25"/>
        </w:rPr>
        <w:t xml:space="preserve">สำนักงานป้องกันควบคุมโรคที่ 10 จังหวัดอุบลราชธานี</w:t>
      </w:r>
    </w:p>
    <w:p>
      <w:pPr>
        <w:spacing w:after="260" w:line="34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B6472"/>
          <w:sz w:val="23"/>
          <w:szCs w:val="23"/>
        </w:rPr>
        <w:t xml:space="preserve">อธิบายขั้นตอนการคลิกใช้งานจริงทีละหน้าจอ สำหรับเมนูทั้ง 2 รายการที่ระดับ สสอ. มองเห็น</w:t>
      </w:r>
    </w:p>
    <w:tbl>
      <w:tblPr>
        <w:tblW w:type="pct" w:w="100%"/>
        <w:tblBorders>
          <w:top w:val="single" w:color="B3123A" w:sz="4"/>
          <w:left w:val="single" w:color="B3123A" w:sz="4"/>
          <w:bottom w:val="single" w:color="B3123A" w:sz="4"/>
          <w:right w:val="single" w:color="B3123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DE7ED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B3123A"/>
                <w:sz w:val="25"/>
                <w:szCs w:val="25"/>
              </w:rPr>
              <w:t xml:space="preserve">ภาพรวมเมนูที่ใช้งานได้ (2 รายการ)</w:t>
            </w:r>
          </w:p>
          <w:p>
            <w:pPr>
              <w:spacing w:after="60" w:line="31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1) การประเมินพชอ.ไต — แบบรายงานความก้าวหน้าการดำเนินงานป้องกันควบคุมโรคไม่ติดต่อเรื้อรัง/โรคไตในชุมชน (8 หัวข้อ)</w:t>
            </w:r>
          </w:p>
          <w:p>
            <w:pPr>
              <w:spacing w:after="60" w:line="31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2) เมนูลดโซเดียม — บันทึกรายการเมนูอาหารที่ปรับสูตรลดโซเดียมของหน่วยงาน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3123A" w:sz="6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B3123A"/>
          <w:sz w:val="32"/>
          <w:szCs w:val="32"/>
        </w:rPr>
        <w:t xml:space="preserve">เมนูด้านซ้าย (Sidebar) ที่มองเห็น</w:t>
      </w:r>
    </w:p>
    <w:p>
      <w:pPr>
        <w:spacing w:after="160" w:line="3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F2933"/>
          <w:sz w:val="26"/>
          <w:szCs w:val="26"/>
        </w:rPr>
        <w:t xml:space="preserve">หลังเข้าสู่ระบบด้วยบัญชีระดับ สสอ. แล้ว ระบบจะแสดงแถบเมนูด้านซ้ายภายใต้หัวข้อ "แดชบอร์ด" ซึ่งมี 2 เมนูสำหรับผู้ใช้ระดับนี้โดยเฉพาะ ดังนี้: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H Sarabun New" w:cs="TH Sarabun New" w:eastAsia="TH Sarabun New" w:hAnsi="TH Sarabun New"/>
          <w:color w:val="1F2933"/>
          <w:sz w:val="25"/>
          <w:szCs w:val="25"/>
        </w:rPr>
        <w:t xml:space="preserve">การประเมินพชอ.ไต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H Sarabun New" w:cs="TH Sarabun New" w:eastAsia="TH Sarabun New" w:hAnsi="TH Sarabun New"/>
          <w:color w:val="1F2933"/>
          <w:sz w:val="25"/>
          <w:szCs w:val="25"/>
        </w:rPr>
        <w:t xml:space="preserve">เมนูลดโซเดียม</w:t>
      </w:r>
    </w:p>
    <w:p>
      <w:pPr>
        <w:pStyle w:val="Heading1"/>
        <w:pBdr>
          <w:bottom w:val="single" w:color="B3123A" w:sz="6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B3123A"/>
          <w:sz w:val="32"/>
          <w:szCs w:val="32"/>
        </w:rPr>
        <w:t xml:space="preserve">ส่วนที่ 1: การประเมินพชอ.ไต</w:t>
      </w:r>
    </w:p>
    <w:tbl>
      <w:tblPr>
        <w:tblW w:type="pct" w:w="100%"/>
        <w:tblBorders>
          <w:top w:val="single" w:color="E5E9EE" w:sz="2"/>
          <w:left w:val="single" w:color="E5E9EE" w:sz="2"/>
          <w:bottom w:val="single" w:color="E5E9EE" w:sz="2"/>
          <w:right w:val="single" w:color="E5E9EE" w:sz="2"/>
          <w:insideH w:val="none" w:color="FFFFFF" w:sz="0"/>
          <w:insideV w:val="single" w:color="E5E9EE" w:sz="2"/>
        </w:tblBorders>
      </w:tblPr>
      <w:tblGrid>
        <w:gridCol w:w="900"/>
        <w:gridCol w:w="8806"/>
      </w:tblGrid>
      <w:tr>
        <w:tc>
          <w:tcPr>
            <w:tcW w:type="dxa" w:w="900"/>
            <w:shd w:fill="B3123A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806"/>
            <w:shd w:fill="F7F9FB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7"/>
                <w:szCs w:val="27"/>
              </w:rPr>
              <w:t xml:space="preserve">คลิกเมนู "การประเมินพชอ.ไต"</w:t>
            </w:r>
          </w:p>
          <w:p>
            <w:pPr>
              <w:spacing w:after="0" w:line="31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ระบบจะเปิดหน้า "รายการข้อมูล" ของแบบรายงาน พชอ.ไต ซึ่งแสดงเฉพาะข้อมูลของหน่วยงานตนเองเท่านั้น มีตัวกรองปีงบประมาณ/ไตรมาส และตารางแสดงสถานะการกรอกแต่ละไตรมาส</w:t>
            </w:r>
          </w:p>
        </w:tc>
      </w:tr>
    </w:tbl>
    <w:p>
      <w:pPr>
        <w:spacing w:after="200" w:line="320"/>
        <w:ind w:left="72"/>
      </w:pPr>
      <w:r>
        <w:rPr>
          <w:rFonts w:ascii="TH Sarabun New" w:cs="TH Sarabun New" w:eastAsia="TH Sarabun New" w:hAnsi="TH Sarabun New"/>
          <w:b/>
          <w:bCs/>
          <w:color w:val="5B6472"/>
          <w:sz w:val="24"/>
          <w:szCs w:val="24"/>
        </w:rPr>
        <w:t xml:space="preserve">สิ่งที่แสดงในหน้านี้: </w:t>
      </w:r>
      <w:r>
        <w:rPr>
          <w:rFonts w:ascii="TH Sarabun New" w:cs="TH Sarabun New" w:eastAsia="TH Sarabun New" w:hAnsi="TH Sarabun New"/>
          <w:color w:val="1F2933"/>
          <w:sz w:val="24"/>
          <w:szCs w:val="24"/>
        </w:rPr>
        <w:t xml:space="preserve">หน้ารายการข้อมูล พชอ.ไต — ตัวกรอง + การ์ดสรุปสถานะ + ตารางรายการ</w:t>
      </w:r>
    </w:p>
    <w:tbl>
      <w:tblPr>
        <w:tblW w:type="pct" w:w="100%"/>
        <w:tblBorders>
          <w:top w:val="single" w:color="E5E9EE" w:sz="2"/>
          <w:left w:val="single" w:color="E5E9EE" w:sz="2"/>
          <w:bottom w:val="single" w:color="E5E9EE" w:sz="2"/>
          <w:right w:val="single" w:color="E5E9EE" w:sz="2"/>
          <w:insideH w:val="none" w:color="FFFFFF" w:sz="0"/>
          <w:insideV w:val="single" w:color="E5E9EE" w:sz="2"/>
        </w:tblBorders>
      </w:tblPr>
      <w:tblGrid>
        <w:gridCol w:w="900"/>
        <w:gridCol w:w="8806"/>
      </w:tblGrid>
      <w:tr>
        <w:tc>
          <w:tcPr>
            <w:tcW w:type="dxa" w:w="900"/>
            <w:shd w:fill="B3123A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806"/>
            <w:shd w:fill="F7F9FB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7"/>
                <w:szCs w:val="27"/>
              </w:rPr>
              <w:t xml:space="preserve">กดปุ่ม "ทำแบบประเมิน" (มุมขวาบน)</w:t>
            </w:r>
          </w:p>
          <w:p>
            <w:pPr>
              <w:spacing w:after="0" w:line="31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ปุ่มนี้ปรากฏเฉพาะตอนอยู่หน้ารายการ — กดเพื่อเข้าสู่แบบฟอร์มกรอกข้อมูล ระบบจะเปิดหน้า "แบบรายงานความก้าวหน้าผลการดำเนินงานป้องกันควบคุมโรคไม่ติดต่อเรื้อรัง/โรคไตในชุมชน"</w:t>
            </w:r>
          </w:p>
        </w:tc>
      </w:tr>
    </w:tbl>
    <w:tbl>
      <w:tblPr>
        <w:tblW w:type="pct" w:w="100%"/>
        <w:tblBorders>
          <w:top w:val="single" w:color="E5E9EE" w:sz="2"/>
          <w:left w:val="single" w:color="E5E9EE" w:sz="2"/>
          <w:bottom w:val="single" w:color="E5E9EE" w:sz="2"/>
          <w:right w:val="single" w:color="E5E9EE" w:sz="2"/>
          <w:insideH w:val="none" w:color="FFFFFF" w:sz="0"/>
          <w:insideV w:val="single" w:color="E5E9EE" w:sz="2"/>
        </w:tblBorders>
      </w:tblPr>
      <w:tblGrid>
        <w:gridCol w:w="900"/>
        <w:gridCol w:w="8806"/>
      </w:tblGrid>
      <w:tr>
        <w:tc>
          <w:tcPr>
            <w:tcW w:type="dxa" w:w="900"/>
            <w:shd w:fill="B3123A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806"/>
            <w:shd w:fill="F7F9FB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7"/>
                <w:szCs w:val="27"/>
              </w:rPr>
              <w:t xml:space="preserve">เลือกปีงบประมาณ/ไตรมาส</w:t>
            </w:r>
          </w:p>
          <w:p>
            <w:pPr>
              <w:spacing w:after="70" w:line="31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ด้านบนของฟอร์มมีตัวเลือกปีงบประมาณและไตรมาส (ไตรมาส 1 เดือน 3 / ไตรมาส 2 เดือน 6 / ไตรมาส 3 เดือน 9 / ไตรมาส 4 เดือน 12)</w:t>
            </w:r>
          </w:p>
          <w:p>
            <w:pPr>
              <w:spacing w:after="0" w:line="31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หากยังไม่เคยกรอกของรอบนั้น ระบบจะเสนอตัวเลือก "รวบรวมข้อมูลจากไตรมาสอื่น" (ดึงข้อมูลล่าสุดมาเป็นฐาน) หรือ "เริ่มบันทึกรายการใหม่สำหรับไตรมาสนี้"</w:t>
            </w:r>
          </w:p>
        </w:tc>
      </w:tr>
    </w:tbl>
    <w:p>
      <w:pPr>
        <w:spacing w:after="200" w:line="320"/>
        <w:ind w:left="72"/>
      </w:pPr>
      <w:r>
        <w:rPr>
          <w:rFonts w:ascii="TH Sarabun New" w:cs="TH Sarabun New" w:eastAsia="TH Sarabun New" w:hAnsi="TH Sarabun New"/>
          <w:b/>
          <w:bCs/>
          <w:color w:val="5B6472"/>
          <w:sz w:val="24"/>
          <w:szCs w:val="24"/>
        </w:rPr>
        <w:t xml:space="preserve">สิ่งที่แสดงในหน้านี้: </w:t>
      </w:r>
      <w:r>
        <w:rPr>
          <w:rFonts w:ascii="TH Sarabun New" w:cs="TH Sarabun New" w:eastAsia="TH Sarabun New" w:hAnsi="TH Sarabun New"/>
          <w:color w:val="1F2933"/>
          <w:sz w:val="24"/>
          <w:szCs w:val="24"/>
        </w:rPr>
        <w:t xml:space="preserve">แบบฟอร์ม พชอ.ไต — ส่วนเลือกปีงบประมาณ/ไตรมาส ด้านบนฟอร์ม</w:t>
      </w:r>
    </w:p>
    <w:p>
      <w:pPr>
        <w:pStyle w:val="Heading2"/>
        <w:spacing w:after="130" w:before="260"/>
      </w:pPr>
      <w:r>
        <w:rPr>
          <w:rFonts w:ascii="TH Sarabun New" w:cs="TH Sarabun New" w:eastAsia="TH Sarabun New" w:hAnsi="TH Sarabun New"/>
          <w:b/>
          <w:bCs/>
          <w:color w:val="1F2933"/>
          <w:sz w:val="28"/>
          <w:szCs w:val="28"/>
        </w:rPr>
        <w:t xml:space="preserve">กรอกแบบฟอร์ม 8 หัวข้อ</w:t>
      </w:r>
    </w:p>
    <w:p>
      <w:pPr>
        <w:spacing w:after="160" w:line="3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F2933"/>
          <w:sz w:val="26"/>
          <w:szCs w:val="26"/>
        </w:rPr>
        <w:t xml:space="preserve">แต่ละหัวข้อมีช่อง "ผลการดำเนินงาน" ให้พิมพ์อธิบาย: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06"/>
      </w:tblGrid>
      <w:tr>
        <w:trPr>
          <w:tblHeader/>
        </w:trPr>
        <w:tc>
          <w:tcPr>
            <w:tcW w:type="dxa" w:w="900"/>
            <w:shd w:fill="B312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3"/>
                <w:szCs w:val="23"/>
              </w:rPr>
              <w:t xml:space="preserve">ข้อ</w:t>
            </w:r>
          </w:p>
        </w:tc>
        <w:tc>
          <w:tcPr>
            <w:tcW w:type="dxa" w:w="8806"/>
            <w:shd w:fill="B312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3"/>
                <w:szCs w:val="23"/>
              </w:rPr>
              <w:t xml:space="preserve">หัวข้อ</w:t>
            </w:r>
          </w:p>
        </w:tc>
      </w:tr>
      <w:tr>
        <w:tc>
          <w:tcPr>
            <w:tcW w:type="dxa" w:w="900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3"/>
                <w:szCs w:val="23"/>
              </w:rPr>
              <w:t xml:space="preserve">1</w:t>
            </w:r>
          </w:p>
        </w:tc>
        <w:tc>
          <w:tcPr>
            <w:tcW w:type="dxa" w:w="8806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3"/>
                <w:szCs w:val="23"/>
              </w:rPr>
              <w:t xml:space="preserve">การขับเคลื่อนการดำเนินงานป้องกันควบคุมโรคไม่ติดต่อเรื้อรัง (ระดับอำเภอ)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3"/>
                <w:szCs w:val="23"/>
              </w:rPr>
              <w:t xml:space="preserve">2</w:t>
            </w:r>
          </w:p>
        </w:tc>
        <w:tc>
          <w:tcPr>
            <w:tcW w:type="dxa" w:w="880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3"/>
                <w:szCs w:val="23"/>
              </w:rPr>
              <w:t xml:space="preserve">การจัดการข้อมูลเฝ้าระวัง</w:t>
            </w:r>
          </w:p>
        </w:tc>
      </w:tr>
      <w:tr>
        <w:tc>
          <w:tcPr>
            <w:tcW w:type="dxa" w:w="900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3"/>
                <w:szCs w:val="23"/>
              </w:rPr>
              <w:t xml:space="preserve">3</w:t>
            </w:r>
          </w:p>
        </w:tc>
        <w:tc>
          <w:tcPr>
            <w:tcW w:type="dxa" w:w="8806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3"/>
                <w:szCs w:val="23"/>
              </w:rPr>
              <w:t xml:space="preserve">การกำหนดประเด็นปัญหา เป้าหมาย พร้อมทั้งแผนงานและกิจกรรม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3"/>
                <w:szCs w:val="23"/>
              </w:rPr>
              <w:t xml:space="preserve">4</w:t>
            </w:r>
          </w:p>
        </w:tc>
        <w:tc>
          <w:tcPr>
            <w:tcW w:type="dxa" w:w="880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3"/>
                <w:szCs w:val="23"/>
              </w:rPr>
              <w:t xml:space="preserve">สนับสนุนการสร้างนโยบายสาธารณะที่เกี่ยวข้องกับการป้องกันควบคุมโรคไม่ติดต่อเรื้อรัง/โรคไตในชุมชน</w:t>
            </w:r>
          </w:p>
        </w:tc>
      </w:tr>
      <w:tr>
        <w:tc>
          <w:tcPr>
            <w:tcW w:type="dxa" w:w="900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3"/>
                <w:szCs w:val="23"/>
              </w:rPr>
              <w:t xml:space="preserve">5</w:t>
            </w:r>
          </w:p>
        </w:tc>
        <w:tc>
          <w:tcPr>
            <w:tcW w:type="dxa" w:w="8806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3"/>
                <w:szCs w:val="23"/>
              </w:rPr>
              <w:t xml:space="preserve">การจัดการสิ่งแวดล้อมที่เอื้อต่อสุขภาพ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3"/>
                <w:szCs w:val="23"/>
              </w:rPr>
              <w:t xml:space="preserve">6</w:t>
            </w:r>
          </w:p>
        </w:tc>
        <w:tc>
          <w:tcPr>
            <w:tcW w:type="dxa" w:w="880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3"/>
                <w:szCs w:val="23"/>
              </w:rPr>
              <w:t xml:space="preserve">การสร้างความเข้มแข็งของชุมชนในการลดปัจจัยเสี่ยงของการเกิดโรคไม่ติดต่อเรื้อรัง/โรคไตในชุมชน</w:t>
            </w:r>
          </w:p>
        </w:tc>
      </w:tr>
      <w:tr>
        <w:tc>
          <w:tcPr>
            <w:tcW w:type="dxa" w:w="900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3"/>
                <w:szCs w:val="23"/>
              </w:rPr>
              <w:t xml:space="preserve">7</w:t>
            </w:r>
          </w:p>
        </w:tc>
        <w:tc>
          <w:tcPr>
            <w:tcW w:type="dxa" w:w="8806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3"/>
                <w:szCs w:val="23"/>
              </w:rPr>
              <w:t xml:space="preserve">การจัดบริการเชิงรุกในชุมชน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3"/>
                <w:szCs w:val="23"/>
              </w:rPr>
              <w:t xml:space="preserve">8</w:t>
            </w:r>
          </w:p>
        </w:tc>
        <w:tc>
          <w:tcPr>
            <w:tcW w:type="dxa" w:w="880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3"/>
                <w:szCs w:val="23"/>
              </w:rPr>
              <w:t xml:space="preserve">การประเมินผลลัพธ์การดำเนินงาน ประกอบด้วย (แยกกรอก 3 หัวข้อย่อยด้านล่าง)</w:t>
            </w:r>
          </w:p>
        </w:tc>
      </w:tr>
      <w:tr>
        <w:tc>
          <w:tcPr>
            <w:tcW w:type="dxa" w:w="900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3"/>
                <w:szCs w:val="23"/>
              </w:rPr>
              <w:t xml:space="preserve">8.1</w:t>
            </w:r>
          </w:p>
        </w:tc>
        <w:tc>
          <w:tcPr>
            <w:tcW w:type="dxa" w:w="8806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3"/>
                <w:szCs w:val="23"/>
              </w:rPr>
              <w:t xml:space="preserve">ร้อยละของผู้ป่วยโรคเบาหวานและ/หรือความดันโลหิตสูง ได้รับการค้นหาและคัดกรองโรคไตเรื้อรัง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3"/>
                <w:szCs w:val="23"/>
              </w:rPr>
              <w:t xml:space="preserve">8.2</w:t>
            </w:r>
          </w:p>
        </w:tc>
        <w:tc>
          <w:tcPr>
            <w:tcW w:type="dxa" w:w="880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3"/>
                <w:szCs w:val="23"/>
              </w:rPr>
              <w:t xml:space="preserve">การประเมินความตระหนักรู้การลดการบริโภคเกลือโซเดียมของประชาชนในพื้นที่</w:t>
            </w:r>
          </w:p>
        </w:tc>
      </w:tr>
      <w:tr>
        <w:tc>
          <w:tcPr>
            <w:tcW w:type="dxa" w:w="900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3"/>
                <w:szCs w:val="23"/>
              </w:rPr>
              <w:t xml:space="preserve">8.3</w:t>
            </w:r>
          </w:p>
        </w:tc>
        <w:tc>
          <w:tcPr>
            <w:tcW w:type="dxa" w:w="8806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3"/>
                <w:szCs w:val="23"/>
              </w:rPr>
              <w:t xml:space="preserve">นวัตกรรม/บุคคลต้นแบบ/ภูมิปัญญาท้องถิ่น/งานวิจัยที่สนับสนุนการลดการบริโภคเกลือโซเดียมและ/หรือการป้องกันและชะลอภาวะไตเรื้อรัง</w:t>
            </w:r>
          </w:p>
        </w:tc>
      </w:tr>
    </w:tbl>
    <w:p>
      <w:pPr>
        <w:spacing w:after="200" w:line="3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F2933"/>
          <w:sz w:val="26"/>
          <w:szCs w:val="26"/>
        </w:rPr>
        <w:t xml:space="preserve">ท้ายฟอร์มมีอีก 2 ช่อง: "ปัญหา อุปสรรค" และ "ข้อเสนอแนะ/โอกาสพัฒนา"</w:t>
      </w:r>
    </w:p>
    <w:tbl>
      <w:tblPr>
        <w:tblW w:type="pct" w:w="100%"/>
        <w:tblBorders>
          <w:top w:val="single" w:color="E5E9EE" w:sz="2"/>
          <w:left w:val="single" w:color="E5E9EE" w:sz="2"/>
          <w:bottom w:val="single" w:color="E5E9EE" w:sz="2"/>
          <w:right w:val="single" w:color="E5E9EE" w:sz="2"/>
          <w:insideH w:val="none" w:color="FFFFFF" w:sz="0"/>
          <w:insideV w:val="single" w:color="E5E9EE" w:sz="2"/>
        </w:tblBorders>
      </w:tblPr>
      <w:tblGrid>
        <w:gridCol w:w="900"/>
        <w:gridCol w:w="8806"/>
      </w:tblGrid>
      <w:tr>
        <w:tc>
          <w:tcPr>
            <w:tcW w:type="dxa" w:w="900"/>
            <w:shd w:fill="B3123A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8"/>
                <w:szCs w:val="38"/>
              </w:rPr>
              <w:t xml:space="preserve">4</w:t>
            </w:r>
          </w:p>
        </w:tc>
        <w:tc>
          <w:tcPr>
            <w:tcW w:type="dxa" w:w="8806"/>
            <w:shd w:fill="F7F9FB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7"/>
                <w:szCs w:val="27"/>
              </w:rPr>
              <w:t xml:space="preserve">บันทึกรายงาน</w:t>
            </w:r>
          </w:p>
          <w:p>
            <w:pPr>
              <w:spacing w:after="0" w:line="31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กดปุ่ม "บันทึกรายงาน" ท้ายฟอร์มทุกครั้งหลังกรอกหรือแก้ไข — มีปุ่ม "ล้างข้อมูล" (รีเซ็ตฟอร์ม) และ "พิมพ์รายงาน" ให้เลือกใช้เพิ่มเติม</w:t>
            </w:r>
          </w:p>
        </w:tc>
      </w:tr>
    </w:tbl>
    <w:tbl>
      <w:tblPr>
        <w:tblW w:type="pct" w:w="100%"/>
        <w:tblBorders>
          <w:top w:val="single" w:color="E5E9EE" w:sz="2"/>
          <w:left w:val="single" w:color="E5E9EE" w:sz="2"/>
          <w:bottom w:val="single" w:color="E5E9EE" w:sz="2"/>
          <w:right w:val="single" w:color="E5E9EE" w:sz="2"/>
          <w:insideH w:val="none" w:color="FFFFFF" w:sz="0"/>
          <w:insideV w:val="single" w:color="E5E9EE" w:sz="2"/>
        </w:tblBorders>
      </w:tblPr>
      <w:tblGrid>
        <w:gridCol w:w="900"/>
        <w:gridCol w:w="8806"/>
      </w:tblGrid>
      <w:tr>
        <w:tc>
          <w:tcPr>
            <w:tcW w:type="dxa" w:w="900"/>
            <w:shd w:fill="B3123A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8"/>
                <w:szCs w:val="38"/>
              </w:rPr>
              <w:t xml:space="preserve">5</w:t>
            </w:r>
          </w:p>
        </w:tc>
        <w:tc>
          <w:tcPr>
            <w:tcW w:type="dxa" w:w="8806"/>
            <w:shd w:fill="F7F9FB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7"/>
                <w:szCs w:val="27"/>
              </w:rPr>
              <w:t xml:space="preserve">กลับหน้ารายการ</w:t>
            </w:r>
          </w:p>
          <w:p>
            <w:pPr>
              <w:spacing w:after="0" w:line="31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กดปุ่ม "กลับหน้าหลัก" มุมขวาบน เพื่อย้อนกลับไปหน้ารายการและตรวจสอบสถานะที่บันทึกไว้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3123A" w:sz="6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B3123A"/>
          <w:sz w:val="32"/>
          <w:szCs w:val="32"/>
        </w:rPr>
        <w:t xml:space="preserve">ส่วนที่ 2: เมนูลดโซเดียม</w:t>
      </w:r>
    </w:p>
    <w:tbl>
      <w:tblPr>
        <w:tblW w:type="pct" w:w="100%"/>
        <w:tblBorders>
          <w:top w:val="single" w:color="E5E9EE" w:sz="2"/>
          <w:left w:val="single" w:color="E5E9EE" w:sz="2"/>
          <w:bottom w:val="single" w:color="E5E9EE" w:sz="2"/>
          <w:right w:val="single" w:color="E5E9EE" w:sz="2"/>
          <w:insideH w:val="none" w:color="FFFFFF" w:sz="0"/>
          <w:insideV w:val="single" w:color="E5E9EE" w:sz="2"/>
        </w:tblBorders>
      </w:tblPr>
      <w:tblGrid>
        <w:gridCol w:w="900"/>
        <w:gridCol w:w="8806"/>
      </w:tblGrid>
      <w:tr>
        <w:tc>
          <w:tcPr>
            <w:tcW w:type="dxa" w:w="900"/>
            <w:shd w:fill="B3123A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806"/>
            <w:shd w:fill="F7F9FB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7"/>
                <w:szCs w:val="27"/>
              </w:rPr>
              <w:t xml:space="preserve">คลิกเมนู "เมนูลดโซเดียม"</w:t>
            </w:r>
          </w:p>
          <w:p>
            <w:pPr>
              <w:spacing w:after="0" w:line="31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ระบบจะเปิดหน้า "แดชบอร์ด" ของเมนูลดโซเดียม (ล็อกให้แสดงเฉพาะข้อมูลของหน่วยงานตนเอง) ประกอบด้วยตัวกรอง (ปีงบประมาณ/จังหวัด/อำเภอ/สถานที่จำหน่าย), แผนที่และกราฟสรุป, และตารางรายการเมนูพร้อมปุ่มดูรายละเอียดแต่ละเมนู</w:t>
            </w:r>
          </w:p>
        </w:tc>
      </w:tr>
    </w:tbl>
    <w:p>
      <w:pPr>
        <w:spacing w:after="200" w:line="320"/>
        <w:ind w:left="72"/>
      </w:pPr>
      <w:r>
        <w:rPr>
          <w:rFonts w:ascii="TH Sarabun New" w:cs="TH Sarabun New" w:eastAsia="TH Sarabun New" w:hAnsi="TH Sarabun New"/>
          <w:b/>
          <w:bCs/>
          <w:color w:val="5B6472"/>
          <w:sz w:val="24"/>
          <w:szCs w:val="24"/>
        </w:rPr>
        <w:t xml:space="preserve">สิ่งที่แสดงในหน้านี้: </w:t>
      </w:r>
      <w:r>
        <w:rPr>
          <w:rFonts w:ascii="TH Sarabun New" w:cs="TH Sarabun New" w:eastAsia="TH Sarabun New" w:hAnsi="TH Sarabun New"/>
          <w:color w:val="1F2933"/>
          <w:sz w:val="24"/>
          <w:szCs w:val="24"/>
        </w:rPr>
        <w:t xml:space="preserve">แดชบอร์ดเมนูลดโซเดียม — ตัวกรอง + แผนที่/กราฟ + ตารางรายการ</w:t>
      </w:r>
    </w:p>
    <w:tbl>
      <w:tblPr>
        <w:tblW w:type="pct" w:w="100%"/>
        <w:tblBorders>
          <w:top w:val="single" w:color="E5E9EE" w:sz="2"/>
          <w:left w:val="single" w:color="E5E9EE" w:sz="2"/>
          <w:bottom w:val="single" w:color="E5E9EE" w:sz="2"/>
          <w:right w:val="single" w:color="E5E9EE" w:sz="2"/>
          <w:insideH w:val="none" w:color="FFFFFF" w:sz="0"/>
          <w:insideV w:val="single" w:color="E5E9EE" w:sz="2"/>
        </w:tblBorders>
      </w:tblPr>
      <w:tblGrid>
        <w:gridCol w:w="900"/>
        <w:gridCol w:w="8806"/>
      </w:tblGrid>
      <w:tr>
        <w:tc>
          <w:tcPr>
            <w:tcW w:type="dxa" w:w="900"/>
            <w:shd w:fill="B3123A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806"/>
            <w:shd w:fill="F7F9FB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7"/>
                <w:szCs w:val="27"/>
              </w:rPr>
              <w:t xml:space="preserve">กดปุ่ม "เพิ่มเมนู" (มุมขวาบน)</w:t>
            </w:r>
          </w:p>
          <w:p>
            <w:pPr>
              <w:spacing w:after="0" w:line="31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ระบบจะพาไปหน้า "จัดการเมนูลดโซเดียม" ซึ่งเป็นหน้ารายการที่มีปุ่ม "เพิ่มรายการใหม่" (มุมขวาบนของหน้านั้น) สำหรับเปิดฟอร์มกรอกเมนูใหม่ทีละรายการ หรือ "นำเข้า Excel" สำหรับนำเข้าหลายรายการพร้อมกัน</w:t>
            </w:r>
          </w:p>
        </w:tc>
      </w:tr>
    </w:tbl>
    <w:p>
      <w:pPr>
        <w:spacing w:after="200" w:line="320"/>
        <w:ind w:left="72"/>
      </w:pPr>
      <w:r>
        <w:rPr>
          <w:rFonts w:ascii="TH Sarabun New" w:cs="TH Sarabun New" w:eastAsia="TH Sarabun New" w:hAnsi="TH Sarabun New"/>
          <w:b/>
          <w:bCs/>
          <w:color w:val="5B6472"/>
          <w:sz w:val="24"/>
          <w:szCs w:val="24"/>
        </w:rPr>
        <w:t xml:space="preserve">สิ่งที่แสดงในหน้านี้: </w:t>
      </w:r>
      <w:r>
        <w:rPr>
          <w:rFonts w:ascii="TH Sarabun New" w:cs="TH Sarabun New" w:eastAsia="TH Sarabun New" w:hAnsi="TH Sarabun New"/>
          <w:color w:val="1F2933"/>
          <w:sz w:val="24"/>
          <w:szCs w:val="24"/>
        </w:rPr>
        <w:t xml:space="preserve">หน้าจัดการเมนูลดโซเดียม — ปุ่มเพิ่มรายการใหม่ / นำเข้า Excel</w:t>
      </w:r>
    </w:p>
    <w:p>
      <w:pPr>
        <w:pStyle w:val="Heading2"/>
        <w:spacing w:after="130" w:before="260"/>
      </w:pPr>
      <w:r>
        <w:rPr>
          <w:rFonts w:ascii="TH Sarabun New" w:cs="TH Sarabun New" w:eastAsia="TH Sarabun New" w:hAnsi="TH Sarabun New"/>
          <w:b/>
          <w:bCs/>
          <w:color w:val="1F2933"/>
          <w:sz w:val="28"/>
          <w:szCs w:val="28"/>
        </w:rPr>
        <w:t xml:space="preserve">กรอกฟอร์ม "เพิ่มรายการใหม่"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5"/>
          <w:szCs w:val="25"/>
        </w:rPr>
        <w:t xml:space="preserve">ปีงบประมาณ — เลือกปี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5"/>
          <w:szCs w:val="25"/>
        </w:rPr>
        <w:t xml:space="preserve">สถานที่จำหน่าย — เช่น โรงครัว, โรงครัว รพ., ร้านอาหารในชุมชน ฯลฯ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5"/>
          <w:szCs w:val="25"/>
        </w:rPr>
        <w:t xml:space="preserve">ชื่อเมนูอาหาร — เช่น "ก๋วยเตี๋ยวน้ำใสสูตรลดเค็ม"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5"/>
          <w:szCs w:val="25"/>
        </w:rPr>
        <w:t xml:space="preserve">หน่วยงาน — ชื่อหน่วยงานที่รับผิดชอบ (ไม่บังคับ)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5"/>
          <w:szCs w:val="25"/>
        </w:rPr>
        <w:t xml:space="preserve">โซเดียมก่อนลด (มก.) และ โซเดียมหลังลด (มก.) — ตัวเลข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5"/>
          <w:szCs w:val="25"/>
        </w:rPr>
        <w:t xml:space="preserve">แนบรูปภาพเมนู (ถ้ามี)</w:t>
      </w:r>
    </w:p>
    <w:tbl>
      <w:tblPr>
        <w:tblW w:type="pct" w:w="100%"/>
        <w:tblBorders>
          <w:top w:val="single" w:color="E5E9EE" w:sz="2"/>
          <w:left w:val="single" w:color="E5E9EE" w:sz="2"/>
          <w:bottom w:val="single" w:color="E5E9EE" w:sz="2"/>
          <w:right w:val="single" w:color="E5E9EE" w:sz="2"/>
          <w:insideH w:val="none" w:color="FFFFFF" w:sz="0"/>
          <w:insideV w:val="single" w:color="E5E9EE" w:sz="2"/>
        </w:tblBorders>
      </w:tblPr>
      <w:tblGrid>
        <w:gridCol w:w="900"/>
        <w:gridCol w:w="8806"/>
      </w:tblGrid>
      <w:tr>
        <w:tc>
          <w:tcPr>
            <w:tcW w:type="dxa" w:w="900"/>
            <w:shd w:fill="B3123A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806"/>
            <w:shd w:fill="F7F9FB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7"/>
                <w:szCs w:val="27"/>
              </w:rPr>
              <w:t xml:space="preserve">บันทึกและกลับหน้าแดชบอร์ด</w:t>
            </w:r>
          </w:p>
          <w:p>
            <w:pPr>
              <w:spacing w:after="0" w:line="31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กดปุ่มบันทึกในฟอร์มเพื่อเพิ่มรายการ จากนั้นกดปุ่ม "กลับหน้าหลัก" มุมขวาบนของหน้าจัดการเมนู เพื่อย้อนกลับไปดูแดชบอร์ดสรุป</w:t>
            </w:r>
          </w:p>
        </w:tc>
      </w:tr>
    </w:tbl>
    <w:p>
      <w:pPr>
        <w:pStyle w:val="Heading1"/>
        <w:pBdr>
          <w:bottom w:val="single" w:color="B3123A" w:sz="6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B3123A"/>
          <w:sz w:val="32"/>
          <w:szCs w:val="32"/>
        </w:rPr>
        <w:t xml:space="preserve">ข้อควรทราบเพิ่มเติม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5"/>
          <w:szCs w:val="25"/>
        </w:rPr>
        <w:t xml:space="preserve">ข้อมูลที่เห็นในทั้ง 2 เมนูจำกัดเฉพาะของหน่วยงานตนเอง (สสอ. แต่ละอำเภอเห็นเฉพาะข้อมูลของอำเภอตนเอง)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5"/>
          <w:szCs w:val="25"/>
        </w:rPr>
        <w:t xml:space="preserve">แบบฟอร์ม พชอ.ไต แยกบันทึกเป็นรายไตรมาส — ต้องเลือกไตรมาสให้ถูกต้องก่อนกรอก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5"/>
          <w:szCs w:val="25"/>
        </w:rPr>
        <w:t xml:space="preserve">ไฟล์แนบของเมนูลดโซเดียมเป็นรูปภาพ (ไม่ใช่ PDF เหมือนแบบประเมินลดการบริโภคเกลือ)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color w:val="1F2933"/>
        <w:sz w:val="25"/>
        <w:szCs w:val="2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2026-09-15T02:13:56.195Z</dcterms:created>
  <dcterms:modified xsi:type="dcterms:W3CDTF">2026-09-15T02:13:56.195Z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