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D9488"/>
          <w:sz w:val="22"/>
          <w:szCs w:val="22"/>
        </w:rPr>
        <w:t xml:space="preserve">เอกสารอ้างอิง</w:t>
      </w:r>
    </w:p>
    <w:p>
      <w:pPr>
        <w:spacing w:after="40"/>
        <w:jc w:val="center"/>
      </w:pPr>
      <w:r>
        <w:rPr>
          <w:b/>
          <w:bCs/>
          <w:color w:val="134E4A"/>
          <w:sz w:val="36"/>
          <w:szCs w:val="36"/>
        </w:rPr>
        <w:t xml:space="preserve">หลักการคำนวณคะแนนความตระหนักรู้เรื่องการบริโภคโซเดียม</w:t>
      </w:r>
    </w:p>
    <w:p>
      <w:pPr>
        <w:spacing w:after="260"/>
        <w:jc w:val="center"/>
      </w:pPr>
      <w:r>
        <w:rPr>
          <w:color w:val="6B7280"/>
          <w:sz w:val="22"/>
          <w:szCs w:val="22"/>
        </w:rPr>
        <w:t xml:space="preserve">ระบบติดตามการลดการบริโภคโซเดียม (salt1) - กรมควบคุมโรค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34E4A"/>
          <w:sz w:val="30"/>
          <w:szCs w:val="30"/>
        </w:rPr>
        <w:t xml:space="preserve">1. ภาพรวม</w:t>
      </w:r>
    </w:p>
    <w:p>
      <w:pPr>
        <w:spacing w:after="140" w:line="300"/>
      </w:pPr>
      <w:r>
        <w:rPr>
          <w:sz w:val="21"/>
          <w:szCs w:val="21"/>
        </w:rPr>
        <w:t xml:space="preserve">แบบประเมินความตระหนักรู้แบ่งออกเป็น 26 ข้อคำถามย่อย (เรียกว่า "role" ในระบบ) ครอบคลุม 4 หมวด ได้แก่ พฤติกรรมการบริโภคโซเดียม, การรับรู้และใช้ฉลากโภชนาการ, การรับรู้ส่วนบุคคล (Individual belief) และปัจจัยสิ่งแวดล้อม (Environmental factor) แต่ละคำถามจะถูกแปลงคำตอบเป็นคะแนนตามตารางที่กำหนดไว้ล่วงหน้า แล้วนำมารวมกันเป็นคะแนนรวมเต็ม 32 คะแนน</w:t>
      </w:r>
    </w:p>
    <w:p>
      <w:pPr>
        <w:spacing w:after="140" w:line="300"/>
      </w:pPr>
      <w:r>
        <w:rPr>
          <w:b/>
          <w:bCs/>
          <w:sz w:val="21"/>
          <w:szCs w:val="21"/>
        </w:rPr>
        <w:t xml:space="preserve">ผู้ตอบแบบสอบถามจะ "ผ่านเกณฑ์ความตระหนักรู้" เมื่อได้คะแนนรวม (Sum all) ตั้งแต่ 19.2 คะแนนขึ้นไป (คิดเป็นร้อยละ 60 ของคะแนนเต็ม 32) หากต่ำกว่านี้ถือว่า "ไม่ผ่าน"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34E4A"/>
          <w:sz w:val="30"/>
          <w:szCs w:val="30"/>
        </w:rPr>
        <w:t xml:space="preserve">2. โครงสร้างคะแนนโดยรวม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400"/>
      </w:tblGrid>
      <w:tr>
        <w:trPr>
          <w:tblHeader/>
        </w:trPr>
        <w:tc>
          <w:tcPr>
            <w:tcW w:type="dxa" w:w="30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ผลรวมย่อย</w:t>
            </w:r>
          </w:p>
        </w:tc>
        <w:tc>
          <w:tcPr>
            <w:tcW w:type="dxa" w:w="14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คะแนนเต็ม</w:t>
            </w:r>
          </w:p>
        </w:tc>
        <w:tc>
          <w:tcPr>
            <w:tcW w:type="dxa" w:w="54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องค์ประกอบ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2.1-2.5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ข้อ 2.1-2.4 (พฤติกรรม) + คะแนน MAX ของกลุ่ม "เคยเห็นฉลาก" + กลุ่ม "เคยใช้ฉลาก"</w:t>
            </w:r>
          </w:p>
        </w:tc>
      </w:tr>
      <w:tr>
        <w:tc>
          <w:tcPr>
            <w:tcW w:type="dxa" w:w="3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individual belief</w:t>
            </w:r>
          </w:p>
        </w:tc>
        <w:tc>
          <w:tcPr>
            <w:tcW w:type="dxa" w:w="1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ข้อ 3.2, 3.5, 3.9 + ค่าเฉลี่ยกลุ่ม severity (3.3-3.4) + ค่าเฉลี่ยกลุ่ม barriers (3.6-3.8)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environment factor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ข้อ 3.15, 3.16 + ค่าเฉลี่ยกลุ่ม policy (3.10-3.11) + ค่าเฉลี่ยกลุ่ม social (3.13-3.14)</w:t>
            </w:r>
          </w:p>
        </w:tc>
      </w:tr>
      <w:tr>
        <w:tc>
          <w:tcPr>
            <w:tcW w:type="dxa" w:w="3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ส่วนเสริม (addon)</w:t>
            </w:r>
          </w:p>
        </w:tc>
        <w:tc>
          <w:tcPr>
            <w:tcW w:type="dxa" w:w="1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ข้อ 3.1 (ความรู้) + ข้อ 3.12 (แรงกระตุ้น) - ไม่แสดงเป็นคอลัมน์แยก แต่รวมเข้า "Sum all factor" โดยตรง</w:t>
            </w:r>
          </w:p>
        </w:tc>
      </w:tr>
    </w:tbl>
    <w:p>
      <w:pPr>
        <w:spacing w:after="100" w:before="200"/>
      </w:pPr>
    </w:p>
    <w:p>
      <w:pPr>
        <w:spacing w:after="140" w:line="300"/>
      </w:pPr>
      <w:r>
        <w:rPr>
          <w:b/>
          <w:bCs/>
          <w:sz w:val="21"/>
          <w:szCs w:val="21"/>
        </w:rPr>
        <w:t xml:space="preserve">Sum all factor (เต็ม 22) = Sum individual belief + Sum environment factor + ส่วนเสริม</w:t>
      </w:r>
    </w:p>
    <w:p>
      <w:pPr>
        <w:spacing w:after="140" w:line="300"/>
      </w:pPr>
      <w:r>
        <w:rPr>
          <w:b/>
          <w:bCs/>
          <w:sz w:val="21"/>
          <w:szCs w:val="21"/>
        </w:rPr>
        <w:t xml:space="preserve">Sum all (เต็ม 32) = Sum 2.1-2.5 + Sum all factor</w:t>
      </w:r>
    </w:p>
    <w:p>
      <w:pPr>
        <w:spacing w:after="140" w:line="300"/>
      </w:pPr>
      <w:r>
        <w:rPr>
          <w:b/>
          <w:bCs/>
          <w:color w:val="134E4A"/>
          <w:sz w:val="21"/>
          <w:szCs w:val="21"/>
        </w:rPr>
        <w:t xml:space="preserve">ผลการประเมิน = "ผ่าน" เมื่อ Sum all ≥ 19.2, มิฉะนั้น "ไม่ผ่าน"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34E4A"/>
          <w:sz w:val="30"/>
          <w:szCs w:val="30"/>
        </w:rPr>
        <w:t xml:space="preserve">3. รายละเอียดคำถามทั้ง 26 ข้อ</w:t>
      </w:r>
    </w:p>
    <w:p>
      <w:pPr>
        <w:spacing w:after="140" w:line="300"/>
      </w:pPr>
      <w:r>
        <w:rPr>
          <w:sz w:val="21"/>
          <w:szCs w:val="21"/>
        </w:rPr>
        <w:t xml:space="preserve">คอลัมน์ "กลุ่มรวมก่อน" หมายถึงข้อที่ต้องนำคะแนนไปรวมกับข้ออื่นในกลุ่มเดียวกันก่อน (เฉลี่ยหรือหาค่าสูงสุด) แล้วจึงป้อนผลลัพธ์เข้าผลรวมย่อยขวาสุด ข้อที่ไม่มีกลุ่ม ("-") จะป้อนคะแนนของตัวเองเข้าผลรวมย่อยโดยตรง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700"/>
        <w:gridCol w:w="1900"/>
        <w:gridCol w:w="1700"/>
        <w:gridCol w:w="2200"/>
      </w:tblGrid>
      <w:tr>
        <w:trPr>
          <w:tblHeader/>
        </w:trPr>
        <w:tc>
          <w:tcPr>
            <w:tcW w:type="dxa" w:w="7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ข้อ</w:t>
            </w:r>
          </w:p>
        </w:tc>
        <w:tc>
          <w:tcPr>
            <w:tcW w:type="dxa" w:w="33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ชื่อคำถาม</w:t>
            </w:r>
          </w:p>
        </w:tc>
        <w:tc>
          <w:tcPr>
            <w:tcW w:type="dxa" w:w="7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เต็ม</w:t>
            </w:r>
          </w:p>
        </w:tc>
        <w:tc>
          <w:tcPr>
            <w:tcW w:type="dxa" w:w="19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17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กลุ่มรวมก่อน</w:t>
            </w:r>
          </w:p>
        </w:tc>
        <w:tc>
          <w:tcPr>
            <w:tcW w:type="dxa" w:w="22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ป้อนเข้าผลรวมย่อย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2.1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การเติมน้ำปลา/เครื่องปรุงเพิ่ม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2.1-2.5</w:t>
            </w:r>
          </w:p>
        </w:tc>
      </w:tr>
      <w:tr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2.2</w:t>
            </w:r>
          </w:p>
        </w:tc>
        <w:tc>
          <w:tcPr>
            <w:tcW w:type="dxa" w:w="33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การบริโภคผลิตภัณฑ์อาหารสำเร็จรูป</w:t>
            </w:r>
          </w:p>
        </w:tc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2.1-2.5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2.3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การบริโภคอาหารแปรรูปหรือหมักดอง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2.1-2.5</w:t>
            </w:r>
          </w:p>
        </w:tc>
      </w:tr>
      <w:tr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2.4</w:t>
            </w:r>
          </w:p>
        </w:tc>
        <w:tc>
          <w:tcPr>
            <w:tcW w:type="dxa" w:w="33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การพยายามจำกัดการบริโภคโซเดียม</w:t>
            </w:r>
          </w:p>
        </w:tc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2.1-2.5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เคยเห็นฉลากโภชนาการ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เคยเห็น (MAX)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2.1-2.5</w:t>
            </w:r>
          </w:p>
        </w:tc>
      </w:tr>
      <w:tr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  <w:tc>
          <w:tcPr>
            <w:tcW w:type="dxa" w:w="33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เคยเห็นฉลาก GDA</w:t>
            </w:r>
          </w:p>
        </w:tc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เคยเห็น (MAX)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2.1-2.5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เคยเห็นสัญลักษณ์ทางเลือกสุขภาพ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เคยเห็น (MAX)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2.1-2.5</w:t>
            </w:r>
          </w:p>
        </w:tc>
      </w:tr>
      <w:tr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  <w:tc>
          <w:tcPr>
            <w:tcW w:type="dxa" w:w="33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เคยใช้ฉลากโภชนาการ</w:t>
            </w:r>
          </w:p>
        </w:tc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เคยใช้ (MAX)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2.1-2.5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เคยใช้ฉลาก GDA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เคยใช้ (MAX)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2.1-2.5</w:t>
            </w:r>
          </w:p>
        </w:tc>
      </w:tr>
      <w:tr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  <w:tc>
          <w:tcPr>
            <w:tcW w:type="dxa" w:w="33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เคยใช้สัญลักษณ์ทางเลือกสุขภาพ</w:t>
            </w:r>
          </w:p>
        </w:tc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เคยใช้ (MAX)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2.1-2.5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ความรู้: ปริมาณโซเดียมที่แนะนำต่อวัน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พิมพ์ตัวเลข (Knowledge)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ส่วนเสริม</w:t>
            </w:r>
          </w:p>
        </w:tc>
      </w:tr>
      <w:tr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3.2</w:t>
            </w:r>
          </w:p>
        </w:tc>
        <w:tc>
          <w:tcPr>
            <w:tcW w:type="dxa" w:w="33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การรับรู้ความเสี่ยง (Perceived susceptibility)</w:t>
            </w:r>
          </w:p>
        </w:tc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individual belief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การรับรู้ความรุนแรง ข้อ 1 (Perceived severity)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severity (AVG)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individual belief</w:t>
            </w:r>
          </w:p>
        </w:tc>
      </w:tr>
      <w:tr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3.4</w:t>
            </w:r>
          </w:p>
        </w:tc>
        <w:tc>
          <w:tcPr>
            <w:tcW w:type="dxa" w:w="33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การรับรู้ความรุนแรง ข้อ 2 (Perceived severity)</w:t>
            </w:r>
          </w:p>
        </w:tc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severity (AVG)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individual belief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การรับรู้ประโยชน์ (Perceived benefits)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individual belief</w:t>
            </w:r>
          </w:p>
        </w:tc>
      </w:tr>
      <w:tr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3.6</w:t>
            </w:r>
          </w:p>
        </w:tc>
        <w:tc>
          <w:tcPr>
            <w:tcW w:type="dxa" w:w="33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การรับรู้อุปสรรค ข้อ 1 (Perceived barriers)</w:t>
            </w:r>
          </w:p>
        </w:tc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barriers (AVG)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individual belief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การรับรู้อุปสรรค ข้อ 2 (Perceived barriers)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barriers (AVG)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individual belief</w:t>
            </w:r>
          </w:p>
        </w:tc>
      </w:tr>
      <w:tr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3.8</w:t>
            </w:r>
          </w:p>
        </w:tc>
        <w:tc>
          <w:tcPr>
            <w:tcW w:type="dxa" w:w="33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การรับรู้อุปสรรค ข้อ 3 (Perceived barriers)</w:t>
            </w:r>
          </w:p>
        </w:tc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barriers (AVG)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individual belief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ความมั่นใจในการปรับพฤติกรรม (Self-Efficacy)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individual belief</w:t>
            </w:r>
          </w:p>
        </w:tc>
      </w:tr>
      <w:tr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3.10</w:t>
            </w:r>
          </w:p>
        </w:tc>
        <w:tc>
          <w:tcPr>
            <w:tcW w:type="dxa" w:w="33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นโยบาย/กฎหมาย ข้อ 1 (Policy)</w:t>
            </w:r>
          </w:p>
        </w:tc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policy (AVG)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environment factor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นโยบาย/กฎหมาย ข้อ 2 (Policy)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policy (AVG)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environment factor</w:t>
            </w:r>
          </w:p>
        </w:tc>
      </w:tr>
      <w:tr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3.12</w:t>
            </w:r>
          </w:p>
        </w:tc>
        <w:tc>
          <w:tcPr>
            <w:tcW w:type="dxa" w:w="33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แรงกระตุ้นให้ปรับพฤติกรรม (Cue to action)</w:t>
            </w:r>
          </w:p>
        </w:tc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ส่วนเสริม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คนรอบข้าง ข้อ 1 (Social)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social (AVG)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environment factor</w:t>
            </w:r>
          </w:p>
        </w:tc>
      </w:tr>
      <w:tr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3.14</w:t>
            </w:r>
          </w:p>
        </w:tc>
        <w:tc>
          <w:tcPr>
            <w:tcW w:type="dxa" w:w="33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คนรอบข้าง ข้อ 2 (Social)</w:t>
            </w:r>
          </w:p>
        </w:tc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social (AVG)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environment factor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การรับสื่อรณรงค์ลดโซเดียม (Media)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environment factor</w:t>
            </w:r>
          </w:p>
        </w:tc>
      </w:tr>
      <w:tr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3.16</w:t>
            </w:r>
          </w:p>
        </w:tc>
        <w:tc>
          <w:tcPr>
            <w:tcW w:type="dxa" w:w="33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สภาพแวดล้อมทางกายภาพ (Physical environment)</w:t>
            </w:r>
          </w:p>
        </w:tc>
        <w:tc>
          <w:tcPr>
            <w:tcW w:type="dxa" w:w="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เลือกคำตอบ</w:t>
            </w:r>
          </w:p>
        </w:tc>
        <w:tc>
          <w:tcPr>
            <w:tcW w:type="dxa" w:w="1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environment factor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34E4A"/>
          <w:sz w:val="30"/>
          <w:szCs w:val="30"/>
        </w:rPr>
        <w:t xml:space="preserve">4. กฎการรวมกลุ่มคำถาม (ก่อนป้อนเข้าผลรวมย่อย)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sz w:val="21"/>
          <w:szCs w:val="21"/>
        </w:rPr>
        <w:t xml:space="preserve">เคยเห็นฉลาก (3 ข้อ: โภชนาการ / GDA / สัญลักษณ์ทางเลือกสุขภาพ) → ใช้ค่าสูงสุด (MAX) - ตอบว่า "เคย" ข้อใดข้อหนึ่งก็ได้ 1 เต็ม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sz w:val="21"/>
          <w:szCs w:val="21"/>
        </w:rPr>
        <w:t xml:space="preserve">เคยใช้ฉลาก (3 ข้อเช่นกัน) → ใช้ค่าสูงสุด (MAX)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sz w:val="21"/>
          <w:szCs w:val="21"/>
        </w:rPr>
        <w:t xml:space="preserve">การรับรู้ความรุนแรง (severity: 3.3, 3.4) → ใช้ค่าเฉลี่ย (AVERAGE)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sz w:val="21"/>
          <w:szCs w:val="21"/>
        </w:rPr>
        <w:t xml:space="preserve">การรับรู้อุปสรรค (barriers: 3.6, 3.7, 3.8) → ใช้ค่าเฉลี่ย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sz w:val="21"/>
          <w:szCs w:val="21"/>
        </w:rPr>
        <w:t xml:space="preserve">นโยบาย/กฎหมาย (policy: 3.10, 3.11) → ใช้ค่าเฉลี่ย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sz w:val="21"/>
          <w:szCs w:val="21"/>
        </w:rPr>
        <w:t xml:space="preserve">คนรอบข้าง (social: 3.13, 3.14) → ใช้ค่าเฉลี่ย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34E4A"/>
          <w:sz w:val="30"/>
          <w:szCs w:val="30"/>
        </w:rPr>
        <w:t xml:space="preserve">5. ตารางแปลงคำตอบเป็นคะแนน</w:t>
      </w:r>
    </w:p>
    <w:p>
      <w:pPr>
        <w:spacing w:after="140" w:line="300"/>
      </w:pPr>
      <w:r>
        <w:rPr>
          <w:sz w:val="21"/>
          <w:szCs w:val="21"/>
        </w:rPr>
        <w:t xml:space="preserve">คำตอบจริงที่บันทึกไว้ (ข้อความภาษาไทย) จะถูกแปลงเป็นคะแนนตามตารางด้านล่าง - ตารางนี้อ้างอิงจากไฟล์เกณฑ์ประเมิน.xlsx ที่ผู้ดูแลระบบยืนยันไว้ หากคำตอบที่บันทึกไม่ตรงกับตารางเลย (เช่น สะกดคนละแบบ หรือเป็นค่าว่าง) ระบบจะให้ 0 คะแนนสำหรับข้อนั้นเสมอ</w:t>
      </w:r>
    </w:p>
    <w:p>
      <w:pPr>
        <w:spacing w:after="60" w:before="200"/>
      </w:pPr>
      <w:r>
        <w:rPr>
          <w:b/>
          <w:bCs/>
          <w:color w:val="134E4A"/>
          <w:sz w:val="22"/>
          <w:szCs w:val="22"/>
        </w:rPr>
        <w:t xml:space="preserve">กลุ่ม A - ความถี่ (ยิ่งบ่อย ยิ่งได้คะแนนสูง)</w:t>
      </w:r>
    </w:p>
    <w:p>
      <w:pPr>
        <w:spacing w:after="80"/>
      </w:pPr>
      <w:r>
        <w:rPr>
          <w:i/>
          <w:iCs/>
          <w:color w:val="6B7280"/>
          <w:sz w:val="19"/>
          <w:szCs w:val="19"/>
        </w:rPr>
        <w:t xml:space="preserve">ใช้กับข้อ: 2.1, 2.2, 2.3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</w:tblGrid>
      <w:tr>
        <w:trPr>
          <w:tblHeader/>
        </w:trPr>
        <w:tc>
          <w:tcPr>
            <w:tcW w:type="dxa" w:w="40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คำตอบ</w:t>
            </w:r>
          </w:p>
        </w:tc>
        <w:tc>
          <w:tcPr>
            <w:tcW w:type="dxa" w:w="14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คะแนน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ทุกวัน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นานครั้งๆ / นานๆครั้ง</w:t>
            </w:r>
          </w:p>
        </w:tc>
        <w:tc>
          <w:tcPr>
            <w:tcW w:type="dxa" w:w="1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บางครั้ง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บ่อยครั้ง</w:t>
            </w:r>
          </w:p>
        </w:tc>
        <w:tc>
          <w:tcPr>
            <w:tcW w:type="dxa" w:w="1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ไม่ทานเลย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 w:before="200"/>
      </w:pPr>
      <w:r>
        <w:rPr>
          <w:b/>
          <w:bCs/>
          <w:color w:val="134E4A"/>
          <w:sz w:val="22"/>
          <w:szCs w:val="22"/>
        </w:rPr>
        <w:t xml:space="preserve">กลุ่ม B - ความถี่ (กลับทิศทางจากกลุ่ม A)</w:t>
      </w:r>
    </w:p>
    <w:p>
      <w:pPr>
        <w:spacing w:after="80"/>
      </w:pPr>
      <w:r>
        <w:rPr>
          <w:i/>
          <w:iCs/>
          <w:color w:val="6B7280"/>
          <w:sz w:val="19"/>
          <w:szCs w:val="19"/>
        </w:rPr>
        <w:t xml:space="preserve">ใช้กับข้อ: 2.4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</w:tblGrid>
      <w:tr>
        <w:trPr>
          <w:tblHeader/>
        </w:trPr>
        <w:tc>
          <w:tcPr>
            <w:tcW w:type="dxa" w:w="40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คำตอบ</w:t>
            </w:r>
          </w:p>
        </w:tc>
        <w:tc>
          <w:tcPr>
            <w:tcW w:type="dxa" w:w="14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คะแนน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ทุกวัน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นานครั้งๆ / นานๆครั้ง</w:t>
            </w:r>
          </w:p>
        </w:tc>
        <w:tc>
          <w:tcPr>
            <w:tcW w:type="dxa" w:w="1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บางครั้ง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บ่อยครั้ง</w:t>
            </w:r>
          </w:p>
        </w:tc>
        <w:tc>
          <w:tcPr>
            <w:tcW w:type="dxa" w:w="1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ไม่ทานเลย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</w:tr>
    </w:tbl>
    <w:p>
      <w:pPr>
        <w:spacing w:after="60" w:before="200"/>
      </w:pPr>
      <w:r>
        <w:rPr>
          <w:b/>
          <w:bCs/>
          <w:color w:val="134E4A"/>
          <w:sz w:val="22"/>
          <w:szCs w:val="22"/>
        </w:rPr>
        <w:t xml:space="preserve">กลุ่ม C - เคย/ไม่เคย (คะแนนเต็ม 1)</w:t>
      </w:r>
    </w:p>
    <w:p>
      <w:pPr>
        <w:spacing w:after="80"/>
      </w:pPr>
      <w:r>
        <w:rPr>
          <w:i/>
          <w:iCs/>
          <w:color w:val="6B7280"/>
          <w:sz w:val="19"/>
          <w:szCs w:val="19"/>
        </w:rPr>
        <w:t xml:space="preserve">ใช้กับข้อ: เคยเห็น/เคยใช้ฉลากโภชนาการ, ฉลาก GDA, สัญลักษณ์ทางเลือกสุขภาพ (6 ข้อ)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</w:tblGrid>
      <w:tr>
        <w:trPr>
          <w:tblHeader/>
        </w:trPr>
        <w:tc>
          <w:tcPr>
            <w:tcW w:type="dxa" w:w="40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คำตอบ</w:t>
            </w:r>
          </w:p>
        </w:tc>
        <w:tc>
          <w:tcPr>
            <w:tcW w:type="dxa" w:w="14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คะแนน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เคย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ไม่เคย</w:t>
            </w:r>
          </w:p>
        </w:tc>
        <w:tc>
          <w:tcPr>
            <w:tcW w:type="dxa" w:w="1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 w:before="200"/>
      </w:pPr>
      <w:r>
        <w:rPr>
          <w:b/>
          <w:bCs/>
          <w:color w:val="134E4A"/>
          <w:sz w:val="22"/>
          <w:szCs w:val="22"/>
        </w:rPr>
        <w:t xml:space="preserve">กลุ่ม D - ระดับความเห็นด้วย 5 ระดับ</w:t>
      </w:r>
    </w:p>
    <w:p>
      <w:pPr>
        <w:spacing w:after="80"/>
      </w:pPr>
      <w:r>
        <w:rPr>
          <w:i/>
          <w:iCs/>
          <w:color w:val="6B7280"/>
          <w:sz w:val="19"/>
          <w:szCs w:val="19"/>
        </w:rPr>
        <w:t xml:space="preserve">ใช้กับข้อ: 3.2, 3.3, 3.4, 3.5, 3.9, 3.10, 3.11, 3.12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</w:tblGrid>
      <w:tr>
        <w:trPr>
          <w:tblHeader/>
        </w:trPr>
        <w:tc>
          <w:tcPr>
            <w:tcW w:type="dxa" w:w="40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คำตอบ</w:t>
            </w:r>
          </w:p>
        </w:tc>
        <w:tc>
          <w:tcPr>
            <w:tcW w:type="dxa" w:w="14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คะแนน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เฉยๆ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เห็นด้วย</w:t>
            </w:r>
          </w:p>
        </w:tc>
        <w:tc>
          <w:tcPr>
            <w:tcW w:type="dxa" w:w="1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เห็นด้วยอย่างยิ่ง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ไม่เห็นด้วย</w:t>
            </w:r>
          </w:p>
        </w:tc>
        <w:tc>
          <w:tcPr>
            <w:tcW w:type="dxa" w:w="1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ไม่เห็นด้วยอย่างยิ่ง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</w:tr>
    </w:tbl>
    <w:p>
      <w:pPr>
        <w:spacing w:after="60" w:before="200"/>
      </w:pPr>
      <w:r>
        <w:rPr>
          <w:b/>
          <w:bCs/>
          <w:color w:val="134E4A"/>
          <w:sz w:val="22"/>
          <w:szCs w:val="22"/>
        </w:rPr>
        <w:t xml:space="preserve">กลุ่ม E - ระดับความเห็นด้วย 5 ระดับ (กลับทิศทางจากกลุ่ม D)</w:t>
      </w:r>
    </w:p>
    <w:p>
      <w:pPr>
        <w:spacing w:after="80"/>
      </w:pPr>
      <w:r>
        <w:rPr>
          <w:i/>
          <w:iCs/>
          <w:color w:val="6B7280"/>
          <w:sz w:val="19"/>
          <w:szCs w:val="19"/>
        </w:rPr>
        <w:t xml:space="preserve">ใช้กับข้อ: 3.6, 3.7, 3.8, 3.13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</w:tblGrid>
      <w:tr>
        <w:trPr>
          <w:tblHeader/>
        </w:trPr>
        <w:tc>
          <w:tcPr>
            <w:tcW w:type="dxa" w:w="40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คำตอบ</w:t>
            </w:r>
          </w:p>
        </w:tc>
        <w:tc>
          <w:tcPr>
            <w:tcW w:type="dxa" w:w="14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คะแนน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เฉยๆ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เห็นด้วย</w:t>
            </w:r>
          </w:p>
        </w:tc>
        <w:tc>
          <w:tcPr>
            <w:tcW w:type="dxa" w:w="1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เห็นด้วยอย่างยิ่ง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ไม่เห็นด้วย</w:t>
            </w:r>
          </w:p>
        </w:tc>
        <w:tc>
          <w:tcPr>
            <w:tcW w:type="dxa" w:w="1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ไม่เห็นด้วยอย่างยิ่ง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 w:before="200"/>
      </w:pPr>
      <w:r>
        <w:rPr>
          <w:b/>
          <w:bCs/>
          <w:color w:val="134E4A"/>
          <w:sz w:val="22"/>
          <w:szCs w:val="22"/>
        </w:rPr>
        <w:t xml:space="preserve">กลุ่ม F - ใช่/ไม่ใช่ (คะแนนเต็ม 1)</w:t>
      </w:r>
    </w:p>
    <w:p>
      <w:pPr>
        <w:spacing w:after="80"/>
      </w:pPr>
      <w:r>
        <w:rPr>
          <w:i/>
          <w:iCs/>
          <w:color w:val="6B7280"/>
          <w:sz w:val="19"/>
          <w:szCs w:val="19"/>
        </w:rPr>
        <w:t xml:space="preserve">ใช้กับข้อ: 3.14, 3.15, 3.16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</w:tblGrid>
      <w:tr>
        <w:trPr>
          <w:tblHeader/>
        </w:trPr>
        <w:tc>
          <w:tcPr>
            <w:tcW w:type="dxa" w:w="40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คำตอบ</w:t>
            </w:r>
          </w:p>
        </w:tc>
        <w:tc>
          <w:tcPr>
            <w:tcW w:type="dxa" w:w="14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คะแนน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ใช่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ไม่ใช่</w:t>
            </w:r>
          </w:p>
        </w:tc>
        <w:tc>
          <w:tcPr>
            <w:tcW w:type="dxa" w:w="1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34E4A"/>
          <w:sz w:val="30"/>
          <w:szCs w:val="30"/>
        </w:rPr>
        <w:t xml:space="preserve">6. กรณีพิเศษ: ข้อ 3.1 (ความรู้ปริมาณโซเดียมที่แนะนำต่อวัน)</w:t>
      </w:r>
    </w:p>
    <w:p>
      <w:pPr>
        <w:spacing w:after="140" w:line="300"/>
      </w:pPr>
      <w:r>
        <w:rPr>
          <w:sz w:val="21"/>
          <w:szCs w:val="21"/>
        </w:rPr>
        <w:t xml:space="preserve">ข้อนี้เป็นคำถามให้พิมพ์ตัวเลขเอง ไม่ใช่แบบเลือกคำตอบ ระบบจะดึง "ชุดตัวเลขแรกที่พบ" ในคำตอบ (ไม่สนใจเครื่องหมายหรือข้อความอื่นที่นำหน้า) มาเทียบกับค่าที่ถือว่าถูกต้อง</w:t>
      </w:r>
    </w:p>
    <w:p>
      <w:pPr>
        <w:spacing w:after="140" w:line="300"/>
      </w:pPr>
      <w:r>
        <w:rPr>
          <w:b/>
          <w:bCs/>
          <w:sz w:val="21"/>
          <w:szCs w:val="21"/>
        </w:rPr>
        <w:t xml:space="preserve">ค่าที่ถูกต้อง = "2000" (มิลลิกรัม/วัน) เท่านั้น - ตรงกันได้ 2 คะแนน ไม่ตรงได้ 0 คะแนน</w:t>
      </w:r>
    </w:p>
    <w:p>
      <w:pPr>
        <w:spacing w:after="140" w:line="300"/>
      </w:pPr>
      <w:r>
        <w:rPr>
          <w:color w:val="166534"/>
          <w:sz w:val="21"/>
          <w:szCs w:val="21"/>
        </w:rPr>
        <w:t xml:space="preserve">ตัวอย่างคำตอบที่ "ถูกต้อง" (ได้ 2 คะแนน): "2000", "2000-2400", "2000-2300"</w:t>
      </w:r>
    </w:p>
    <w:p>
      <w:pPr>
        <w:spacing w:after="140" w:line="300"/>
      </w:pPr>
      <w:r>
        <w:rPr>
          <w:color w:val="991B1B"/>
          <w:sz w:val="21"/>
          <w:szCs w:val="21"/>
        </w:rPr>
        <w:t xml:space="preserve">ตัวอย่างคำตอบที่ "ไม่ถูกต้อง" (ได้ 0 คะแนน): "2400", "1500", "500", "3000", "20000"</w:t>
      </w:r>
    </w:p>
    <w:p>
      <w:pPr>
        <w:spacing w:after="140" w:line="300"/>
      </w:pPr>
      <w:r>
        <w:rPr>
          <w:i/>
          <w:iCs/>
          <w:sz w:val="21"/>
          <w:szCs w:val="21"/>
        </w:rPr>
        <w:t xml:space="preserve">ข้อควรระวัง: เนื่องจากระบบดึงเฉพาะชุดตัวเลขโดยไม่สนใจเครื่องหมาย "-" ที่นำหน้า คำตอบที่พิมพ์ว่า "-2000" (ซึ่งในทางปฏิบัติอาจหมายถึงไม่ได้ตอบ/พิมพ์ผิด) จะถูกตีความว่า "2000" และได้คะแนนเต็มเช่นกัน - เป็นจุดที่พบจริงในข้อมูลตัวอย่าง (พบ 1 ราย จากที่ตรวจสอบ 11,579 ราย) จึงควรพิจารณาว่าต้องการให้ระบบจัดการกรณีนี้อย่างไรในอนาคต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34E4A"/>
          <w:sz w:val="30"/>
          <w:szCs w:val="30"/>
        </w:rPr>
        <w:t xml:space="preserve">7. ตัวอย่างการคำนวณแบบขั้นตอน</w:t>
      </w:r>
    </w:p>
    <w:p>
      <w:pPr>
        <w:spacing w:after="140" w:line="300"/>
      </w:pPr>
      <w:r>
        <w:rPr>
          <w:sz w:val="21"/>
          <w:szCs w:val="21"/>
        </w:rPr>
        <w:t xml:space="preserve">ตัวอย่างจากผู้ตอบแบบสอบถามจริง: รพ.สต.บ้านบางทราย จ.มุกดาหาร อ.หว้านใหญ่ ต.บางทรายน้อย (ตรวจสอบตรงกับผลจริงในระบบแล้ว)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000"/>
        <w:gridCol w:w="2000"/>
      </w:tblGrid>
      <w:tr>
        <w:trPr>
          <w:tblHeader/>
        </w:trPr>
        <w:tc>
          <w:tcPr>
            <w:tcW w:type="dxa" w:w="26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ข้อ</w:t>
            </w:r>
          </w:p>
        </w:tc>
        <w:tc>
          <w:tcPr>
            <w:tcW w:type="dxa" w:w="22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คำตอบ</w:t>
            </w:r>
          </w:p>
        </w:tc>
        <w:tc>
          <w:tcPr>
            <w:tcW w:type="dxa" w:w="20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คะแนนที่ได้</w:t>
            </w:r>
          </w:p>
        </w:tc>
        <w:tc>
          <w:tcPr>
            <w:tcW w:type="dxa" w:w="2000"/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2.1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ไม่ทานเลย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กลุ่ม A</w:t>
            </w:r>
          </w:p>
        </w:tc>
      </w:tr>
      <w:tr>
        <w:tc>
          <w:tcPr>
            <w:tcW w:type="dxa" w:w="2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2.2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ไม่ทานเลย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กลุ่ม 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2.3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ไม่ทานเลย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กลุ่ม A</w:t>
            </w:r>
          </w:p>
        </w:tc>
      </w:tr>
      <w:tr>
        <w:tc>
          <w:tcPr>
            <w:tcW w:type="dxa" w:w="2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2.4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ไม่ทานเลย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กลุ่ม B (กลับทิศทาง)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เคยเห็นฉลาก (3 ข้อ)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เคย ทั้ง 3 ข้อ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 (MAX)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กลุ่ม C</w:t>
            </w:r>
          </w:p>
        </w:tc>
      </w:tr>
      <w:tr>
        <w:tc>
          <w:tcPr>
            <w:tcW w:type="dxa" w:w="2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เคยใช้ฉลาก (3 ข้อ)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เคย ทั้ง 3 ข้อ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 (MAX)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กลุ่ม C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2.1-2.5 (เต็ม 10)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0+0+0+2+1+1 = 4.00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3.1 ความรู้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100 ≠ 2000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3.2 susceptibility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เห็นด้วย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กลุ่ม D</w:t>
            </w:r>
          </w:p>
        </w:tc>
      </w:tr>
      <w:tr>
        <w:tc>
          <w:tcPr>
            <w:tcW w:type="dxa" w:w="2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3.3 severity 1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เห็นด้วย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กลุ่ม 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3.4 severity 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เห็นด้วย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เฉลี่ย 3.3+3.4 = 0.5</w:t>
            </w:r>
          </w:p>
        </w:tc>
      </w:tr>
      <w:tr>
        <w:tc>
          <w:tcPr>
            <w:tcW w:type="dxa" w:w="2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3.5 benefits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เฉยๆ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กลุ่ม 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3.6 barriers 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เฉยๆ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กลุ่ม E</w:t>
            </w:r>
          </w:p>
        </w:tc>
      </w:tr>
      <w:tr>
        <w:tc>
          <w:tcPr>
            <w:tcW w:type="dxa" w:w="2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3.7 barriers 2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ไม่เห็นด้วยอย่างยิ่ง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กลุ่ม 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3.8 barriers 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ไม่เห็นด้วยอย่างยิ่ง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เฉลี่ย 3.6+3.7+3.8 = 0.67</w:t>
            </w:r>
          </w:p>
        </w:tc>
      </w:tr>
      <w:tr>
        <w:tc>
          <w:tcPr>
            <w:tcW w:type="dxa" w:w="2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3.9 selfefficacy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เห็นด้วย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กลุ่ม 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individual belief (เต็ม 10)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0.5+0+0.5+0.5+0.67 = 2.17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3.10 policy 1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เห็นด้วย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กลุ่ม 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3.11 policy 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เห็นด้วย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เฉลี่ย 3.10+3.11 = 0.5</w:t>
            </w:r>
          </w:p>
        </w:tc>
      </w:tr>
      <w:tr>
        <w:tc>
          <w:tcPr>
            <w:tcW w:type="dxa" w:w="2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3.12 cue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เห็นด้วย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ส่วนเสริม (ไม่รวมในผลรวมนี้)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3.13 social 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ไม่เห็นด้วยอย่างยิ่ง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กลุ่ม E</w:t>
            </w:r>
          </w:p>
        </w:tc>
      </w:tr>
      <w:tr>
        <w:tc>
          <w:tcPr>
            <w:tcW w:type="dxa" w:w="2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3.14 social 2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ใช่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เฉลี่ย 3.13+3.14 = 0.5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3.15 media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ใช่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กลุ่ม F</w:t>
            </w:r>
          </w:p>
        </w:tc>
      </w:tr>
      <w:tr>
        <w:tc>
          <w:tcPr>
            <w:tcW w:type="dxa" w:w="2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3.16 physical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ใช่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กลุ่ม F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environment factor (เต็ม 8)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1+1+0.5+0.5 = 3.00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ส่วนเสริม (3.1 + 3.12)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 + 0.5 = 0.50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all factor (เต็ม 22)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2.17+3.00+0.50 = 5.67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 all (เต็ม 32)</w:t>
            </w:r>
          </w:p>
        </w:tc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4.00 + 5.67 = 9.67</w:t>
            </w:r>
          </w:p>
        </w:tc>
        <w:tc>
          <w:tcPr>
            <w:tcW w:type="dxa" w:w="20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&lt; 19.2 → ไม่ผ่าน</w:t>
            </w:r>
          </w:p>
        </w:tc>
      </w:tr>
    </w:tbl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34E4A"/>
          <w:sz w:val="30"/>
          <w:szCs w:val="30"/>
        </w:rPr>
        <w:t xml:space="preserve">8. หมายเหตุสำคัญ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sz w:val="21"/>
          <w:szCs w:val="21"/>
        </w:rPr>
        <w:t xml:space="preserve">ตารางแปลงคะแนนต่อคำตอบ (ข้อ 5) และคำถามที่ผูกกับแต่ละ role สามารถตั้งค่าใหม่ได้ทุกปีงบประมาณที่หน้า "ตั้งค่าคะแนนความตระหนักรู้" - เอกสารนี้อธิบายค่าที่ตั้งไว้ ณ ปัจจุบันเท่านั้น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sz w:val="21"/>
          <w:szCs w:val="21"/>
        </w:rPr>
        <w:t xml:space="preserve">หากปีงบประมาณใดยังตั้งค่าคำถามไม่ครบทั้ง 26 ข้อ ข้อที่ยังไม่ได้ตั้งค่าจะถือว่าได้ 0 คะแนนในการคำนวณ (ระบบไม่ error แต่คะแนนรวมจะยังไม่สมบูรณ์)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sz w:val="21"/>
          <w:szCs w:val="21"/>
        </w:rPr>
        <w:t xml:space="preserve">หากปีงบประมาณเลือกใช้ "วิธีที่ 1: เลือกคำถามเฉพาะ" ในการตัดสินผ่าน/ไม่ผ่าน (แทน "วิธีที่ 2: คิดจากคะแนน") หน้าตั้งค่าคะแนนจะไม่สามารถใช้งานได้ และคะแนนตามเอกสารนี้จะไม่ถูกนำไปตัดสินผ่าน/ไม่ผ่านของปีนั้น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sz w:val="21"/>
          <w:szCs w:val="21"/>
        </w:rPr>
        <w:t xml:space="preserve">คำตอบที่ไม่ตรงกับตารางในข้อ 5 แม้แต่ตัวอักษรเดียว (เช่น เว้นวรรคต่างกัน) จะได้ 0 คะแนนเสมอ ไม่มีการเดาความหมายคำตอบ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2026-09-10T04:26:56.724Z</dcterms:created>
  <dcterms:modified xsi:type="dcterms:W3CDTF">2026-09-10T04:26:56.738Z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