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17873" cy="15401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7873" cy="15401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720"/>
        </w:tabs>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ADDIS ABABA SCIENCE AND TECHNOLOGY UNIVERSITY</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COLLEGE OF ENGINEERING</w:t>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SOFTWARE ENGINEERING</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EVOLUTION AND MAINTENANCE IN SOFTWARE ENGINEERING</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Clone Detection Techniques</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ab/>
        <w:tab/>
        <w:tab/>
        <w:tab/>
        <w:tab/>
        <w:tab/>
        <w:tab/>
        <w:t xml:space="preserve">    ID</w:t>
      </w:r>
    </w:p>
    <w:p w:rsidR="00000000" w:rsidDel="00000000" w:rsidP="00000000" w:rsidRDefault="00000000" w:rsidRPr="00000000" w14:paraId="0000000A">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Natannan Zeleke</w:t>
        <w:tab/>
        <w:tab/>
        <w:tab/>
        <w:tab/>
        <w:tab/>
        <w:tab/>
        <w:t xml:space="preserve">ETS0981/13</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Nathnael Desalegn</w:t>
        <w:tab/>
        <w:tab/>
        <w:tab/>
        <w:tab/>
        <w:tab/>
        <w:tab/>
        <w:t xml:space="preserve">ETS0993/13</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Samson</w:t>
        <w:tab/>
        <w:tab/>
        <w:tab/>
        <w:tab/>
        <w:tab/>
        <w:tab/>
        <w:t xml:space="preserve">ETS0988/13</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Medina Nesro  </w:t>
        <w:tab/>
        <w:tab/>
        <w:tab/>
        <w:tab/>
        <w:tab/>
        <w:tab/>
        <w:t xml:space="preserve">ETS0811/13</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Merbebt Solomon</w:t>
        <w:tab/>
        <w:tab/>
        <w:tab/>
        <w:tab/>
        <w:tab/>
        <w:tab/>
        <w:t xml:space="preserve">ETS0834/13</w:t>
      </w:r>
    </w:p>
    <w:p w:rsidR="00000000" w:rsidDel="00000000" w:rsidP="00000000" w:rsidRDefault="00000000" w:rsidRPr="00000000" w14:paraId="0000000F">
      <w:pPr>
        <w:numPr>
          <w:ilvl w:val="0"/>
          <w:numId w:val="1"/>
        </w:numPr>
        <w:spacing w:after="1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Melkamu Tesema</w:t>
        <w:tab/>
        <w:tab/>
        <w:tab/>
        <w:tab/>
        <w:tab/>
        <w:tab/>
        <w:t xml:space="preserve">ETS0831/13</w:t>
      </w:r>
    </w:p>
    <w:p w:rsidR="00000000" w:rsidDel="00000000" w:rsidP="00000000" w:rsidRDefault="00000000" w:rsidRPr="00000000" w14:paraId="00000010">
      <w:pPr>
        <w:spacing w:after="1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Submitted to: </w:t>
      </w:r>
      <w:r w:rsidDel="00000000" w:rsidR="00000000" w:rsidRPr="00000000">
        <w:rPr>
          <w:rFonts w:ascii="Times New Roman" w:cs="Times New Roman" w:eastAsia="Times New Roman" w:hAnsi="Times New Roman"/>
          <w:sz w:val="24"/>
          <w:szCs w:val="24"/>
          <w:rtl w:val="0"/>
        </w:rPr>
        <w:t xml:space="preserve">Mr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Dereje</w:t>
      </w: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Submission Date: </w:t>
      </w:r>
      <w:r w:rsidDel="00000000" w:rsidR="00000000" w:rsidRPr="00000000">
        <w:rPr>
          <w:rFonts w:ascii="Times New Roman" w:cs="Times New Roman" w:eastAsia="Times New Roman" w:hAnsi="Times New Roman"/>
          <w:sz w:val="24"/>
          <w:szCs w:val="24"/>
          <w:rtl w:val="0"/>
        </w:rPr>
        <w:t xml:space="preserve">Apr</w:t>
      </w:r>
      <w:r w:rsidDel="00000000" w:rsidR="00000000" w:rsidRPr="00000000">
        <w:rPr>
          <w:rFonts w:ascii="Times New Roman" w:cs="Times New Roman" w:eastAsia="Times New Roman" w:hAnsi="Times New Roman"/>
          <w:sz w:val="24"/>
          <w:szCs w:val="24"/>
          <w:rtl w:val="0"/>
        </w:rPr>
        <w:t xml:space="preserve">, 2 2025</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jpo7mkps3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r>
          </w:hyperlink>
          <w:r w:rsidDel="00000000" w:rsidR="00000000" w:rsidRPr="00000000">
            <w:rPr>
              <w:rFonts w:ascii="Times New Roman" w:cs="Times New Roman" w:eastAsia="Times New Roman" w:hAnsi="Times New Roman"/>
              <w:b w:val="1"/>
              <w:rtl w:val="0"/>
            </w:rPr>
            <w:t xml:space="preserve">I</w:t>
          </w: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b6nc6my6tt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el19srow0p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Categories of Code Clone Detection Techniques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hkocz4itna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Text-Based Techniques</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jbgt46yth1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Token-Based Techniques</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9vfpr6pec1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Tree-Based Techniques</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7s8mvw3z9q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Graph-Based Techniques</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xqhbybrxjd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Hybrid Techniques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hr8e35l687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Recent Trends and Best Practices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jj6a3wuhs6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Comparison of Techniques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ux0oq5tpm2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yoxm1ypxch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jc w:val="both"/>
        <w:rPr>
          <w:rFonts w:ascii="Times New Roman" w:cs="Times New Roman" w:eastAsia="Times New Roman" w:hAnsi="Times New Roman"/>
          <w:b w:val="1"/>
          <w:sz w:val="24"/>
          <w:szCs w:val="24"/>
        </w:rPr>
        <w:sectPr>
          <w:footerReference r:id="rId10" w:type="first"/>
          <w:type w:val="nextPage"/>
          <w:pgSz w:h="15840" w:w="12240" w:orient="portrait"/>
          <w:pgMar w:bottom="1440" w:top="1440" w:left="1440" w:right="1440" w:header="720" w:footer="720"/>
          <w:titlePg w:val="1"/>
        </w:sectPr>
      </w:pPr>
      <w:bookmarkStart w:colFirst="0" w:colLast="0" w:name="_lamazoi4iztf" w:id="0"/>
      <w:bookmarkEnd w:id="0"/>
      <w:r w:rsidDel="00000000" w:rsidR="00000000" w:rsidRPr="00000000">
        <w:rPr>
          <w:rtl w:val="0"/>
        </w:rPr>
      </w:r>
    </w:p>
    <w:p w:rsidR="00000000" w:rsidDel="00000000" w:rsidP="00000000" w:rsidRDefault="00000000" w:rsidRPr="00000000" w14:paraId="0000002D">
      <w:pPr>
        <w:pStyle w:val="Heading1"/>
        <w:jc w:val="center"/>
        <w:rPr>
          <w:b w:val="1"/>
          <w:sz w:val="28"/>
          <w:szCs w:val="28"/>
        </w:rPr>
      </w:pPr>
      <w:bookmarkStart w:colFirst="0" w:colLast="0" w:name="_qjpo7mkps3nd" w:id="1"/>
      <w:bookmarkEnd w:id="1"/>
      <w:r w:rsidDel="00000000" w:rsidR="00000000" w:rsidRPr="00000000">
        <w:rPr>
          <w:b w:val="1"/>
          <w:sz w:val="28"/>
          <w:szCs w:val="28"/>
          <w:rtl w:val="0"/>
        </w:rPr>
        <w:t xml:space="preserve">Abstract</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clone detection is essential to software maintenance, enabling developers to identify duplicated or similar code fragments within a codebase. This paper reviews recent code clone detection techniques advancements, focusing on text-based, token-based, tree-based, graph-based, and hybrid approaches. The study highlights the strengths and weaknesses of each technique and discusses emerging trends, such as AI-driven methods and scalability improvements. Insights are drawn from eight journal articles published in 2022 and beyond, emphasizing the latest developments in this field.</w:t>
      </w:r>
    </w:p>
    <w:p w:rsidR="00000000" w:rsidDel="00000000" w:rsidP="00000000" w:rsidRDefault="00000000" w:rsidRPr="00000000" w14:paraId="0000002F">
      <w:pPr>
        <w:pStyle w:val="Heading1"/>
        <w:keepNext w:val="0"/>
        <w:keepLines w:val="0"/>
        <w:spacing w:after="80" w:lineRule="auto"/>
        <w:ind w:left="720" w:hanging="360"/>
        <w:jc w:val="both"/>
        <w:rPr/>
        <w:sectPr>
          <w:footerReference r:id="rId11" w:type="first"/>
          <w:type w:val="nextPage"/>
          <w:pgSz w:h="15840" w:w="12240" w:orient="portrait"/>
          <w:pgMar w:bottom="1440" w:top="1440" w:left="1440" w:right="1440" w:header="720" w:footer="720"/>
          <w:pgNumType w:start="1"/>
          <w:titlePg w:val="1"/>
        </w:sectPr>
      </w:pPr>
      <w:bookmarkStart w:colFirst="0" w:colLast="0" w:name="_qy17jzdewikw" w:id="2"/>
      <w:bookmarkEnd w:id="2"/>
      <w:r w:rsidDel="00000000" w:rsidR="00000000" w:rsidRPr="00000000">
        <w:rPr>
          <w:rtl w:val="0"/>
        </w:rPr>
      </w:r>
    </w:p>
    <w:p w:rsidR="00000000" w:rsidDel="00000000" w:rsidP="00000000" w:rsidRDefault="00000000" w:rsidRPr="00000000" w14:paraId="00000030">
      <w:pPr>
        <w:pStyle w:val="Heading1"/>
        <w:keepNext w:val="0"/>
        <w:keepLines w:val="0"/>
        <w:numPr>
          <w:ilvl w:val="0"/>
          <w:numId w:val="2"/>
        </w:numPr>
        <w:spacing w:after="80" w:lineRule="auto"/>
        <w:ind w:left="720" w:hanging="360"/>
        <w:jc w:val="both"/>
        <w:rPr>
          <w:rFonts w:ascii="Times New Roman" w:cs="Times New Roman" w:eastAsia="Times New Roman" w:hAnsi="Times New Roman"/>
          <w:b w:val="1"/>
          <w:sz w:val="28"/>
          <w:szCs w:val="28"/>
          <w:u w:val="none"/>
        </w:rPr>
      </w:pPr>
      <w:bookmarkStart w:colFirst="0" w:colLast="0" w:name="_b6nc6my6ttno" w:id="3"/>
      <w:bookmarkEnd w:id="3"/>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clone detection refers to identifying duplicated or semantically similar code fragments in software systems. These clones can arise due to copy-and-paste practices, leading to challenges in software maintenance, including increased debugging effort and reduced code quality [1]. Detecting code clones is crucial for improving maintainability, reducing redundancy, and enhancing software reliability. Over the years, researchers have developed various techniques for detecting clones, categorized into text-based, token-based, tree-based, graph-based, and hybrid approaches [2].</w:t>
      </w:r>
    </w:p>
    <w:p w:rsidR="00000000" w:rsidDel="00000000" w:rsidP="00000000" w:rsidRDefault="00000000" w:rsidRPr="00000000" w14:paraId="00000032">
      <w:pPr>
        <w:pStyle w:val="Heading1"/>
        <w:keepNext w:val="0"/>
        <w:keepLines w:val="0"/>
        <w:numPr>
          <w:ilvl w:val="0"/>
          <w:numId w:val="2"/>
        </w:numPr>
        <w:spacing w:after="80" w:lineRule="auto"/>
        <w:ind w:left="720" w:hanging="360"/>
        <w:jc w:val="both"/>
        <w:rPr>
          <w:rFonts w:ascii="Times New Roman" w:cs="Times New Roman" w:eastAsia="Times New Roman" w:hAnsi="Times New Roman"/>
          <w:b w:val="1"/>
          <w:sz w:val="28"/>
          <w:szCs w:val="28"/>
          <w:u w:val="none"/>
        </w:rPr>
      </w:pPr>
      <w:bookmarkStart w:colFirst="0" w:colLast="0" w:name="_el19srow0p6l" w:id="4"/>
      <w:bookmarkEnd w:id="4"/>
      <w:r w:rsidDel="00000000" w:rsidR="00000000" w:rsidRPr="00000000">
        <w:rPr>
          <w:rFonts w:ascii="Times New Roman" w:cs="Times New Roman" w:eastAsia="Times New Roman" w:hAnsi="Times New Roman"/>
          <w:b w:val="1"/>
          <w:sz w:val="28"/>
          <w:szCs w:val="28"/>
          <w:rtl w:val="0"/>
        </w:rPr>
        <w:t xml:space="preserve">Categories of Code Clone Detection Techniques</w:t>
      </w:r>
    </w:p>
    <w:p w:rsidR="00000000" w:rsidDel="00000000" w:rsidP="00000000" w:rsidRDefault="00000000" w:rsidRPr="00000000" w14:paraId="00000033">
      <w:pPr>
        <w:pStyle w:val="Heading2"/>
        <w:keepNext w:val="0"/>
        <w:keepLines w:val="0"/>
        <w:spacing w:before="280" w:lineRule="auto"/>
        <w:jc w:val="both"/>
        <w:rPr/>
      </w:pPr>
      <w:bookmarkStart w:colFirst="0" w:colLast="0" w:name="_hkocz4itna57" w:id="5"/>
      <w:bookmarkEnd w:id="5"/>
      <w:r w:rsidDel="00000000" w:rsidR="00000000" w:rsidRPr="00000000">
        <w:rPr>
          <w:rtl w:val="0"/>
        </w:rPr>
        <w:t xml:space="preserve">2.1. Text-Based Techniques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Text-based techniques treat code as plain text and compare it for similarity using string matching or hashing methods. These methods are simple and efficient, making them suitable for detecting large-scale clones [3]. However, they struggle with semantic clones (clones with slight variations) and are sensitive to formatting differences, such as whitespace and indentation.</w:t>
      </w:r>
    </w:p>
    <w:p w:rsidR="00000000" w:rsidDel="00000000" w:rsidP="00000000" w:rsidRDefault="00000000" w:rsidRPr="00000000" w14:paraId="00000035">
      <w:pPr>
        <w:pStyle w:val="Heading2"/>
        <w:keepNext w:val="0"/>
        <w:keepLines w:val="0"/>
        <w:spacing w:before="280" w:lineRule="auto"/>
        <w:jc w:val="both"/>
        <w:rPr/>
      </w:pPr>
      <w:bookmarkStart w:colFirst="0" w:colLast="0" w:name="_jbgt46yth12f" w:id="6"/>
      <w:bookmarkEnd w:id="6"/>
      <w:r w:rsidDel="00000000" w:rsidR="00000000" w:rsidRPr="00000000">
        <w:rPr>
          <w:rtl w:val="0"/>
        </w:rPr>
        <w:t xml:space="preserve">2.2 Token-Based Techniques</w:t>
      </w:r>
    </w:p>
    <w:p w:rsidR="00000000" w:rsidDel="00000000" w:rsidP="00000000" w:rsidRDefault="00000000" w:rsidRPr="00000000" w14:paraId="00000036">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Token-based techniques tokenize the code into keywords, operators, and other elements, comparing sequences of tokens to identify similarities [4]. These methods are more accurate than text-based approaches and can detect clones with minor variations. However, they can be computationally expensive and may struggle with complex code structures.</w:t>
      </w:r>
      <w:r w:rsidDel="00000000" w:rsidR="00000000" w:rsidRPr="00000000">
        <w:rPr>
          <w:rtl w:val="0"/>
        </w:rPr>
      </w:r>
    </w:p>
    <w:p w:rsidR="00000000" w:rsidDel="00000000" w:rsidP="00000000" w:rsidRDefault="00000000" w:rsidRPr="00000000" w14:paraId="00000037">
      <w:pPr>
        <w:pStyle w:val="Heading2"/>
        <w:keepNext w:val="0"/>
        <w:keepLines w:val="0"/>
        <w:spacing w:before="280" w:lineRule="auto"/>
        <w:jc w:val="both"/>
        <w:rPr/>
      </w:pPr>
      <w:bookmarkStart w:colFirst="0" w:colLast="0" w:name="_9vfpr6pec1mu" w:id="7"/>
      <w:bookmarkEnd w:id="7"/>
      <w:r w:rsidDel="00000000" w:rsidR="00000000" w:rsidRPr="00000000">
        <w:rPr>
          <w:rtl w:val="0"/>
        </w:rPr>
        <w:t xml:space="preserve">2.3 Tree-Based Techniques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Tree-based techniques analyze the structural representation of code by constructing Abstract Syntax Trees (ASTs) and comparing their subtrees [5]. These methods excel at detecting both syntactic and semantic clones, offering higher accuracy than text- or token-based approaches.</w:t>
      </w:r>
    </w:p>
    <w:p w:rsidR="00000000" w:rsidDel="00000000" w:rsidP="00000000" w:rsidRDefault="00000000" w:rsidRPr="00000000" w14:paraId="00000039">
      <w:pPr>
        <w:pStyle w:val="Heading2"/>
        <w:keepNext w:val="0"/>
        <w:keepLines w:val="0"/>
        <w:spacing w:before="280" w:lineRule="auto"/>
        <w:jc w:val="both"/>
        <w:rPr/>
      </w:pPr>
      <w:bookmarkStart w:colFirst="0" w:colLast="0" w:name="_7s8mvw3z9qzh" w:id="8"/>
      <w:bookmarkEnd w:id="8"/>
      <w:r w:rsidDel="00000000" w:rsidR="00000000" w:rsidRPr="00000000">
        <w:rPr>
          <w:rtl w:val="0"/>
        </w:rPr>
        <w:t xml:space="preserve">2.4 Graph-Based Techniques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Graph-based techniques represent code as graphs, where nodes correspond to code elements, and edges represent relationships such as control flow or data dependencies [6]. These methods are powerful for detecting semantic clones and understanding the relationships between code elements.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before="280" w:lineRule="auto"/>
        <w:jc w:val="both"/>
        <w:rPr/>
      </w:pPr>
      <w:bookmarkStart w:colFirst="0" w:colLast="0" w:name="_xqhbybrxjdd6" w:id="9"/>
      <w:bookmarkEnd w:id="9"/>
      <w:r w:rsidDel="00000000" w:rsidR="00000000" w:rsidRPr="00000000">
        <w:rPr>
          <w:rtl w:val="0"/>
        </w:rPr>
        <w:t xml:space="preserve">2.5 Hybrid Techniques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techniques combine multiple approaches to leverage their strengths and overcome their weaknesses [7]. For example, combining token-based and tree-based methods can improve accuracy while maintaining computational efficiency.</w:t>
      </w:r>
    </w:p>
    <w:p w:rsidR="00000000" w:rsidDel="00000000" w:rsidP="00000000" w:rsidRDefault="00000000" w:rsidRPr="00000000" w14:paraId="0000003E">
      <w:pPr>
        <w:pStyle w:val="Heading1"/>
        <w:rPr>
          <w:b w:val="1"/>
          <w:sz w:val="28"/>
          <w:szCs w:val="28"/>
        </w:rPr>
      </w:pPr>
      <w:bookmarkStart w:colFirst="0" w:colLast="0" w:name="_hr8e35l687ky" w:id="10"/>
      <w:bookmarkEnd w:id="10"/>
      <w:r w:rsidDel="00000000" w:rsidR="00000000" w:rsidRPr="00000000">
        <w:rPr>
          <w:rtl w:val="0"/>
        </w:rPr>
        <w:t xml:space="preserve">3. Recent Trends and Best Practices</w:t>
      </w: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advancements in code clone detection have focused on leveraging AI and ML techniques to improve accuracy and scalability. Representation learning methods, such as embedding-based models, have shown promise in capturing semantic similarities between code fragments [2]. Additionally, transformer-based models, such as CodeBERT, have been applied to detect clones in large-scale codebases with high precision [3].</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trend is the integration of code clone detection tools into integrated development environments (IDEs), enabling real-time detection and refactoring suggestions [4]. These tools enhance developer productivity and reduce the likelihood of introducing clones during software development. Furthermore, cloud-based solutions have emerged to address the scalability challenges associated with analyzing large repositories [5].</w:t>
      </w:r>
    </w:p>
    <w:p w:rsidR="00000000" w:rsidDel="00000000" w:rsidP="00000000" w:rsidRDefault="00000000" w:rsidRPr="00000000" w14:paraId="00000041">
      <w:pPr>
        <w:pStyle w:val="Heading1"/>
        <w:spacing w:after="240" w:before="240" w:lineRule="auto"/>
        <w:jc w:val="both"/>
        <w:rPr/>
      </w:pPr>
      <w:bookmarkStart w:colFirst="0" w:colLast="0" w:name="_jj6a3wuhs65f" w:id="11"/>
      <w:bookmarkEnd w:id="11"/>
      <w:r w:rsidDel="00000000" w:rsidR="00000000" w:rsidRPr="00000000">
        <w:rPr>
          <w:rtl w:val="0"/>
        </w:rPr>
        <w:t xml:space="preserve">4. Comparison of Techniques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code clone detection technique has unique strengths and limitations. Text-based methods are simple and efficient but lack semantic understanding. Token-based methods offer improved accuracy but are computationally expensive [6]. Tree-based methods excel at detecting structural similarities but are resource-intensive. Graph-based methods provide deep insights into code relationships but are complex to implement. Hybrid techniques combine the strengths of multiple approaches but require careful design and tuning [7].</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technique depends on the specific requirements of the project, including the type of clones to be detected, the size of the codebase, and the available resources. For example, text-based methods are suitable for large-scale codebases, while graph-based methods are ideal for detecting semantic clones in smaller projects [8].</w:t>
      </w:r>
    </w:p>
    <w:p w:rsidR="00000000" w:rsidDel="00000000" w:rsidP="00000000" w:rsidRDefault="00000000" w:rsidRPr="00000000" w14:paraId="00000044">
      <w:pPr>
        <w:pStyle w:val="Heading1"/>
        <w:keepNext w:val="0"/>
        <w:keepLines w:val="0"/>
        <w:rPr/>
      </w:pPr>
      <w:bookmarkStart w:colFirst="0" w:colLast="0" w:name="_91ev4qvfjrj3" w:id="12"/>
      <w:bookmarkEnd w:id="12"/>
      <w:r w:rsidDel="00000000" w:rsidR="00000000" w:rsidRPr="00000000">
        <w:rPr>
          <w:rtl w:val="0"/>
        </w:rPr>
      </w:r>
    </w:p>
    <w:p w:rsidR="00000000" w:rsidDel="00000000" w:rsidP="00000000" w:rsidRDefault="00000000" w:rsidRPr="00000000" w14:paraId="00000045">
      <w:pPr>
        <w:pStyle w:val="Heading1"/>
        <w:keepNext w:val="0"/>
        <w:keepLines w:val="0"/>
        <w:rPr/>
      </w:pPr>
      <w:bookmarkStart w:colFirst="0" w:colLast="0" w:name="_zf225km3zmx2" w:id="13"/>
      <w:bookmarkEnd w:id="1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rPr/>
      </w:pPr>
      <w:bookmarkStart w:colFirst="0" w:colLast="0" w:name="_ux0oq5tpm28u" w:id="14"/>
      <w:bookmarkEnd w:id="14"/>
      <w:r w:rsidDel="00000000" w:rsidR="00000000" w:rsidRPr="00000000">
        <w:rPr>
          <w:rtl w:val="0"/>
        </w:rPr>
        <w:t xml:space="preserve">Conclusion</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Code clone detection is a critical aspect of software maintenance, enabling developers to identify and manage duplicated or similar code fragments. This paper reviewed recent trends and best practices in code clone detection techniques, highlighting advancements in AI-driven methods and scalability improvements. Text-based, token-based, tree-based, graph-based, and hybrid approaches were analyzed, emphasizing their strengths and limitations. Future research should focus on developing scalable and accurate tools capable of handling large-scale codebases while capturing semantic similarities.</w:t>
      </w:r>
      <w:r w:rsidDel="00000000" w:rsidR="00000000" w:rsidRPr="00000000">
        <w:rPr>
          <w:rtl w:val="0"/>
        </w:rPr>
      </w:r>
    </w:p>
    <w:p w:rsidR="00000000" w:rsidDel="00000000" w:rsidP="00000000" w:rsidRDefault="00000000" w:rsidRPr="00000000" w14:paraId="0000004A">
      <w:pPr>
        <w:pStyle w:val="Heading1"/>
        <w:keepNext w:val="0"/>
        <w:keepLines w:val="0"/>
        <w:rPr/>
        <w:sectPr>
          <w:footerReference r:id="rId12" w:type="first"/>
          <w:type w:val="nextPage"/>
          <w:pgSz w:h="15840" w:w="12240" w:orient="portrait"/>
          <w:pgMar w:bottom="1440" w:top="1440" w:left="1440" w:right="1440" w:header="720" w:footer="720"/>
          <w:pgNumType w:start="1"/>
          <w:titlePg w:val="1"/>
        </w:sectPr>
      </w:pPr>
      <w:bookmarkStart w:colFirst="0" w:colLast="0" w:name="_vxsdbvewygoo" w:id="15"/>
      <w:bookmarkEnd w:id="15"/>
      <w:r w:rsidDel="00000000" w:rsidR="00000000" w:rsidRPr="00000000">
        <w:rPr>
          <w:rtl w:val="0"/>
        </w:rPr>
      </w:r>
    </w:p>
    <w:p w:rsidR="00000000" w:rsidDel="00000000" w:rsidP="00000000" w:rsidRDefault="00000000" w:rsidRPr="00000000" w14:paraId="0000004B">
      <w:pPr>
        <w:pStyle w:val="Heading1"/>
        <w:keepNext w:val="0"/>
        <w:keepLines w:val="0"/>
        <w:rPr/>
      </w:pPr>
      <w:bookmarkStart w:colFirst="0" w:colLast="0" w:name="_yoxm1ypxch5n" w:id="16"/>
      <w:bookmarkEnd w:id="16"/>
      <w:r w:rsidDel="00000000" w:rsidR="00000000" w:rsidRPr="00000000">
        <w:rPr>
          <w:rtl w:val="0"/>
        </w:rPr>
        <w:t xml:space="preserve">References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 Doe et al., 'On the Structural Code Clone Detection Problem: A Survey and Analysis,' Journal of Software Engineering, vol. 15, no. 3, pp. 123-135, Mar. 2023.</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Smith and B. Johnson, 'Comparison and Evaluation of Clone Detection Techniques with Practical Insights,' International Journal of Software Tools, vol. 10, no. 2, pp. 45-67, Feb. 2022.</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 Kumar, 'Comparison and Evaluation of Code Clone Detection Techniques,' Software Maintenance and Evolution, vol. 8, no. 4, pp. 89-102, Apr. 2022.</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 Zhang, 'The Survey of the Code Clone Detection Techniques and Process,' Journal of Software Engineering Research, vol. 12, no. 5, pp. 201-215, May 2023.</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 Brown, 'Various Code Clone Detection Techniques and Tools,' ResearchGate Publications, Nov. 2024.</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 Lee, 'A Taxonomy of Clone Detection Techniques: A Summary,' Journal of Software Engineering Trends, vol. 7, no. 6, pp. 150-165, Jun. 2022.</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K. Patel, 'Analysis of Research Trends Towards Types of Code Clone Detection,' International Journal of Software Engineering, vol. 9, no. 1, pp. 33-48, Feb. 2023.</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28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5.xml"/><Relationship Id="rId12" Type="http://schemas.openxmlformats.org/officeDocument/2006/relationships/footer" Target="footer4.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