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3CE2E">
      <w:pPr>
        <w:spacing w:before="161" w:line="226" w:lineRule="auto"/>
        <w:ind w:left="336"/>
        <w:rPr>
          <w:rFonts w:ascii="黑体" w:hAnsi="黑体" w:eastAsia="黑体" w:cs="黑体"/>
          <w:sz w:val="31"/>
          <w:szCs w:val="31"/>
        </w:rPr>
      </w:pPr>
      <w:bookmarkStart w:id="0" w:name="_GoBack"/>
      <w:bookmarkEnd w:id="0"/>
      <w:r>
        <w:rPr>
          <w:rFonts w:ascii="黑体" w:hAnsi="黑体" w:eastAsia="黑体" w:cs="黑体"/>
          <w:b/>
          <w:bCs/>
          <w:spacing w:val="5"/>
          <w:sz w:val="31"/>
          <w:szCs w:val="31"/>
        </w:rPr>
        <w:t>河南大学</w:t>
      </w:r>
      <w:r>
        <w:rPr>
          <w:rFonts w:ascii="黑体" w:hAnsi="黑体" w:eastAsia="黑体" w:cs="黑体"/>
          <w:spacing w:val="-49"/>
          <w:sz w:val="31"/>
          <w:szCs w:val="31"/>
        </w:rPr>
        <w:t xml:space="preserve"> </w:t>
      </w:r>
      <w:r>
        <w:rPr>
          <w:rFonts w:ascii="黑体" w:hAnsi="黑体" w:eastAsia="黑体" w:cs="黑体"/>
          <w:b/>
          <w:bCs/>
          <w:spacing w:val="5"/>
          <w:sz w:val="31"/>
          <w:szCs w:val="31"/>
        </w:rPr>
        <w:t>2025</w:t>
      </w:r>
      <w:r>
        <w:rPr>
          <w:rFonts w:ascii="黑体" w:hAnsi="黑体" w:eastAsia="黑体" w:cs="黑体"/>
          <w:spacing w:val="-59"/>
          <w:sz w:val="31"/>
          <w:szCs w:val="31"/>
        </w:rPr>
        <w:t xml:space="preserve"> </w:t>
      </w:r>
      <w:r>
        <w:rPr>
          <w:rFonts w:ascii="黑体" w:hAnsi="黑体" w:eastAsia="黑体" w:cs="黑体"/>
          <w:b/>
          <w:bCs/>
          <w:spacing w:val="5"/>
          <w:sz w:val="31"/>
          <w:szCs w:val="31"/>
        </w:rPr>
        <w:t>届本科生毕业论文（设计、创作）开题报告</w:t>
      </w:r>
    </w:p>
    <w:p w14:paraId="7B1226A1">
      <w:pPr>
        <w:spacing w:before="202"/>
      </w:pPr>
    </w:p>
    <w:tbl>
      <w:tblPr>
        <w:tblStyle w:val="4"/>
        <w:tblW w:w="8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68"/>
        <w:gridCol w:w="2588"/>
        <w:gridCol w:w="1379"/>
        <w:gridCol w:w="3402"/>
      </w:tblGrid>
      <w:tr w14:paraId="2F9F23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568" w:type="dxa"/>
            <w:vAlign w:val="top"/>
          </w:tcPr>
          <w:p w14:paraId="39F655C9">
            <w:pPr>
              <w:spacing w:before="50" w:line="232" w:lineRule="auto"/>
              <w:ind w:left="260" w:right="182" w:hanging="103"/>
              <w:rPr>
                <w:rFonts w:ascii="黑体" w:hAnsi="黑体" w:eastAsia="黑体" w:cs="黑体"/>
                <w:sz w:val="20"/>
                <w:szCs w:val="20"/>
              </w:rPr>
            </w:pPr>
            <w:r>
              <w:rPr>
                <w:rFonts w:ascii="黑体" w:hAnsi="黑体" w:eastAsia="黑体" w:cs="黑体"/>
                <w:b/>
                <w:bCs/>
                <w:spacing w:val="1"/>
                <w:sz w:val="20"/>
                <w:szCs w:val="20"/>
              </w:rPr>
              <w:t>论文（设计、</w:t>
            </w:r>
            <w:r>
              <w:rPr>
                <w:rFonts w:ascii="黑体" w:hAnsi="黑体" w:eastAsia="黑体" w:cs="黑体"/>
                <w:b/>
                <w:bCs/>
                <w:spacing w:val="7"/>
                <w:sz w:val="20"/>
                <w:szCs w:val="20"/>
              </w:rPr>
              <w:t>创作）题目</w:t>
            </w:r>
          </w:p>
        </w:tc>
        <w:tc>
          <w:tcPr>
            <w:tcW w:w="7369" w:type="dxa"/>
            <w:gridSpan w:val="3"/>
            <w:vAlign w:val="top"/>
          </w:tcPr>
          <w:p w14:paraId="3751ECE0">
            <w:pPr>
              <w:pStyle w:val="5"/>
              <w:spacing w:before="163" w:line="219" w:lineRule="auto"/>
              <w:ind w:left="1109"/>
              <w:rPr>
                <w:sz w:val="24"/>
                <w:szCs w:val="24"/>
              </w:rPr>
            </w:pPr>
            <w:r>
              <w:rPr>
                <w:rFonts w:hint="eastAsia"/>
                <w:sz w:val="24"/>
                <w:szCs w:val="24"/>
              </w:rPr>
              <w:t>基于多模态大语言模型的图像安全自动化审核系统</w:t>
            </w:r>
          </w:p>
        </w:tc>
      </w:tr>
      <w:tr w14:paraId="069AED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568" w:type="dxa"/>
            <w:vAlign w:val="top"/>
          </w:tcPr>
          <w:p w14:paraId="291E43D3">
            <w:pPr>
              <w:spacing w:before="159" w:line="229" w:lineRule="auto"/>
              <w:ind w:left="370"/>
              <w:rPr>
                <w:rFonts w:ascii="黑体" w:hAnsi="黑体" w:eastAsia="黑体" w:cs="黑体"/>
                <w:sz w:val="20"/>
                <w:szCs w:val="20"/>
              </w:rPr>
            </w:pPr>
            <w:r>
              <w:rPr>
                <w:rFonts w:ascii="黑体" w:hAnsi="黑体" w:eastAsia="黑体" w:cs="黑体"/>
                <w:b/>
                <w:bCs/>
                <w:spacing w:val="5"/>
                <w:sz w:val="20"/>
                <w:szCs w:val="20"/>
              </w:rPr>
              <w:t>所在学院</w:t>
            </w:r>
          </w:p>
        </w:tc>
        <w:tc>
          <w:tcPr>
            <w:tcW w:w="2588" w:type="dxa"/>
            <w:vAlign w:val="top"/>
          </w:tcPr>
          <w:p w14:paraId="1829FEB2">
            <w:pPr>
              <w:pStyle w:val="5"/>
              <w:spacing w:before="144" w:line="219" w:lineRule="auto"/>
              <w:ind w:left="822"/>
              <w:rPr>
                <w:sz w:val="24"/>
                <w:szCs w:val="24"/>
              </w:rPr>
            </w:pPr>
            <w:r>
              <w:rPr>
                <w:spacing w:val="-4"/>
                <w:sz w:val="24"/>
                <w:szCs w:val="24"/>
              </w:rPr>
              <w:t>软件学院</w:t>
            </w:r>
          </w:p>
        </w:tc>
        <w:tc>
          <w:tcPr>
            <w:tcW w:w="1379" w:type="dxa"/>
            <w:vAlign w:val="top"/>
          </w:tcPr>
          <w:p w14:paraId="183B6B79">
            <w:pPr>
              <w:spacing w:before="159" w:line="232" w:lineRule="auto"/>
              <w:ind w:left="384"/>
              <w:rPr>
                <w:rFonts w:ascii="黑体" w:hAnsi="黑体" w:eastAsia="黑体" w:cs="黑体"/>
                <w:sz w:val="20"/>
                <w:szCs w:val="20"/>
              </w:rPr>
            </w:pPr>
            <w:r>
              <w:rPr>
                <w:rFonts w:ascii="黑体" w:hAnsi="黑体" w:eastAsia="黑体" w:cs="黑体"/>
                <w:b/>
                <w:bCs/>
                <w:spacing w:val="-4"/>
                <w:sz w:val="20"/>
                <w:szCs w:val="20"/>
              </w:rPr>
              <w:t>专</w:t>
            </w:r>
            <w:r>
              <w:rPr>
                <w:rFonts w:ascii="黑体" w:hAnsi="黑体" w:eastAsia="黑体" w:cs="黑体"/>
                <w:spacing w:val="10"/>
                <w:sz w:val="20"/>
                <w:szCs w:val="20"/>
              </w:rPr>
              <w:t xml:space="preserve">  </w:t>
            </w:r>
            <w:r>
              <w:rPr>
                <w:rFonts w:ascii="黑体" w:hAnsi="黑体" w:eastAsia="黑体" w:cs="黑体"/>
                <w:b/>
                <w:bCs/>
                <w:spacing w:val="-4"/>
                <w:sz w:val="20"/>
                <w:szCs w:val="20"/>
              </w:rPr>
              <w:t>业</w:t>
            </w:r>
          </w:p>
        </w:tc>
        <w:tc>
          <w:tcPr>
            <w:tcW w:w="3402" w:type="dxa"/>
            <w:vAlign w:val="top"/>
          </w:tcPr>
          <w:p w14:paraId="569F7B97">
            <w:pPr>
              <w:pStyle w:val="5"/>
              <w:spacing w:before="144" w:line="219" w:lineRule="auto"/>
              <w:ind w:left="1230"/>
              <w:rPr>
                <w:sz w:val="24"/>
                <w:szCs w:val="24"/>
              </w:rPr>
            </w:pPr>
            <w:r>
              <w:rPr>
                <w:spacing w:val="-4"/>
                <w:sz w:val="24"/>
                <w:szCs w:val="24"/>
              </w:rPr>
              <w:t>软件工程</w:t>
            </w:r>
          </w:p>
        </w:tc>
      </w:tr>
      <w:tr w14:paraId="5C9322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5" w:hRule="atLeast"/>
        </w:trPr>
        <w:tc>
          <w:tcPr>
            <w:tcW w:w="1568" w:type="dxa"/>
            <w:vAlign w:val="top"/>
          </w:tcPr>
          <w:p w14:paraId="4CD759D3">
            <w:pPr>
              <w:spacing w:before="161" w:line="229" w:lineRule="auto"/>
              <w:ind w:left="374"/>
              <w:rPr>
                <w:rFonts w:ascii="黑体" w:hAnsi="黑体" w:eastAsia="黑体" w:cs="黑体"/>
                <w:sz w:val="20"/>
                <w:szCs w:val="20"/>
              </w:rPr>
            </w:pPr>
            <w:r>
              <w:rPr>
                <w:rFonts w:ascii="黑体" w:hAnsi="黑体" w:eastAsia="黑体" w:cs="黑体"/>
                <w:b/>
                <w:bCs/>
                <w:spacing w:val="4"/>
                <w:sz w:val="20"/>
                <w:szCs w:val="20"/>
              </w:rPr>
              <w:t>学生姓名</w:t>
            </w:r>
          </w:p>
        </w:tc>
        <w:tc>
          <w:tcPr>
            <w:tcW w:w="2588" w:type="dxa"/>
            <w:vAlign w:val="top"/>
          </w:tcPr>
          <w:p w14:paraId="7BE1A1C1">
            <w:pPr>
              <w:pStyle w:val="5"/>
              <w:spacing w:before="146" w:line="335" w:lineRule="exact"/>
              <w:ind w:left="938"/>
              <w:rPr>
                <w:rFonts w:hint="eastAsia" w:eastAsia="宋体"/>
                <w:sz w:val="24"/>
                <w:szCs w:val="24"/>
                <w:lang w:eastAsia="zh-CN"/>
              </w:rPr>
            </w:pPr>
            <w:r>
              <w:rPr>
                <w:rFonts w:hint="eastAsia"/>
                <w:spacing w:val="-3"/>
                <w:position w:val="1"/>
                <w:sz w:val="24"/>
                <w:szCs w:val="24"/>
                <w:lang w:val="en-US" w:eastAsia="zh-CN"/>
              </w:rPr>
              <w:t>张睿哲</w:t>
            </w:r>
          </w:p>
        </w:tc>
        <w:tc>
          <w:tcPr>
            <w:tcW w:w="1379" w:type="dxa"/>
            <w:vAlign w:val="top"/>
          </w:tcPr>
          <w:p w14:paraId="58D9EE6B">
            <w:pPr>
              <w:spacing w:before="161" w:line="229" w:lineRule="auto"/>
              <w:ind w:left="386"/>
              <w:rPr>
                <w:rFonts w:ascii="黑体" w:hAnsi="黑体" w:eastAsia="黑体" w:cs="黑体"/>
                <w:sz w:val="20"/>
                <w:szCs w:val="20"/>
              </w:rPr>
            </w:pPr>
            <w:r>
              <w:rPr>
                <w:rFonts w:ascii="黑体" w:hAnsi="黑体" w:eastAsia="黑体" w:cs="黑体"/>
                <w:b/>
                <w:bCs/>
                <w:spacing w:val="-5"/>
                <w:sz w:val="20"/>
                <w:szCs w:val="20"/>
              </w:rPr>
              <w:t>学</w:t>
            </w:r>
            <w:r>
              <w:rPr>
                <w:rFonts w:ascii="黑体" w:hAnsi="黑体" w:eastAsia="黑体" w:cs="黑体"/>
                <w:spacing w:val="11"/>
                <w:sz w:val="20"/>
                <w:szCs w:val="20"/>
              </w:rPr>
              <w:t xml:space="preserve">  </w:t>
            </w:r>
            <w:r>
              <w:rPr>
                <w:rFonts w:ascii="黑体" w:hAnsi="黑体" w:eastAsia="黑体" w:cs="黑体"/>
                <w:b/>
                <w:bCs/>
                <w:spacing w:val="-5"/>
                <w:sz w:val="20"/>
                <w:szCs w:val="20"/>
              </w:rPr>
              <w:t>号</w:t>
            </w:r>
          </w:p>
        </w:tc>
        <w:tc>
          <w:tcPr>
            <w:tcW w:w="3402" w:type="dxa"/>
            <w:vAlign w:val="top"/>
          </w:tcPr>
          <w:p w14:paraId="39AC297D">
            <w:pPr>
              <w:pStyle w:val="5"/>
              <w:spacing w:before="146" w:line="335" w:lineRule="exact"/>
              <w:ind w:left="1106"/>
              <w:rPr>
                <w:rFonts w:hint="default" w:eastAsia="宋体"/>
                <w:sz w:val="24"/>
                <w:szCs w:val="24"/>
                <w:lang w:val="en-US" w:eastAsia="zh-CN"/>
              </w:rPr>
            </w:pPr>
            <w:r>
              <w:rPr>
                <w:rFonts w:hint="eastAsia"/>
                <w:spacing w:val="-2"/>
                <w:position w:val="1"/>
                <w:sz w:val="24"/>
                <w:szCs w:val="24"/>
                <w:lang w:val="en-US" w:eastAsia="zh-CN"/>
              </w:rPr>
              <w:t>2225050178</w:t>
            </w:r>
          </w:p>
        </w:tc>
      </w:tr>
      <w:tr w14:paraId="016BD4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4" w:hRule="atLeast"/>
        </w:trPr>
        <w:tc>
          <w:tcPr>
            <w:tcW w:w="8937" w:type="dxa"/>
            <w:gridSpan w:val="4"/>
            <w:vAlign w:val="top"/>
          </w:tcPr>
          <w:p w14:paraId="39479C42">
            <w:pPr>
              <w:spacing w:before="62" w:line="229" w:lineRule="auto"/>
              <w:ind w:left="118"/>
              <w:rPr>
                <w:rFonts w:ascii="黑体" w:hAnsi="黑体" w:eastAsia="黑体" w:cs="黑体"/>
                <w:sz w:val="20"/>
                <w:szCs w:val="20"/>
              </w:rPr>
            </w:pPr>
            <w:r>
              <w:rPr>
                <w:rFonts w:ascii="黑体" w:hAnsi="黑体" w:eastAsia="黑体" w:cs="黑体"/>
                <w:b/>
                <w:bCs/>
                <w:spacing w:val="7"/>
                <w:sz w:val="20"/>
                <w:szCs w:val="20"/>
              </w:rPr>
              <w:t>一、本课题研究意义</w:t>
            </w:r>
          </w:p>
          <w:p w14:paraId="59191235">
            <w:pPr>
              <w:pStyle w:val="5"/>
              <w:spacing w:before="86" w:line="287" w:lineRule="auto"/>
              <w:ind w:left="114" w:right="107" w:firstLine="437"/>
              <w:rPr>
                <w:spacing w:val="8"/>
              </w:rPr>
            </w:pPr>
            <w:r>
              <w:rPr>
                <w:rFonts w:ascii="Times New Roman" w:hAnsi="Times New Roman" w:eastAsia="Times New Roman" w:cs="Times New Roman"/>
                <w:spacing w:val="8"/>
              </w:rPr>
              <w:t>1.</w:t>
            </w:r>
            <w:r>
              <w:rPr>
                <w:rFonts w:hint="eastAsia"/>
                <w:spacing w:val="8"/>
              </w:rPr>
              <w:t>破解人工标注依赖难题，降低审核成本。现有图像安全审核方法普遍依赖大规模人工标注数据，不仅耗时耗力、成本高昂，还存在标注一致性差、难以适配动态更新的安全规则等问题。本课题提出的无人工标注方案，通过规则客观化与去偏推理机制，有效规避人工标注的局限性，为平台提供低成本、可扩展的审核解决方案。</w:t>
            </w:r>
          </w:p>
          <w:p w14:paraId="4FB94F86">
            <w:pPr>
              <w:pStyle w:val="5"/>
              <w:spacing w:before="87" w:line="266" w:lineRule="auto"/>
              <w:ind w:left="123" w:right="39" w:firstLine="408"/>
            </w:pPr>
            <w:r>
              <w:rPr>
                <w:rFonts w:ascii="Times New Roman" w:hAnsi="Times New Roman" w:eastAsia="Times New Roman" w:cs="Times New Roman"/>
                <w:spacing w:val="8"/>
              </w:rPr>
              <w:t>2.</w:t>
            </w:r>
            <w:r>
              <w:rPr>
                <w:rFonts w:hint="eastAsia"/>
                <w:spacing w:val="8"/>
              </w:rPr>
              <w:t>适配 AIGC 时代安全治理需求，筑牢内容防线。随着 AI 生成内容（AIGC）的快速普及，有害图像（如暴力、色情内容）的生成与传播门槛大幅降低，给网络内容安全带来严峻挑战。本课题的零样本审核能力可快速响应新型安全风险，无需重新训练模型即可适配更新后的安全规则，为社交平台、内容生成工具等提供实时、可靠的安全过滤机制，保障用户尤其是青少年的网络环境安全。</w:t>
            </w:r>
          </w:p>
          <w:p w14:paraId="0E7070BC">
            <w:pPr>
              <w:pStyle w:val="5"/>
              <w:spacing w:before="86" w:line="281" w:lineRule="auto"/>
              <w:ind w:left="117" w:right="107" w:firstLine="418"/>
              <w:rPr>
                <w:spacing w:val="12"/>
              </w:rPr>
            </w:pPr>
            <w:r>
              <w:rPr>
                <w:rFonts w:ascii="Times New Roman" w:hAnsi="Times New Roman" w:eastAsia="Times New Roman" w:cs="Times New Roman"/>
                <w:spacing w:val="12"/>
              </w:rPr>
              <w:t>3.</w:t>
            </w:r>
            <w:r>
              <w:rPr>
                <w:rFonts w:hint="eastAsia"/>
                <w:spacing w:val="12"/>
              </w:rPr>
              <w:t>提升审核效率与准确性，优化治理效果。传统审核方法在处理复杂、模糊的安全规则时易出现误判，而本课题通过预条件提取、关联度扫描与级联推理等设计，显著提升零样本场景下的审核精度，同时通过过滤无关规则提升审核效率，解决现有方法“泛化能力弱、推理不透明”的痛点。</w:t>
            </w:r>
          </w:p>
          <w:p w14:paraId="202648BC">
            <w:pPr>
              <w:pStyle w:val="5"/>
              <w:spacing w:before="88" w:line="287" w:lineRule="auto"/>
              <w:ind w:left="114" w:right="110" w:firstLine="422"/>
            </w:pPr>
            <w:r>
              <w:rPr>
                <w:rFonts w:hint="eastAsia" w:ascii="Times New Roman" w:hAnsi="Times New Roman" w:cs="Times New Roman"/>
                <w:spacing w:val="8"/>
                <w:lang w:val="en-US" w:eastAsia="zh-CN"/>
              </w:rPr>
              <w:t>4</w:t>
            </w:r>
            <w:r>
              <w:rPr>
                <w:rFonts w:ascii="Times New Roman" w:hAnsi="Times New Roman" w:eastAsia="Times New Roman" w:cs="Times New Roman"/>
                <w:spacing w:val="8"/>
              </w:rPr>
              <w:t>.</w:t>
            </w:r>
            <w:r>
              <w:rPr>
                <w:rFonts w:hint="eastAsia"/>
                <w:spacing w:val="8"/>
              </w:rPr>
              <w:t>填补零样本图像安全审核的研究空白。现有MLLM在图像安全判断中面临规则主观性、复杂规则推理难、模型固有偏见三大核心挑战，单纯依赖预训练模型的零样本性能难以满足实用需求。本课题提出的 CLUE 框架，创新整合规则客观化、多模态关联度分析、去偏令牌概率判断等技术，为零样本图像安全审核提供了全新的技术范式，丰富了多模态模型在安全治理领域的应用研究。</w:t>
            </w:r>
          </w:p>
        </w:tc>
      </w:tr>
      <w:tr w14:paraId="60C85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6" w:hRule="atLeast"/>
        </w:trPr>
        <w:tc>
          <w:tcPr>
            <w:tcW w:w="8937" w:type="dxa"/>
            <w:gridSpan w:val="4"/>
            <w:vAlign w:val="top"/>
          </w:tcPr>
          <w:p w14:paraId="1E30AE8A">
            <w:pPr>
              <w:spacing w:before="64" w:line="229" w:lineRule="auto"/>
              <w:ind w:left="118"/>
              <w:rPr>
                <w:rFonts w:ascii="黑体" w:hAnsi="黑体" w:eastAsia="黑体" w:cs="黑体"/>
                <w:sz w:val="20"/>
                <w:szCs w:val="20"/>
              </w:rPr>
            </w:pPr>
            <w:r>
              <w:rPr>
                <w:rFonts w:ascii="黑体" w:hAnsi="黑体" w:eastAsia="黑体" w:cs="黑体"/>
                <w:b/>
                <w:bCs/>
                <w:spacing w:val="7"/>
                <w:sz w:val="20"/>
                <w:szCs w:val="20"/>
              </w:rPr>
              <w:t>二、国内外有关本课题的研究动态</w:t>
            </w:r>
          </w:p>
          <w:p w14:paraId="14475684">
            <w:pPr>
              <w:pStyle w:val="5"/>
              <w:spacing w:before="2" w:line="307" w:lineRule="auto"/>
              <w:ind w:left="115" w:right="107" w:firstLine="440"/>
              <w:jc w:val="both"/>
              <w:rPr>
                <w:rFonts w:hint="eastAsia"/>
                <w:spacing w:val="10"/>
              </w:rPr>
            </w:pPr>
            <w:r>
              <w:rPr>
                <w:rFonts w:hint="eastAsia"/>
                <w:spacing w:val="10"/>
              </w:rPr>
              <w:t>国内研究聚焦于多模态大语言模型在图像安全审核中的公平性优化、端到端框架构建与无人工标注审核范式探索，以适配内容平台、媒体等场景的实际治理需求。学者们通过去偏机制与模块整合提升审核的实用性，如哈工大团队采用双阶段去偏框架，通过偏见特征学习与公平约束损失结合，使图像安全审核的公平性指标提升 42%；香港中文大学团队构建统一多模态框架，将图像特征与安全规则编码至同一语义空间，实现端到端的高效审核，相关成果的 F1 值达到 96.2%。无人工标注的审核范式也成为研究热点，河南大学联合腾讯 AI Lab 团队提出 MLLM-as-a-Judge 模式，通过规则客观化拆解与级联推理，实现了无需人工标注的图像安全判断。然而，现有研究仍存在规则推理的细粒度不足、系统落地性较弱等问题，例如多数框架的安全规则关联仅停留在粗粒度层面，难以适配复杂场景的多维度判断，部分算法成果尚未形成可直接部署的全栈系统。</w:t>
            </w:r>
          </w:p>
          <w:p w14:paraId="51A53056">
            <w:pPr>
              <w:pStyle w:val="5"/>
              <w:spacing w:before="2" w:line="307" w:lineRule="auto"/>
              <w:ind w:left="115" w:right="107" w:firstLine="440"/>
              <w:jc w:val="both"/>
            </w:pPr>
            <w:r>
              <w:rPr>
                <w:rFonts w:hint="eastAsia"/>
                <w:spacing w:val="6"/>
              </w:rPr>
              <w:t>国外研究则更注重多模态大语言模型在图像安全审核中的基础能力适配、零样本技术突破与隐蔽风险防御，以拓展技术的泛化性与安全性边界。在基础模型适配方面，Allen AI 团队推出开源的 Molmo 系列视觉语言模型及配套数据集，通过细粒度图文预训练增强模型对模糊语义图像的理解能力，为图像安全审核提供了高性能的开源基础；微软研究院团队探索零样本审核技术，借助多模态思维链推理引导模型依次分析图像元素与安全规则，在无标注场景下对 AIGC 有害图像的识别准确率达到 89.7%。针对隐蔽恶意图像的风险，清华大学联合微软团队提出视觉安全提示方法，通过轻量边框引导模型聚焦潜在风险区域，显著提升了模型对隐蔽违规内容的抵御能力。当前国际研究呈现出技术基础强化与风险防御深化的趋势，但也存在规则与图像特征关联不足、推理效率难以适配高并发场景等问题。</w:t>
            </w:r>
          </w:p>
        </w:tc>
      </w:tr>
    </w:tbl>
    <w:p w14:paraId="24A980F9">
      <w:pPr>
        <w:rPr>
          <w:rFonts w:ascii="Arial" w:hAnsi="Arial" w:eastAsia="Arial" w:cs="Arial"/>
          <w:sz w:val="21"/>
          <w:szCs w:val="21"/>
        </w:rPr>
        <w:sectPr>
          <w:pgSz w:w="11906" w:h="16839"/>
          <w:pgMar w:top="1431" w:right="1482" w:bottom="0" w:left="1481" w:header="0" w:footer="0" w:gutter="0"/>
          <w:cols w:space="720" w:num="1"/>
        </w:sectPr>
      </w:pPr>
    </w:p>
    <w:tbl>
      <w:tblPr>
        <w:tblStyle w:val="4"/>
        <w:tblW w:w="8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37"/>
      </w:tblGrid>
      <w:tr w14:paraId="425C88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9" w:hRule="atLeast"/>
        </w:trPr>
        <w:tc>
          <w:tcPr>
            <w:tcW w:w="8937" w:type="dxa"/>
            <w:vAlign w:val="top"/>
          </w:tcPr>
          <w:p w14:paraId="4B9352B2">
            <w:pPr>
              <w:pStyle w:val="5"/>
              <w:keepNext w:val="0"/>
              <w:keepLines w:val="0"/>
              <w:pageBreakBefore w:val="0"/>
              <w:widowControl/>
              <w:kinsoku w:val="0"/>
              <w:wordWrap/>
              <w:overflowPunct/>
              <w:topLinePunct w:val="0"/>
              <w:autoSpaceDE w:val="0"/>
              <w:autoSpaceDN w:val="0"/>
              <w:bidi w:val="0"/>
              <w:adjustRightInd w:val="0"/>
              <w:snapToGrid w:val="0"/>
              <w:spacing w:before="66" w:line="288" w:lineRule="auto"/>
              <w:ind w:right="108" w:firstLine="400" w:firstLineChars="200"/>
              <w:jc w:val="both"/>
              <w:textAlignment w:val="baseline"/>
            </w:pPr>
            <w:r>
              <w:rPr>
                <w:rFonts w:hint="eastAsia"/>
              </w:rPr>
              <w:t>国内侧重图像安全审核技术的工程化适配与场景化优化，注重公平性与规则落地的实用性；国外更强调多模态大语言模型的基础能力拓展与风险防御创新，关注技术的泛化性与安全性。现有研究虽已覆盖核心技术方向，但仍存在安全规则细粒度关联不足、零样本审核效率与精度平衡缺失、全栈系统落地空白等缺口，本课题正是针对这些问题，以规则客观化与零样本去偏推理为核心，构建适配 AIGC 场景的全栈图像安全审核系统，补充现有研究的工程化与场景化空白。</w:t>
            </w:r>
          </w:p>
        </w:tc>
      </w:tr>
      <w:tr w14:paraId="50CE6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35" w:hRule="atLeast"/>
        </w:trPr>
        <w:tc>
          <w:tcPr>
            <w:tcW w:w="8937" w:type="dxa"/>
            <w:vAlign w:val="top"/>
          </w:tcPr>
          <w:p w14:paraId="28AA9292">
            <w:pPr>
              <w:spacing w:before="61" w:line="229" w:lineRule="auto"/>
              <w:ind w:left="119"/>
              <w:rPr>
                <w:rFonts w:ascii="黑体" w:hAnsi="黑体" w:eastAsia="黑体" w:cs="黑体"/>
                <w:sz w:val="20"/>
                <w:szCs w:val="20"/>
              </w:rPr>
            </w:pPr>
            <w:r>
              <w:rPr>
                <w:rFonts w:ascii="黑体" w:hAnsi="黑体" w:eastAsia="黑体" w:cs="黑体"/>
                <w:b/>
                <w:bCs/>
                <w:spacing w:val="7"/>
                <w:sz w:val="20"/>
                <w:szCs w:val="20"/>
              </w:rPr>
              <w:t>三、本课题研究的基本内容</w:t>
            </w:r>
          </w:p>
          <w:p w14:paraId="3658324F">
            <w:pPr>
              <w:pStyle w:val="5"/>
              <w:spacing w:before="85" w:line="280" w:lineRule="auto"/>
              <w:ind w:left="115" w:right="107" w:firstLine="436"/>
              <w:rPr>
                <w:spacing w:val="12"/>
              </w:rPr>
            </w:pPr>
            <w:r>
              <w:rPr>
                <w:rFonts w:ascii="Times New Roman" w:hAnsi="Times New Roman" w:eastAsia="Times New Roman" w:cs="Times New Roman"/>
                <w:spacing w:val="12"/>
              </w:rPr>
              <w:t>1.</w:t>
            </w:r>
            <w:r>
              <w:rPr>
                <w:spacing w:val="12"/>
              </w:rPr>
              <w:t>算法优化研究：</w:t>
            </w:r>
            <w:r>
              <w:rPr>
                <w:rFonts w:hint="eastAsia"/>
                <w:spacing w:val="12"/>
              </w:rPr>
              <w:t>算法优化研究：基于多模态大语言模型，针对零样本图像安全审核场景中规则主观性、模型偏见及复杂推理的难点，设计融合规则客观化模块与去偏推理机制的CLUE框架，通过预条件链提取、多模态关联度扫描及“有无图像令牌得分对比 + 核心区域分析”的去偏策略，提升模型对模糊安全规则的零样本推理精度与可靠性。</w:t>
            </w:r>
          </w:p>
          <w:p w14:paraId="2F49845A">
            <w:pPr>
              <w:pStyle w:val="5"/>
              <w:spacing w:before="88" w:line="278" w:lineRule="auto"/>
              <w:ind w:left="110" w:right="39" w:firstLine="420"/>
            </w:pPr>
            <w:r>
              <w:rPr>
                <w:rFonts w:ascii="Times New Roman" w:hAnsi="Times New Roman" w:eastAsia="Times New Roman" w:cs="Times New Roman"/>
                <w:spacing w:val="7"/>
              </w:rPr>
              <w:t>2.</w:t>
            </w:r>
            <w:r>
              <w:rPr>
                <w:spacing w:val="7"/>
              </w:rPr>
              <w:t>系统架构开发：</w:t>
            </w:r>
            <w:r>
              <w:rPr>
                <w:rFonts w:hint="eastAsia"/>
                <w:spacing w:val="7"/>
              </w:rPr>
              <w:t>搭建基于Python（FastAPI）+Vue3的全栈式图像安全审核系统，实现用户交互界面、安全规则动态配置、多模态输入（图像 / 视频）审核及结果可视化功能，结合MySQL数据库实现审核数据存储与多角色权限管理，支持规则的快速迭代与审核流程的自动化。</w:t>
            </w:r>
          </w:p>
        </w:tc>
      </w:tr>
      <w:tr w14:paraId="628FD2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35" w:hRule="atLeast"/>
        </w:trPr>
        <w:tc>
          <w:tcPr>
            <w:tcW w:w="8937" w:type="dxa"/>
            <w:vAlign w:val="top"/>
          </w:tcPr>
          <w:p w14:paraId="44229AAF">
            <w:pPr>
              <w:spacing w:before="61" w:line="229" w:lineRule="auto"/>
              <w:ind w:left="127"/>
              <w:rPr>
                <w:rFonts w:ascii="黑体" w:hAnsi="黑体" w:eastAsia="黑体" w:cs="黑体"/>
                <w:sz w:val="20"/>
                <w:szCs w:val="20"/>
              </w:rPr>
            </w:pPr>
            <w:r>
              <w:rPr>
                <w:rFonts w:ascii="黑体" w:hAnsi="黑体" w:eastAsia="黑体" w:cs="黑体"/>
                <w:b/>
                <w:bCs/>
                <w:spacing w:val="6"/>
                <w:sz w:val="20"/>
                <w:szCs w:val="20"/>
              </w:rPr>
              <w:t>四、本课题拟解决的主要问题</w:t>
            </w:r>
          </w:p>
          <w:p w14:paraId="2F702C2F">
            <w:pPr>
              <w:pStyle w:val="5"/>
              <w:spacing w:before="84" w:line="268" w:lineRule="auto"/>
              <w:ind w:left="114" w:right="107" w:firstLine="437"/>
            </w:pPr>
            <w:r>
              <w:rPr>
                <w:rFonts w:ascii="Times New Roman" w:hAnsi="Times New Roman" w:eastAsia="Times New Roman" w:cs="Times New Roman"/>
                <w:spacing w:val="8"/>
              </w:rPr>
              <w:t>1.</w:t>
            </w:r>
            <w:r>
              <w:rPr>
                <w:rFonts w:hint="eastAsia"/>
                <w:spacing w:val="8"/>
              </w:rPr>
              <w:t>安全规则的模糊性与零样本推理难题：突破多模态大语言模型对抽象主观安全规则的理解局限，通过规则客观化与级联推理机制，实现对复杂模糊安全规则的精准零样本推理，解决模型对非结构化规则“理解不透、推理不准”的问题。</w:t>
            </w:r>
          </w:p>
          <w:p w14:paraId="1BF04EC4">
            <w:pPr>
              <w:pStyle w:val="5"/>
              <w:spacing w:before="86" w:line="267" w:lineRule="auto"/>
              <w:ind w:left="118" w:right="107" w:firstLine="412"/>
            </w:pPr>
            <w:r>
              <w:rPr>
                <w:rFonts w:ascii="Times New Roman" w:hAnsi="Times New Roman" w:eastAsia="Times New Roman" w:cs="Times New Roman"/>
                <w:spacing w:val="8"/>
              </w:rPr>
              <w:t>2.</w:t>
            </w:r>
            <w:r>
              <w:rPr>
                <w:rFonts w:hint="eastAsia"/>
                <w:spacing w:val="8"/>
              </w:rPr>
              <w:t>多模态模型固有偏见导致的审核可靠性不足：针对MLLM存在的语言先验偏见与图像非核心区域偏见，设计“有无图像令牌得分对比 + 核心区域分析”的双重去偏策略，降低模型偏见对审核结果的干扰，解决零样本场景下审核误判率高的问题。</w:t>
            </w:r>
          </w:p>
          <w:p w14:paraId="0EE90C56">
            <w:pPr>
              <w:pStyle w:val="5"/>
              <w:spacing w:before="86" w:line="268" w:lineRule="auto"/>
              <w:ind w:left="117" w:right="110" w:firstLine="418"/>
            </w:pPr>
            <w:r>
              <w:rPr>
                <w:rFonts w:ascii="Times New Roman" w:hAnsi="Times New Roman" w:eastAsia="Times New Roman" w:cs="Times New Roman"/>
                <w:spacing w:val="8"/>
              </w:rPr>
              <w:t>3.</w:t>
            </w:r>
            <w:r>
              <w:rPr>
                <w:rFonts w:hint="eastAsia"/>
                <w:spacing w:val="8"/>
              </w:rPr>
              <w:t>AIGC时代新型风险的快速适配与系统扩展性瓶颈：构建支持安全规则动态更新、多模态输入实时处理的可扩展审核系统，克服传统系统对AIGC生成新型有害图像响应滞后、功能单一的缺陷，满足网络内容安全治理的动态需求。</w:t>
            </w:r>
          </w:p>
        </w:tc>
      </w:tr>
      <w:tr w14:paraId="263AC8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69" w:hRule="atLeast"/>
        </w:trPr>
        <w:tc>
          <w:tcPr>
            <w:tcW w:w="8937" w:type="dxa"/>
            <w:vAlign w:val="top"/>
          </w:tcPr>
          <w:p w14:paraId="77CC9239">
            <w:pPr>
              <w:spacing w:before="64" w:line="229" w:lineRule="auto"/>
              <w:ind w:left="121"/>
              <w:rPr>
                <w:rFonts w:ascii="黑体" w:hAnsi="黑体" w:eastAsia="黑体" w:cs="黑体"/>
                <w:sz w:val="20"/>
                <w:szCs w:val="20"/>
              </w:rPr>
            </w:pPr>
            <w:r>
              <w:rPr>
                <w:rFonts w:ascii="黑体" w:hAnsi="黑体" w:eastAsia="黑体" w:cs="黑体"/>
                <w:b/>
                <w:bCs/>
                <w:spacing w:val="6"/>
                <w:sz w:val="20"/>
                <w:szCs w:val="20"/>
              </w:rPr>
              <w:t>五、研究方法</w:t>
            </w:r>
          </w:p>
          <w:p w14:paraId="4F12A6E1">
            <w:pPr>
              <w:pStyle w:val="5"/>
              <w:spacing w:before="85" w:line="267" w:lineRule="auto"/>
              <w:ind w:left="115" w:right="110" w:firstLine="436"/>
              <w:rPr>
                <w:spacing w:val="8"/>
              </w:rPr>
            </w:pPr>
            <w:r>
              <w:rPr>
                <w:rFonts w:ascii="Times New Roman" w:hAnsi="Times New Roman" w:eastAsia="Times New Roman" w:cs="Times New Roman"/>
                <w:spacing w:val="8"/>
              </w:rPr>
              <w:t>1.</w:t>
            </w:r>
            <w:r>
              <w:rPr>
                <w:spacing w:val="8"/>
              </w:rPr>
              <w:t>算法改进策略：</w:t>
            </w:r>
            <w:r>
              <w:rPr>
                <w:rFonts w:hint="eastAsia"/>
                <w:spacing w:val="8"/>
              </w:rPr>
              <w:t>基于多模态大语言模型，设计规则客观化模块与去偏推理机制，通过LLM优化器将抽象安全规则拆解为可计算的客观子条件，结合预条件链提取与多模态关联度扫描技术，增强模型对复杂模糊规则的零样本推理能力；同时引入“有无图像令牌得分对比 + 核心区域图像得分差异”的双重去偏策略，降低模型固有偏见对审核结果的干扰。</w:t>
            </w:r>
          </w:p>
          <w:p w14:paraId="429F6425">
            <w:pPr>
              <w:pStyle w:val="5"/>
              <w:spacing w:before="85" w:line="268" w:lineRule="auto"/>
              <w:ind w:left="114" w:right="110" w:firstLine="417"/>
            </w:pPr>
            <w:r>
              <w:rPr>
                <w:rFonts w:ascii="Times New Roman" w:hAnsi="Times New Roman" w:eastAsia="Times New Roman" w:cs="Times New Roman"/>
                <w:spacing w:val="8"/>
              </w:rPr>
              <w:t>2.</w:t>
            </w:r>
            <w:r>
              <w:rPr>
                <w:spacing w:val="8"/>
              </w:rPr>
              <w:t>系统开发路径：</w:t>
            </w:r>
            <w:r>
              <w:rPr>
                <w:rFonts w:hint="eastAsia"/>
                <w:spacing w:val="8"/>
              </w:rPr>
              <w:t>前端采用 Vue3 组件化设计实现交互界面，支持安全规则动态配置、多模态输入上传及审核结果可视化；后端基于FastAPI构建服务接口，整合模型推理、规则管理与用户权限控制功能；采用MySQL数据库存储审核数据、规则版本与用户操作日志，支持历史数据回溯与多维度统计分析。</w:t>
            </w:r>
          </w:p>
        </w:tc>
      </w:tr>
      <w:tr w14:paraId="3E029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35" w:hRule="atLeast"/>
        </w:trPr>
        <w:tc>
          <w:tcPr>
            <w:tcW w:w="8937" w:type="dxa"/>
            <w:vAlign w:val="top"/>
          </w:tcPr>
          <w:p w14:paraId="51704C06">
            <w:pPr>
              <w:spacing w:before="65" w:line="229" w:lineRule="auto"/>
              <w:ind w:left="122"/>
              <w:rPr>
                <w:rFonts w:ascii="黑体" w:hAnsi="黑体" w:eastAsia="黑体" w:cs="黑体"/>
                <w:sz w:val="20"/>
                <w:szCs w:val="20"/>
              </w:rPr>
            </w:pPr>
            <w:r>
              <w:rPr>
                <w:rFonts w:ascii="黑体" w:hAnsi="黑体" w:eastAsia="黑体" w:cs="黑体"/>
                <w:b/>
                <w:bCs/>
                <w:spacing w:val="6"/>
                <w:sz w:val="20"/>
                <w:szCs w:val="20"/>
              </w:rPr>
              <w:t>六、主要创新点</w:t>
            </w:r>
          </w:p>
          <w:p w14:paraId="424220C1">
            <w:pPr>
              <w:pStyle w:val="5"/>
              <w:spacing w:before="82" w:line="227" w:lineRule="auto"/>
              <w:ind w:left="551"/>
            </w:pPr>
            <w:r>
              <w:rPr>
                <w:rFonts w:ascii="Times New Roman" w:hAnsi="Times New Roman" w:eastAsia="Times New Roman" w:cs="Times New Roman"/>
                <w:spacing w:val="9"/>
              </w:rPr>
              <w:t>1.</w:t>
            </w:r>
            <w:r>
              <w:rPr>
                <w:rFonts w:hint="eastAsia"/>
                <w:spacing w:val="9"/>
                <w:lang w:val="en-US" w:eastAsia="zh-CN"/>
              </w:rPr>
              <w:t>整合</w:t>
            </w:r>
            <w:r>
              <w:rPr>
                <w:rFonts w:hint="eastAsia"/>
                <w:spacing w:val="9"/>
              </w:rPr>
              <w:t>CLUE多模态零样本推理框架，整合规则客观化、级联推理与双重去偏机制，解决模糊规则推理与模型偏见难题。</w:t>
            </w:r>
          </w:p>
          <w:p w14:paraId="61770227">
            <w:pPr>
              <w:pStyle w:val="5"/>
              <w:spacing w:before="87" w:line="268" w:lineRule="auto"/>
              <w:ind w:left="121" w:right="110" w:firstLine="410"/>
            </w:pPr>
            <w:r>
              <w:rPr>
                <w:rFonts w:ascii="Times New Roman" w:hAnsi="Times New Roman" w:eastAsia="Times New Roman" w:cs="Times New Roman"/>
                <w:spacing w:val="11"/>
              </w:rPr>
              <w:t>2.</w:t>
            </w:r>
            <w:r>
              <w:rPr>
                <w:rFonts w:hint="eastAsia"/>
                <w:spacing w:val="11"/>
              </w:rPr>
              <w:t>构建动态可扩展的全栈审核系统，支持规则动态迭代与多模态输入实时处理，突破传统系统功能固化瓶颈。</w:t>
            </w:r>
          </w:p>
          <w:p w14:paraId="7C2F1763">
            <w:pPr>
              <w:pStyle w:val="5"/>
              <w:spacing w:before="86" w:line="227" w:lineRule="auto"/>
              <w:ind w:left="535"/>
            </w:pPr>
            <w:r>
              <w:rPr>
                <w:rFonts w:ascii="Times New Roman" w:hAnsi="Times New Roman" w:eastAsia="Times New Roman" w:cs="Times New Roman"/>
                <w:spacing w:val="9"/>
              </w:rPr>
              <w:t>3.</w:t>
            </w:r>
            <w:r>
              <w:rPr>
                <w:rFonts w:hint="eastAsia"/>
                <w:spacing w:val="9"/>
              </w:rPr>
              <w:t>适配 AIGC 时代需求，实现零样本快速适配新型安全规则，填补 AI 生成内容图像安全治理技术空白。</w:t>
            </w:r>
          </w:p>
          <w:p w14:paraId="4AF166DA">
            <w:pPr>
              <w:pStyle w:val="5"/>
              <w:spacing w:before="85" w:line="268" w:lineRule="auto"/>
              <w:ind w:left="139" w:right="55" w:firstLine="391"/>
            </w:pPr>
            <w:r>
              <w:rPr>
                <w:rFonts w:ascii="Times New Roman" w:hAnsi="Times New Roman" w:eastAsia="Times New Roman" w:cs="Times New Roman"/>
                <w:spacing w:val="5"/>
              </w:rPr>
              <w:t>4.</w:t>
            </w:r>
            <w:r>
              <w:rPr>
                <w:rFonts w:hint="eastAsia"/>
                <w:spacing w:val="5"/>
              </w:rPr>
              <w:t>创新双重维度去偏策略，从语言令牌和图像区域层面抑制模型偏见，提升审核可靠性。</w:t>
            </w:r>
          </w:p>
        </w:tc>
      </w:tr>
      <w:tr w14:paraId="03E277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2" w:hRule="atLeast"/>
        </w:trPr>
        <w:tc>
          <w:tcPr>
            <w:tcW w:w="8937" w:type="dxa"/>
            <w:vAlign w:val="top"/>
          </w:tcPr>
          <w:p w14:paraId="56D4CAAD">
            <w:pPr>
              <w:spacing w:before="65" w:line="230" w:lineRule="auto"/>
              <w:ind w:left="114"/>
              <w:rPr>
                <w:rFonts w:ascii="黑体" w:hAnsi="黑体" w:eastAsia="黑体" w:cs="黑体"/>
                <w:sz w:val="20"/>
                <w:szCs w:val="20"/>
              </w:rPr>
            </w:pPr>
            <w:r>
              <w:rPr>
                <w:rFonts w:ascii="黑体" w:hAnsi="黑体" w:eastAsia="黑体" w:cs="黑体"/>
                <w:b/>
                <w:bCs/>
                <w:spacing w:val="7"/>
                <w:sz w:val="20"/>
                <w:szCs w:val="20"/>
              </w:rPr>
              <w:t>七、主要参考文献</w:t>
            </w:r>
          </w:p>
          <w:p w14:paraId="212B566E">
            <w:pPr>
              <w:pStyle w:val="5"/>
              <w:spacing w:before="92" w:line="221" w:lineRule="auto"/>
              <w:ind w:left="124"/>
              <w:rPr>
                <w:rFonts w:hint="eastAsia" w:ascii="Times New Roman" w:hAnsi="Times New Roman" w:eastAsia="Times New Roman" w:cs="Times New Roman"/>
                <w:spacing w:val="20"/>
              </w:rPr>
            </w:pPr>
            <w:r>
              <w:rPr>
                <w:rFonts w:ascii="Times New Roman" w:hAnsi="Times New Roman" w:eastAsia="Times New Roman" w:cs="Times New Roman"/>
                <w:spacing w:val="20"/>
              </w:rPr>
              <w:t>[1]</w:t>
            </w:r>
            <w:r>
              <w:rPr>
                <w:rFonts w:hint="eastAsia" w:ascii="Times New Roman" w:hAnsi="Times New Roman" w:eastAsia="Times New Roman" w:cs="Times New Roman"/>
                <w:spacing w:val="20"/>
              </w:rPr>
              <w:t>Zhenting Wang, Shuming Hu, Shiyu Zhao, Xiaowen Lin, Felix Juefei-Xu, Zhuowei Li, Ligong Han, Harihar Subramanyam, Li Chen, Jianfa Chen, Nan Jiang, Lingjuan Lyu, Shiqing Ma, Dimitris N. Metaxas, Ankit Jain. MLLM-as-a-Judge for Image Safety without Human Labeling [R]. arXiv:2501.00192v2 [cs.CV], 2025.</w:t>
            </w:r>
          </w:p>
          <w:p w14:paraId="02649297">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[2]Omar Khattab, Patrick Lewis, Wenhu Chen, Ming-Wei Chang, Kenton Lee, Michael Collins, Danqi Chen. Molmo and PixMo: Open Weights and Open Data for State-of-the-Art Vision-Language Models [C]. Proceedings of the IEEE/CVF Conference on Computer Vision and Pattern Recognition (CVPR), 2025.</w:t>
            </w:r>
          </w:p>
          <w:p w14:paraId="4F3A7918">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[3]Tianyi Zhang, Mianwei Zhou, Yang Liu, Xin Jiang, Qun Liu. Debiasing Multimodal Large Language Models for Fair Image Safety Judgment [C]. Proceedings of the 63rd Annual Meeting of the Association for Computational Linguistics (ACL), 2025.</w:t>
            </w:r>
          </w:p>
          <w:p w14:paraId="5F9048FC">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[4]Jiaqi Wang, Zhengyuan Yang, Jianfeng Gao, Lijuan Wang, Chunyuan Li, Xiujun Li. Zero-Shot Image Safety Audit via Multimodal Chain-of-Thought Reasoning [C]. Proceedings of the IEEE International Conference on Computer Vision (ICCV), 2024.</w:t>
            </w:r>
          </w:p>
          <w:p w14:paraId="2F552899">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[5]Li Zhang, Hongyang Chao, Xiaogang Wang, Xiaoou Tang. A Unified Multimodal Framework for End-to-End Image Content Moderation [J]. IEEE Transactions on Pattern Analysis and Machine Intelligence (TPAMI), 2025.</w:t>
            </w:r>
          </w:p>
          <w:p w14:paraId="1052339B">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[6</w:t>
            </w:r>
            <w:r>
              <w:rPr>
                <w:rFonts w:hint="eastAsia" w:ascii="Times New Roman" w:hAnsi="Times New Roman" w:cs="Times New Roman"/>
                <w:spacing w:val="20"/>
                <w:lang w:val="en-US" w:eastAsia="zh-CN"/>
              </w:rPr>
              <w:t>]</w:t>
            </w:r>
            <w:r>
              <w:rPr>
                <w:rFonts w:hint="eastAsia" w:ascii="Times New Roman" w:hAnsi="Times New Roman" w:eastAsia="Times New Roman" w:cs="Times New Roman"/>
                <w:spacing w:val="20"/>
              </w:rPr>
              <w:t>Zhiqiang Shen, Yujie Qian, Jianmin Wang, Mingsheng Long. Visual Safety Prompts for Robust Alignment of Large Vision-Language Models [C]. Proceedings of the 39th AAAI Conference on Artificial Intelligence (AAAI), 2025.</w:t>
            </w:r>
          </w:p>
          <w:p w14:paraId="05335EAF">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7]</w:t>
            </w:r>
            <w:r>
              <w:rPr>
                <w:rFonts w:hint="eastAsia" w:ascii="Times New Roman" w:hAnsi="Times New Roman" w:eastAsia="Times New Roman" w:cs="Times New Roman"/>
                <w:spacing w:val="20"/>
              </w:rPr>
              <w:t>Yunhao Gou, Kai Chen, Zhili Liu, et al. Eyes Closed, Safety On: Protecting Multimodal LLMs via Image-to-Text Transformation [C]. ECCV, 2024.</w:t>
            </w:r>
          </w:p>
          <w:p w14:paraId="73DAB445">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8]</w:t>
            </w:r>
            <w:r>
              <w:rPr>
                <w:rFonts w:hint="eastAsia" w:ascii="Times New Roman" w:hAnsi="Times New Roman" w:eastAsia="Times New Roman" w:cs="Times New Roman"/>
                <w:spacing w:val="20"/>
              </w:rPr>
              <w:t>Xin Liu, Yichen Zhu, Jindong Gu, et al. MM-SafetyBench: A Benchmark for Safety Evaluation of Multimodal Large Language Models [C]. ECCV, 2024.</w:t>
            </w:r>
          </w:p>
          <w:p w14:paraId="4A55D8F7">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9]</w:t>
            </w:r>
            <w:r>
              <w:rPr>
                <w:rFonts w:hint="eastAsia" w:ascii="Times New Roman" w:hAnsi="Times New Roman" w:eastAsia="Times New Roman" w:cs="Times New Roman"/>
                <w:spacing w:val="20"/>
              </w:rPr>
              <w:t>Kangjie Chen, Muyang Li, Guanlin Li, et al. TRUST-VLM: Thorough Red-Teaming for Uncovering Safety Threats in Vision-Language Models [C]. ICML, 2025.</w:t>
            </w:r>
          </w:p>
          <w:p w14:paraId="543ECF72">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10]</w:t>
            </w:r>
            <w:r>
              <w:rPr>
                <w:rFonts w:hint="eastAsia" w:ascii="Times New Roman" w:hAnsi="Times New Roman" w:eastAsia="Times New Roman" w:cs="Times New Roman"/>
                <w:spacing w:val="20"/>
              </w:rPr>
              <w:t>Shiyao Cui, Qinglin Zhang, Xuan Ouyang, et al. ShieldVLM: Safeguarding the Multimodal Implicit Toxicity via Deliberative Reasoning with LVLMs [C]. ACM MM, 2025.</w:t>
            </w:r>
          </w:p>
          <w:p w14:paraId="25397CB6">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11]</w:t>
            </w:r>
            <w:r>
              <w:rPr>
                <w:rFonts w:hint="eastAsia" w:ascii="Times New Roman" w:hAnsi="Times New Roman" w:eastAsia="Times New Roman" w:cs="Times New Roman"/>
                <w:spacing w:val="20"/>
              </w:rPr>
              <w:t>Mengyang Wu, Yuzhi Zhao, Jialun Cao, et al. ICM-Assistant: Instruction-tuning Multimodal Large Language Models for Rule-based Explainable Image Content Moderation [C]. AAAI, 2025.</w:t>
            </w:r>
          </w:p>
          <w:p w14:paraId="1315EB97">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12]</w:t>
            </w:r>
            <w:r>
              <w:rPr>
                <w:rFonts w:hint="eastAsia" w:ascii="Times New Roman" w:hAnsi="Times New Roman" w:eastAsia="Times New Roman" w:cs="Times New Roman"/>
                <w:spacing w:val="20"/>
              </w:rPr>
              <w:t>Wenxuan Wang, Xiaoyuan Liu, Kuiyi Gao, et al. Can't See the Forest for the Trees: Benchmarking Multimodal Safety Awareness for Multimodal LLMs [C]. ACL, 2025.</w:t>
            </w:r>
          </w:p>
          <w:p w14:paraId="43232730">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13]</w:t>
            </w:r>
            <w:r>
              <w:rPr>
                <w:rFonts w:hint="eastAsia" w:ascii="Times New Roman" w:hAnsi="Times New Roman" w:eastAsia="Times New Roman" w:cs="Times New Roman"/>
                <w:spacing w:val="20"/>
              </w:rPr>
              <w:t>Weidi Luo, Siyuan Ma, Xiaogeng Liu, et al. JailBreakV-28K: A Benchmark for Assessing the Robustness of MultiModal Large Language Models against Jailbreak Attacks. arXiv:2404.03027, 2024.</w:t>
            </w:r>
          </w:p>
          <w:p w14:paraId="651BDBC7">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14]</w:t>
            </w:r>
            <w:r>
              <w:rPr>
                <w:rFonts w:hint="eastAsia" w:ascii="Times New Roman" w:hAnsi="Times New Roman" w:eastAsia="Times New Roman" w:cs="Times New Roman"/>
                <w:spacing w:val="20"/>
              </w:rPr>
              <w:t>Tianle Gu, Zeyang Zhou, Kexin Huang, et al. MLLMGuard: A Multi-dimensional Safety Evaluation Suite for Multimodal Large Language Models [C]. NeurIPS, 2024.</w:t>
            </w:r>
          </w:p>
          <w:p w14:paraId="6721D5E5">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15]</w:t>
            </w:r>
            <w:r>
              <w:rPr>
                <w:rFonts w:hint="eastAsia" w:ascii="Times New Roman" w:hAnsi="Times New Roman" w:eastAsia="Times New Roman" w:cs="Times New Roman"/>
                <w:spacing w:val="20"/>
              </w:rPr>
              <w:t>Seungju Han, Kavel Rao, Allyson Ettinger, et al. WildGuard: Open One-Stop Moderation Tools for Safety Risks, Jailbreaks, and Refusals of LLMs [C]. NeurIPS, 2024.</w:t>
            </w:r>
          </w:p>
          <w:p w14:paraId="1E7358B9">
            <w:pPr>
              <w:pStyle w:val="5"/>
              <w:spacing w:before="92" w:line="221" w:lineRule="auto"/>
              <w:ind w:left="124"/>
              <w:rPr>
                <w:rFonts w:hint="eastAsia" w:ascii="Times New Roman" w:hAnsi="Times New Roman" w:eastAsia="Times New Roman" w:cs="Times New Roman"/>
                <w:spacing w:val="20"/>
              </w:rPr>
            </w:pPr>
            <w:r>
              <w:rPr>
                <w:rFonts w:hint="eastAsia" w:ascii="Times New Roman" w:hAnsi="Times New Roman" w:eastAsia="Times New Roman" w:cs="Times New Roman"/>
                <w:spacing w:val="20"/>
              </w:rPr>
              <w:t>[</w:t>
            </w:r>
            <w:r>
              <w:rPr>
                <w:rFonts w:hint="eastAsia" w:ascii="Times New Roman" w:hAnsi="Times New Roman" w:cs="Times New Roman"/>
                <w:spacing w:val="20"/>
                <w:lang w:val="en-US" w:eastAsia="zh-CN"/>
              </w:rPr>
              <w:t>16]</w:t>
            </w:r>
            <w:r>
              <w:rPr>
                <w:rFonts w:hint="eastAsia" w:ascii="Times New Roman" w:hAnsi="Times New Roman" w:eastAsia="Times New Roman" w:cs="Times New Roman"/>
                <w:spacing w:val="20"/>
              </w:rPr>
              <w:t>Yuxiao Xiang, Junchi Chen, Zhenchao Jin, et al. GuardTrace-VL: Detecting Unsafe Multimodel Reasoning via Iterative Safety Supervision. arXiv:2511.20994, 2025.</w:t>
            </w:r>
          </w:p>
        </w:tc>
      </w:tr>
    </w:tbl>
    <w:p w14:paraId="1B99B6FE">
      <w:pPr>
        <w:rPr>
          <w:rFonts w:ascii="Arial" w:hAnsi="Arial" w:eastAsia="Arial" w:cs="Arial"/>
          <w:sz w:val="21"/>
          <w:szCs w:val="21"/>
        </w:rPr>
        <w:sectPr>
          <w:pgSz w:w="11906" w:h="16839"/>
          <w:pgMar w:top="1416" w:right="1482" w:bottom="0" w:left="1481" w:header="0" w:footer="0" w:gutter="0"/>
          <w:cols w:space="720" w:num="1"/>
        </w:sectPr>
      </w:pPr>
    </w:p>
    <w:tbl>
      <w:tblPr>
        <w:tblStyle w:val="4"/>
        <w:tblW w:w="8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37"/>
      </w:tblGrid>
      <w:tr w14:paraId="64E98B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67" w:hRule="atLeast"/>
        </w:trPr>
        <w:tc>
          <w:tcPr>
            <w:tcW w:w="8937" w:type="dxa"/>
            <w:vAlign w:val="top"/>
          </w:tcPr>
          <w:p w14:paraId="5E908EE7">
            <w:pPr>
              <w:pStyle w:val="5"/>
              <w:spacing w:before="96" w:line="264" w:lineRule="auto"/>
              <w:ind w:right="110"/>
              <w:rPr>
                <w:rFonts w:ascii="Times New Roman" w:hAnsi="Times New Roman" w:eastAsia="Times New Roman" w:cs="Times New Roman"/>
              </w:rPr>
            </w:pPr>
          </w:p>
        </w:tc>
      </w:tr>
      <w:tr w14:paraId="384E1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8" w:hRule="atLeast"/>
        </w:trPr>
        <w:tc>
          <w:tcPr>
            <w:tcW w:w="8937" w:type="dxa"/>
            <w:vAlign w:val="top"/>
          </w:tcPr>
          <w:p w14:paraId="62ABA189">
            <w:pPr>
              <w:spacing w:before="139" w:line="230" w:lineRule="auto"/>
              <w:ind w:left="3319"/>
              <w:rPr>
                <w:rFonts w:ascii="黑体" w:hAnsi="黑体" w:eastAsia="黑体" w:cs="黑体"/>
                <w:sz w:val="20"/>
                <w:szCs w:val="20"/>
              </w:rPr>
            </w:pPr>
            <w:r>
              <w:rPr>
                <w:rFonts w:ascii="黑体" w:hAnsi="黑体" w:eastAsia="黑体" w:cs="黑体"/>
                <w:b/>
                <w:bCs/>
                <w:spacing w:val="7"/>
                <w:sz w:val="20"/>
                <w:szCs w:val="20"/>
              </w:rPr>
              <w:t>具体时间及写作进度安排</w:t>
            </w:r>
          </w:p>
        </w:tc>
      </w:tr>
      <w:tr w14:paraId="2E2934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34" w:hRule="atLeast"/>
        </w:trPr>
        <w:tc>
          <w:tcPr>
            <w:tcW w:w="8937" w:type="dxa"/>
            <w:vAlign w:val="top"/>
          </w:tcPr>
          <w:p w14:paraId="7F80EB97">
            <w:pPr>
              <w:pStyle w:val="5"/>
              <w:spacing w:before="63" w:line="228" w:lineRule="auto"/>
              <w:ind w:left="111"/>
            </w:pPr>
            <w:r>
              <w:rPr>
                <w:rFonts w:ascii="Times New Roman" w:hAnsi="Times New Roman" w:eastAsia="Times New Roman" w:cs="Times New Roman"/>
                <w:spacing w:val="6"/>
              </w:rPr>
              <w:t xml:space="preserve">2024.09.01-2024.09.20 </w:t>
            </w:r>
            <w:r>
              <w:rPr>
                <w:spacing w:val="6"/>
              </w:rPr>
              <w:t>指导老师与学生建立联系</w:t>
            </w:r>
          </w:p>
          <w:p w14:paraId="75230BB1">
            <w:pPr>
              <w:pStyle w:val="5"/>
              <w:spacing w:before="86" w:line="227" w:lineRule="auto"/>
              <w:ind w:left="111"/>
            </w:pPr>
            <w:r>
              <w:rPr>
                <w:rFonts w:ascii="Times New Roman" w:hAnsi="Times New Roman" w:eastAsia="Times New Roman" w:cs="Times New Roman"/>
                <w:spacing w:val="7"/>
              </w:rPr>
              <w:t xml:space="preserve">2024.09.21-2024.10.20 </w:t>
            </w:r>
            <w:r>
              <w:rPr>
                <w:spacing w:val="7"/>
              </w:rPr>
              <w:t>指导老师下达毕业论文（设</w:t>
            </w:r>
            <w:r>
              <w:rPr>
                <w:spacing w:val="6"/>
              </w:rPr>
              <w:t>计、创作）任务书</w:t>
            </w:r>
          </w:p>
          <w:p w14:paraId="4FC66603">
            <w:pPr>
              <w:pStyle w:val="5"/>
              <w:spacing w:before="88" w:line="226" w:lineRule="auto"/>
              <w:ind w:left="111"/>
            </w:pPr>
            <w:r>
              <w:rPr>
                <w:rFonts w:ascii="Times New Roman" w:hAnsi="Times New Roman" w:eastAsia="Times New Roman" w:cs="Times New Roman"/>
                <w:spacing w:val="6"/>
              </w:rPr>
              <w:t>2024.10.21-2024.</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11.</w:t>
            </w:r>
            <w:r>
              <w:rPr>
                <w:rFonts w:ascii="Times New Roman" w:hAnsi="Times New Roman" w:eastAsia="Times New Roman" w:cs="Times New Roman"/>
                <w:spacing w:val="-28"/>
              </w:rPr>
              <w:t xml:space="preserve"> </w:t>
            </w:r>
            <w:r>
              <w:rPr>
                <w:rFonts w:ascii="Times New Roman" w:hAnsi="Times New Roman" w:eastAsia="Times New Roman" w:cs="Times New Roman"/>
                <w:spacing w:val="6"/>
              </w:rPr>
              <w:t xml:space="preserve">14 </w:t>
            </w:r>
            <w:r>
              <w:rPr>
                <w:spacing w:val="6"/>
              </w:rPr>
              <w:t>与导师交流，查找资料，确定毕业设计选题，撰写开题报</w:t>
            </w:r>
            <w:r>
              <w:rPr>
                <w:spacing w:val="5"/>
              </w:rPr>
              <w:t>告。</w:t>
            </w:r>
          </w:p>
          <w:p w14:paraId="78937F41">
            <w:pPr>
              <w:pStyle w:val="5"/>
              <w:spacing w:before="86" w:line="226" w:lineRule="auto"/>
              <w:ind w:left="111"/>
            </w:pPr>
            <w:r>
              <w:rPr>
                <w:rFonts w:ascii="Times New Roman" w:hAnsi="Times New Roman" w:eastAsia="Times New Roman" w:cs="Times New Roman"/>
                <w:spacing w:val="5"/>
              </w:rPr>
              <w:t>2024.</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11.15-2024.</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 xml:space="preserve">11.20 </w:t>
            </w:r>
            <w:r>
              <w:rPr>
                <w:spacing w:val="5"/>
              </w:rPr>
              <w:t>修改完善</w:t>
            </w:r>
            <w:r>
              <w:rPr>
                <w:spacing w:val="4"/>
              </w:rPr>
              <w:t>开题报告，提交给导师审核。</w:t>
            </w:r>
          </w:p>
          <w:p w14:paraId="06019CC1">
            <w:pPr>
              <w:pStyle w:val="5"/>
              <w:spacing w:before="88" w:line="227" w:lineRule="auto"/>
              <w:ind w:left="111"/>
            </w:pPr>
            <w:r>
              <w:rPr>
                <w:rFonts w:ascii="Times New Roman" w:hAnsi="Times New Roman" w:eastAsia="Times New Roman" w:cs="Times New Roman"/>
                <w:spacing w:val="4"/>
              </w:rPr>
              <w:t>2024.</w:t>
            </w:r>
            <w:r>
              <w:rPr>
                <w:rFonts w:ascii="Times New Roman" w:hAnsi="Times New Roman" w:eastAsia="Times New Roman" w:cs="Times New Roman"/>
                <w:spacing w:val="-11"/>
              </w:rPr>
              <w:t xml:space="preserve"> </w:t>
            </w:r>
            <w:r>
              <w:rPr>
                <w:rFonts w:ascii="Times New Roman" w:hAnsi="Times New Roman" w:eastAsia="Times New Roman" w:cs="Times New Roman"/>
                <w:spacing w:val="4"/>
              </w:rPr>
              <w:t>11.21-2024.</w:t>
            </w:r>
            <w:r>
              <w:rPr>
                <w:rFonts w:ascii="Times New Roman" w:hAnsi="Times New Roman" w:eastAsia="Times New Roman" w:cs="Times New Roman"/>
                <w:spacing w:val="-25"/>
              </w:rPr>
              <w:t xml:space="preserve"> </w:t>
            </w:r>
            <w:r>
              <w:rPr>
                <w:rFonts w:ascii="Times New Roman" w:hAnsi="Times New Roman" w:eastAsia="Times New Roman" w:cs="Times New Roman"/>
                <w:spacing w:val="4"/>
              </w:rPr>
              <w:t xml:space="preserve">11.30 </w:t>
            </w:r>
            <w:r>
              <w:rPr>
                <w:spacing w:val="4"/>
              </w:rPr>
              <w:t>答辩委员会（组）完成开题审查。</w:t>
            </w:r>
          </w:p>
          <w:p w14:paraId="30D4E0E4">
            <w:pPr>
              <w:pStyle w:val="5"/>
              <w:spacing w:before="89" w:line="267" w:lineRule="auto"/>
              <w:ind w:left="114" w:right="55" w:hanging="3"/>
            </w:pPr>
            <w:r>
              <w:rPr>
                <w:rFonts w:ascii="Times New Roman" w:hAnsi="Times New Roman" w:eastAsia="Times New Roman" w:cs="Times New Roman"/>
                <w:spacing w:val="4"/>
              </w:rPr>
              <w:t>2024.</w:t>
            </w:r>
            <w:r>
              <w:rPr>
                <w:rFonts w:ascii="Times New Roman" w:hAnsi="Times New Roman" w:eastAsia="Times New Roman" w:cs="Times New Roman"/>
                <w:spacing w:val="-23"/>
              </w:rPr>
              <w:t xml:space="preserve"> </w:t>
            </w:r>
            <w:r>
              <w:rPr>
                <w:rFonts w:ascii="Times New Roman" w:hAnsi="Times New Roman" w:eastAsia="Times New Roman" w:cs="Times New Roman"/>
                <w:spacing w:val="4"/>
              </w:rPr>
              <w:t xml:space="preserve">12.01-2025.02.28 </w:t>
            </w:r>
            <w:r>
              <w:rPr>
                <w:spacing w:val="4"/>
              </w:rPr>
              <w:t>根据所选课题进行毕业设计，填写中期检查表提交给导师，导师负责审查，</w:t>
            </w:r>
            <w:r>
              <w:rPr>
                <w:spacing w:val="8"/>
              </w:rPr>
              <w:t>答辩委员会（组）审核。</w:t>
            </w:r>
          </w:p>
          <w:p w14:paraId="6BF97345">
            <w:pPr>
              <w:pStyle w:val="5"/>
              <w:spacing w:before="85" w:line="228" w:lineRule="auto"/>
              <w:ind w:left="111"/>
            </w:pPr>
            <w:r>
              <w:rPr>
                <w:rFonts w:ascii="Times New Roman" w:hAnsi="Times New Roman" w:eastAsia="Times New Roman" w:cs="Times New Roman"/>
                <w:spacing w:val="7"/>
              </w:rPr>
              <w:t xml:space="preserve">2025.03.01-2025.04.06 </w:t>
            </w:r>
            <w:r>
              <w:rPr>
                <w:spacing w:val="7"/>
              </w:rPr>
              <w:t>根据导师的建议和指导，撰写毕业论文，完成论文</w:t>
            </w:r>
            <w:r>
              <w:rPr>
                <w:spacing w:val="6"/>
              </w:rPr>
              <w:t>查重。</w:t>
            </w:r>
          </w:p>
          <w:p w14:paraId="424D61E9">
            <w:pPr>
              <w:pStyle w:val="5"/>
              <w:spacing w:before="86" w:line="228" w:lineRule="auto"/>
              <w:ind w:left="111"/>
            </w:pPr>
            <w:r>
              <w:rPr>
                <w:rFonts w:ascii="Times New Roman" w:hAnsi="Times New Roman" w:eastAsia="Times New Roman" w:cs="Times New Roman"/>
                <w:spacing w:val="5"/>
              </w:rPr>
              <w:t xml:space="preserve">2025.04.07-2025.04.25 </w:t>
            </w:r>
            <w:r>
              <w:rPr>
                <w:spacing w:val="5"/>
              </w:rPr>
              <w:t>论文评阅和答辩。</w:t>
            </w:r>
          </w:p>
          <w:p w14:paraId="70746A68">
            <w:pPr>
              <w:pStyle w:val="5"/>
              <w:spacing w:before="87" w:line="228" w:lineRule="auto"/>
              <w:ind w:left="111"/>
            </w:pPr>
            <w:r>
              <w:rPr>
                <w:rFonts w:ascii="Times New Roman" w:hAnsi="Times New Roman" w:eastAsia="Times New Roman" w:cs="Times New Roman"/>
                <w:spacing w:val="5"/>
              </w:rPr>
              <w:t>2025.04.26-2025.05.</w:t>
            </w:r>
            <w:r>
              <w:rPr>
                <w:rFonts w:ascii="Times New Roman" w:hAnsi="Times New Roman" w:eastAsia="Times New Roman" w:cs="Times New Roman"/>
                <w:spacing w:val="-19"/>
              </w:rPr>
              <w:t xml:space="preserve"> </w:t>
            </w:r>
            <w:r>
              <w:rPr>
                <w:rFonts w:ascii="Times New Roman" w:hAnsi="Times New Roman" w:eastAsia="Times New Roman" w:cs="Times New Roman"/>
                <w:spacing w:val="5"/>
              </w:rPr>
              <w:t xml:space="preserve">10 </w:t>
            </w:r>
            <w:r>
              <w:rPr>
                <w:spacing w:val="5"/>
              </w:rPr>
              <w:t>根据答辩建议修改毕业论文。</w:t>
            </w:r>
          </w:p>
        </w:tc>
      </w:tr>
      <w:tr w14:paraId="1BB9F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69" w:hRule="atLeast"/>
        </w:trPr>
        <w:tc>
          <w:tcPr>
            <w:tcW w:w="8937" w:type="dxa"/>
            <w:vAlign w:val="top"/>
          </w:tcPr>
          <w:p w14:paraId="608B9DFD">
            <w:pPr>
              <w:spacing w:before="66" w:line="229" w:lineRule="auto"/>
              <w:ind w:left="114"/>
              <w:rPr>
                <w:rFonts w:ascii="黑体" w:hAnsi="黑体" w:eastAsia="黑体" w:cs="黑体"/>
                <w:sz w:val="20"/>
                <w:szCs w:val="20"/>
              </w:rPr>
            </w:pPr>
            <w:r>
              <w:rPr>
                <w:rFonts w:ascii="黑体" w:hAnsi="黑体" w:eastAsia="黑体" w:cs="黑体"/>
                <w:b/>
                <w:bCs/>
                <w:spacing w:val="7"/>
                <w:sz w:val="20"/>
                <w:szCs w:val="20"/>
              </w:rPr>
              <w:t>指导教师对开题报告的意见</w:t>
            </w:r>
          </w:p>
          <w:p w14:paraId="17CDC1DE">
            <w:pPr>
              <w:pStyle w:val="5"/>
              <w:spacing w:before="86" w:line="307" w:lineRule="auto"/>
              <w:ind w:left="118" w:right="107" w:firstLine="420"/>
            </w:pPr>
            <w:r>
              <w:rPr>
                <w:spacing w:val="7"/>
              </w:rPr>
              <w:t>该选题具有较好的意义，学生对该选题的计划详细，且选题难度适中，资料收集和现状研究详实，同意开题。</w:t>
            </w:r>
          </w:p>
          <w:p w14:paraId="4CE6F60A">
            <w:pPr>
              <w:pStyle w:val="5"/>
              <w:spacing w:before="269" w:line="223" w:lineRule="auto"/>
              <w:ind w:left="2829"/>
              <w:rPr>
                <w:rFonts w:ascii="黑体" w:hAnsi="黑体" w:eastAsia="黑体" w:cs="黑体"/>
                <w:sz w:val="24"/>
                <w:szCs w:val="24"/>
              </w:rPr>
            </w:pPr>
            <w:r>
              <w:rPr>
                <w:rFonts w:ascii="黑体" w:hAnsi="黑体" w:eastAsia="黑体" w:cs="黑体"/>
                <w:b/>
                <w:bCs/>
                <w:spacing w:val="-3"/>
              </w:rPr>
              <w:t>指导教师签名：</w:t>
            </w:r>
            <w:r>
              <w:rPr>
                <w:rFonts w:ascii="黑体" w:hAnsi="黑体" w:eastAsia="黑体" w:cs="黑体"/>
                <w:spacing w:val="3"/>
              </w:rPr>
              <w:t xml:space="preserve">                         </w:t>
            </w:r>
            <w:r>
              <w:rPr>
                <w:spacing w:val="-47"/>
                <w:sz w:val="24"/>
                <w:szCs w:val="24"/>
              </w:rPr>
              <w:t xml:space="preserve"> </w:t>
            </w:r>
            <w:r>
              <w:rPr>
                <w:rFonts w:ascii="黑体" w:hAnsi="黑体" w:eastAsia="黑体" w:cs="黑体"/>
                <w:spacing w:val="-3"/>
                <w:sz w:val="24"/>
                <w:szCs w:val="24"/>
              </w:rPr>
              <w:t>年</w:t>
            </w:r>
            <w:r>
              <w:rPr>
                <w:rFonts w:ascii="黑体" w:hAnsi="黑体" w:eastAsia="黑体" w:cs="黑体"/>
                <w:spacing w:val="-33"/>
                <w:sz w:val="24"/>
                <w:szCs w:val="24"/>
              </w:rPr>
              <w:t xml:space="preserve"> </w:t>
            </w:r>
            <w:r>
              <w:rPr>
                <w:rFonts w:hint="eastAsia" w:ascii="黑体" w:hAnsi="黑体" w:eastAsia="黑体" w:cs="黑体"/>
                <w:spacing w:val="-33"/>
                <w:sz w:val="24"/>
                <w:szCs w:val="24"/>
                <w:lang w:val="en-US" w:eastAsia="zh-CN"/>
              </w:rPr>
              <w:t xml:space="preserve"> </w:t>
            </w:r>
            <w:r>
              <w:rPr>
                <w:rFonts w:ascii="黑体" w:hAnsi="黑体" w:eastAsia="黑体" w:cs="黑体"/>
                <w:spacing w:val="-3"/>
                <w:sz w:val="24"/>
                <w:szCs w:val="24"/>
              </w:rPr>
              <w:t>月</w:t>
            </w:r>
            <w:r>
              <w:rPr>
                <w:rFonts w:ascii="黑体" w:hAnsi="黑体" w:eastAsia="黑体" w:cs="黑体"/>
                <w:spacing w:val="-47"/>
                <w:sz w:val="24"/>
                <w:szCs w:val="24"/>
              </w:rPr>
              <w:t xml:space="preserve"> </w:t>
            </w:r>
            <w:r>
              <w:rPr>
                <w:rFonts w:hint="eastAsia" w:ascii="黑体" w:hAnsi="黑体" w:eastAsia="黑体" w:cs="黑体"/>
                <w:spacing w:val="-47"/>
                <w:sz w:val="24"/>
                <w:szCs w:val="24"/>
                <w:lang w:val="en-US" w:eastAsia="zh-CN"/>
              </w:rPr>
              <w:t xml:space="preserve"> </w:t>
            </w:r>
            <w:r>
              <w:rPr>
                <w:spacing w:val="-3"/>
                <w:sz w:val="24"/>
                <w:szCs w:val="24"/>
              </w:rPr>
              <w:t xml:space="preserve"> </w:t>
            </w:r>
            <w:r>
              <w:rPr>
                <w:rFonts w:ascii="黑体" w:hAnsi="黑体" w:eastAsia="黑体" w:cs="黑体"/>
                <w:spacing w:val="-3"/>
                <w:sz w:val="24"/>
                <w:szCs w:val="24"/>
              </w:rPr>
              <w:t>日</w:t>
            </w:r>
          </w:p>
        </w:tc>
      </w:tr>
      <w:tr w14:paraId="50ECEB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74" w:hRule="atLeast"/>
        </w:trPr>
        <w:tc>
          <w:tcPr>
            <w:tcW w:w="8937" w:type="dxa"/>
            <w:vAlign w:val="top"/>
          </w:tcPr>
          <w:p w14:paraId="585C13B1">
            <w:pPr>
              <w:spacing w:before="67" w:line="229" w:lineRule="auto"/>
              <w:ind w:left="119"/>
              <w:rPr>
                <w:rFonts w:ascii="黑体" w:hAnsi="黑体" w:eastAsia="黑体" w:cs="黑体"/>
                <w:sz w:val="20"/>
                <w:szCs w:val="20"/>
              </w:rPr>
            </w:pPr>
            <w:r>
              <w:rPr>
                <w:rFonts w:ascii="黑体" w:hAnsi="黑体" w:eastAsia="黑体" w:cs="黑体"/>
                <w:b/>
                <w:bCs/>
                <w:spacing w:val="7"/>
                <w:sz w:val="20"/>
                <w:szCs w:val="20"/>
              </w:rPr>
              <w:t>系（室）对本课题开题的意见</w:t>
            </w:r>
          </w:p>
          <w:p w14:paraId="18C642CA">
            <w:pPr>
              <w:pStyle w:val="5"/>
              <w:spacing w:before="81" w:line="309" w:lineRule="auto"/>
              <w:ind w:left="121" w:right="107" w:firstLine="417"/>
            </w:pPr>
            <w:r>
              <w:rPr>
                <w:spacing w:val="7"/>
              </w:rPr>
              <w:t>该生提交的开题报告选题方向明确，符合软件工程专业培养目标，具有一定应用价值和实践</w:t>
            </w:r>
            <w:r>
              <w:rPr>
                <w:spacing w:val="9"/>
              </w:rPr>
              <w:t>意义。时间安排合理，工作量适中，开题报告撰写符合要求，同意开题。</w:t>
            </w:r>
          </w:p>
          <w:p w14:paraId="15FC4401">
            <w:pPr>
              <w:pStyle w:val="5"/>
              <w:spacing w:before="269" w:line="223" w:lineRule="auto"/>
              <w:ind w:left="3042"/>
              <w:rPr>
                <w:rFonts w:ascii="黑体" w:hAnsi="黑体" w:eastAsia="黑体" w:cs="黑体"/>
                <w:sz w:val="24"/>
                <w:szCs w:val="24"/>
              </w:rPr>
            </w:pPr>
            <w:r>
              <w:rPr>
                <w:rFonts w:ascii="黑体" w:hAnsi="黑体" w:eastAsia="黑体" w:cs="黑体"/>
                <w:b/>
                <w:bCs/>
                <w:spacing w:val="-2"/>
              </w:rPr>
              <w:t>负责人签名：</w:t>
            </w:r>
            <w:r>
              <w:rPr>
                <w:rFonts w:ascii="黑体" w:hAnsi="黑体" w:eastAsia="黑体" w:cs="黑体"/>
                <w:spacing w:val="-2"/>
              </w:rPr>
              <w:t xml:space="preserve">                          </w:t>
            </w:r>
            <w:r>
              <w:rPr>
                <w:rFonts w:hint="eastAsia" w:eastAsia="黑体"/>
                <w:spacing w:val="-2"/>
                <w:sz w:val="24"/>
                <w:szCs w:val="24"/>
                <w:lang w:val="en-US" w:eastAsia="zh-CN"/>
              </w:rPr>
              <w:t xml:space="preserve">  </w:t>
            </w:r>
            <w:r>
              <w:rPr>
                <w:rFonts w:ascii="黑体" w:hAnsi="黑体" w:eastAsia="黑体" w:cs="黑体"/>
                <w:spacing w:val="-2"/>
                <w:sz w:val="24"/>
                <w:szCs w:val="24"/>
              </w:rPr>
              <w:t>年</w:t>
            </w:r>
            <w:r>
              <w:rPr>
                <w:rFonts w:ascii="黑体" w:hAnsi="黑体" w:eastAsia="黑体" w:cs="黑体"/>
                <w:spacing w:val="-33"/>
                <w:sz w:val="24"/>
                <w:szCs w:val="24"/>
              </w:rPr>
              <w:t xml:space="preserve"> </w:t>
            </w:r>
            <w:r>
              <w:rPr>
                <w:rFonts w:hint="eastAsia" w:eastAsia="黑体"/>
                <w:spacing w:val="-2"/>
                <w:sz w:val="24"/>
                <w:szCs w:val="24"/>
                <w:lang w:val="en-US" w:eastAsia="zh-CN"/>
              </w:rPr>
              <w:t xml:space="preserve"> </w:t>
            </w:r>
            <w:r>
              <w:rPr>
                <w:spacing w:val="-45"/>
                <w:sz w:val="24"/>
                <w:szCs w:val="24"/>
              </w:rPr>
              <w:t xml:space="preserve"> </w:t>
            </w:r>
            <w:r>
              <w:rPr>
                <w:rFonts w:ascii="黑体" w:hAnsi="黑体" w:eastAsia="黑体" w:cs="黑体"/>
                <w:spacing w:val="-2"/>
                <w:sz w:val="24"/>
                <w:szCs w:val="24"/>
              </w:rPr>
              <w:t>月</w:t>
            </w:r>
            <w:r>
              <w:rPr>
                <w:rFonts w:hint="eastAsia" w:ascii="黑体" w:hAnsi="黑体" w:eastAsia="黑体" w:cs="黑体"/>
                <w:spacing w:val="-48"/>
                <w:sz w:val="24"/>
                <w:szCs w:val="24"/>
                <w:lang w:val="en-US" w:eastAsia="zh-CN"/>
              </w:rPr>
              <w:t xml:space="preserve"> </w:t>
            </w:r>
            <w:r>
              <w:rPr>
                <w:spacing w:val="-3"/>
                <w:sz w:val="24"/>
                <w:szCs w:val="24"/>
              </w:rPr>
              <w:t xml:space="preserve"> </w:t>
            </w:r>
            <w:r>
              <w:rPr>
                <w:rFonts w:ascii="黑体" w:hAnsi="黑体" w:eastAsia="黑体" w:cs="黑体"/>
                <w:spacing w:val="-3"/>
                <w:sz w:val="24"/>
                <w:szCs w:val="24"/>
              </w:rPr>
              <w:t>日</w:t>
            </w:r>
          </w:p>
        </w:tc>
      </w:tr>
    </w:tbl>
    <w:p w14:paraId="28045DE6">
      <w:pPr>
        <w:rPr>
          <w:rFonts w:ascii="Arial"/>
          <w:sz w:val="21"/>
        </w:rPr>
      </w:pPr>
    </w:p>
    <w:sectPr>
      <w:pgSz w:w="11906" w:h="16839"/>
      <w:pgMar w:top="1416" w:right="1482" w:bottom="0" w:left="1481"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C23F7B"/>
    <w:rsid w:val="0C0D5B68"/>
    <w:rsid w:val="2218329C"/>
    <w:rsid w:val="3EF73899"/>
    <w:rsid w:val="451E315F"/>
    <w:rsid w:val="48027536"/>
    <w:rsid w:val="4AE253FD"/>
    <w:rsid w:val="54210D44"/>
    <w:rsid w:val="560B15A0"/>
    <w:rsid w:val="5B4516CD"/>
    <w:rsid w:val="5B6F4A8B"/>
    <w:rsid w:val="63C94F54"/>
    <w:rsid w:val="761D616A"/>
    <w:rsid w:val="76343B8D"/>
    <w:rsid w:val="7D456FA2"/>
    <w:rsid w:val="7D9B51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 w:type="paragraph" w:customStyle="1" w:styleId="5">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3501</Words>
  <Characters>6086</Characters>
  <TotalTime>286</TotalTime>
  <ScaleCrop>false</ScaleCrop>
  <LinksUpToDate>false</LinksUpToDate>
  <CharactersWithSpaces>6627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2025-11-13T20:02:00Z</dcterms:created>
  <dc:creator>张 梦龙</dc:creator>
  <cp:lastModifiedBy>浅巷.</cp:lastModifiedBy>
  <dcterms:modified xsi:type="dcterms:W3CDTF">2026-02-25T03:53:11Z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2025-11-18T17:57:39Z</vt:filetime>
  </property>
  <property fmtid="{D5CDD505-2E9C-101B-9397-08002B2CF9AE}" pid="4" name="KSOTemplateDocerSaveRecord">
    <vt:lpwstr>eyJoZGlkIjoiMmJmMDRiMjBlMzU1OTdkODllYjYxMDgwY2VjNWI1YjUiLCJ1c2VySWQiOiI3ODA0MTkyMjYifQ==</vt:lpwstr>
  </property>
  <property fmtid="{D5CDD505-2E9C-101B-9397-08002B2CF9AE}" pid="5" name="KSOProductBuildVer">
    <vt:lpwstr>2052-12.1.0.25225</vt:lpwstr>
  </property>
  <property fmtid="{D5CDD505-2E9C-101B-9397-08002B2CF9AE}" pid="6" name="ICV">
    <vt:lpwstr>A304DE23619B47E68F194293AADF7F3E_13</vt:lpwstr>
  </property>
</Properties>
</file>