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t xml:space="preserve"> with the filter disclosed; to demonstrate explainability by tracing a decision.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admitted 8,707 of 10,000 images. Accuracy is 91.13 %; support-weighted precision, recall, and F-measure are 91.92 %, 91.13 %, and 91.34 %. </w:t>
      </w:r>
      <w:r>
        <w:t xml:space="preserve">An archived replay gives one numerical chain from edit operations to the final score.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t>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Така постановка практично цінна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14:paraId="693FA114" w14:textId="77777777" w:rsidR="002C74D4" w:rsidRDefault="00000000">
      <w:pPr>
        <w:spacing w:after="0" w:line="280" w:lineRule="exact"/>
        <w:ind w:firstLine="567"/>
        <w:jc w:val="both"/>
      </w:pPr>
      <w:r>
        <w:t>Baniecki and Biecek [6] зводять у спільну систему позначень роботи зі змагального машинного навчання та пояснюваного штучного інтелекту й систематизують атаки на пояснення разом зі способами захисту від них. Автори показують, що маніпуляція поясненням, його підміна та приховування ознак упередженості моделі (fairwashing) можливі для більшості поширених методів, і формулюють вимоги до протоколів оцінювання пояснень. Предметом огляду є захист ретроспективних пояснювачів; питання про подання, у якому пояснення неможливо відокремити від обчислення, в огляді не порушено.</w:t>
      </w:r>
    </w:p>
    <w:p w14:paraId="491365EA" w14:textId="77777777" w:rsidR="002C74D4" w:rsidRDefault="00000000">
      <w:pPr>
        <w:spacing w:after="0" w:line="280" w:lineRule="exact"/>
        <w:ind w:firstLine="567"/>
        <w:jc w:val="both"/>
      </w:pPr>
      <w:r>
        <w:t>Bello et al. [7] звертаються до головної труднощі кількісного оцінювання пояснень: для пояснення немає еталона, з яким його можна звірити. Автори пропонують міру LSE (Level of Strength of an Explanation), яка показує, наскільки пояснення підтримує саме той клас, що його передбачив класифікатор; міру побудовано за аналогією з відношенням правдоподібності в судовій експертизі. Нерозв'язаним лишається те, що якість ретроспективного пояснення доводиться встановлювати опосередковано, окремою процедурою поверх пояснювача, а не читати із самого обчислення.</w:t>
      </w:r>
    </w:p>
    <w:p w14:paraId="0839A032" w14:textId="77777777" w:rsidR="002C74D4" w:rsidRDefault="00000000">
      <w:pPr>
        <w:spacing w:after="0" w:line="280" w:lineRule="exact"/>
        <w:ind w:firstLine="567"/>
        <w:jc w:val="both"/>
      </w:pPr>
      <w:r>
        <w:t>Альтернативний напрям проєктування утворюють моделі, пояснювані за побудовою, на потребі в яких наполягає Rudin [5]. Огляд методів пояснюваності на основі графів знань [8] систематизує способи, якими явні структурні подання входять до систем пояснюваного штучного інтелекту: від видобування ознак і відношень до міркування над графом.</w:t>
      </w:r>
    </w:p>
    <w:p w14:paraId="25C35E01" w14:textId="77777777" w:rsidR="002C74D4" w:rsidRDefault="00000000">
      <w:pPr>
        <w:spacing w:after="0" w:line="280" w:lineRule="exact"/>
        <w:ind w:firstLine="567"/>
        <w:jc w:val="both"/>
      </w:pPr>
      <w:r>
        <w:t>Forest et al. [9] застосовують моделі з концептним вузьким місцем (concept bottleneck models) до прогнозування залишкового ресурсу обладнання, узявши за проміжні концепти режими деградації компонентів. Прогноз завдяки цьому розкладається за станом кожного компонента, а експерт може втрутитися в активації концептів під час випробування без перенавчання моделі. Робота показує практичну користь проміжного шару зрозумілих понять порівняно з методами приписування важливості вхідним ознакам. Відображення входу на концепти в цій схемі лишається навченою нейронною мережею, тому простежити його за елементами подання неможливо.</w:t>
      </w:r>
    </w:p>
    <w:p w14:paraId="52FA1CE9" w14:textId="77777777" w:rsidR="002C74D4" w:rsidRDefault="00000000">
      <w:pPr>
        <w:spacing w:after="0" w:line="280" w:lineRule="exact"/>
        <w:ind w:firstLine="567"/>
        <w:jc w:val="both"/>
      </w:pPr>
      <w:r>
        <w:t>Sovatzidi et al. [10] будують класифікацію зображень на інтуїціоністських нечітких когнітивних картах, структуру графа яких визначає алгоритм навчання за даними. Ступінь вагання (hesitancy) є мірою невпевненості, з якою зображення віднесено до класу, а рішення подано лінгвістичними термінами, зрозумілими без додаткового тлумачення. Тут носієм пояснення є граф, а не надбудова над навченою мережею. Вузли графа відповідають ознакам областей зображення, тому геометрія контуру та топологія його зв'язності в подання не входять.</w:t>
      </w:r>
    </w:p>
    <w:p w14:paraId="6033FA99" w14:textId="77777777" w:rsidR="002C74D4" w:rsidRDefault="00000000">
      <w:pPr>
        <w:spacing w:after="0" w:line="280" w:lineRule="exact"/>
        <w:ind w:firstLine="567"/>
        <w:jc w:val="both"/>
      </w:pPr>
      <w:r>
        <w:t>García-Cuesta et al. [11] показують, що подання прототипів у прототипних мережах можна змінити навмисно або ненавмисно без втрати зовнішньої правдоподібності пояснення. Цей результат спонукає перевіряти, чи має елемент пояснення зміст поза навченим простором вкладень.</w:t>
      </w:r>
    </w:p>
    <w:p w14:paraId="4521A542" w14:textId="77777777" w:rsidR="002C74D4" w:rsidRDefault="00000000">
      <w:pPr>
        <w:spacing w:after="0" w:line="280" w:lineRule="exact"/>
        <w:ind w:firstLine="567"/>
        <w:jc w:val="both"/>
      </w:pPr>
      <w:r>
        <w:t>Структурні подання форми мають довгу історію в комп'ютерному зорі. Vision GNN [12] трактує зображення як граф вузлів-фрагментів і будує на ньому мережу передавання повідомлень. Chatbri et al. [13] досліджують контури та скелети як подання форми для зіставлення бінарних зображень. Shen et al. [14] будують розпізнавання форми на наборі контурних частин, пов'язаних зі скелетом. Ці роботи підтверджують доцільність структурного опису, але зупиняються на рівні ознак і не роблять структуру носієм самого пояснення.</w:t>
      </w:r>
    </w:p>
    <w:p w14:paraId="36CDC179" w14:textId="77777777" w:rsidR="002C74D4" w:rsidRDefault="00000000">
      <w:pPr>
        <w:spacing w:after="0" w:line="280" w:lineRule="exact"/>
        <w:ind w:firstLine="567"/>
        <w:jc w:val="both"/>
      </w:pPr>
      <w:r>
        <w:t>Elsharkawi et al. [15] розвивають напрям Vision GNN. Автори зауважують, що наявні моделі будують граф кожного шару непараметричними статистичними правилами (k найближчих сусідів, поріг подібності, гіперграф), і пропонують натомість схему LRGC: увагу на основі ключів і запитів між усіма парами вузлів з м'яким пороговим репараметруванням, завдяки чому вибір сусідства стає диференційовним і навчаним. На наборі ImageNet-1k підхід переважає моделі ViG порівнянного розміру. Граф тут є проміжним поданням усередині мережі, тому його вузли та ребра не мають значення, яке можна прочитати окремо від ваг.</w:t>
      </w:r>
    </w:p>
    <w:p w14:paraId="0E841966" w14:textId="77777777" w:rsidR="002C74D4" w:rsidRDefault="00000000">
      <w:pPr>
        <w:spacing w:after="0" w:line="280" w:lineRule="exact"/>
        <w:ind w:firstLine="567"/>
        <w:jc w:val="both"/>
      </w:pPr>
      <w:r>
        <w:lastRenderedPageBreak/>
        <w:t>Senior et al. [16] оглядають застосування графових нейронних мереж до розуміння двовимірних зображень і подають систематику типів графів, які використовують у підписуванні зображень, відповідях на запитання за зображенням і пошуку. Огляд фіксує, що граф став типовим складником таких конвеєрів як спосіб описати взаємне розташування об'єктів сцени. Роль графа в оглянутих роботах зводиться до постачання структурованих ознак для подальшого навченого модуля; питання про те, чи може сам граф бути записом ухваленого рішення, в огляді не поставлено.</w:t>
      </w:r>
    </w:p>
    <w:p w14:paraId="7CCF1ABE" w14:textId="77777777" w:rsidR="002C74D4" w:rsidRDefault="00000000">
      <w:pPr>
        <w:spacing w:after="0" w:line="280" w:lineRule="exact"/>
        <w:ind w:firstLine="567"/>
        <w:jc w:val="both"/>
      </w:pPr>
      <w:r>
        <w:t>Задачу зіставлення графів досліджують давно. Оглядова праця Conte et al. [17] систематизує точні й наближені алгоритми зіставлення за тридцять років. Відстань редагування графів (Graph Edit Distance, GED) дає міру подібності з прозорою семантикою: вартість перетворення одного графа на інший розкладається на елементарні операції над вузлами та ребрами. Riesen and Bunke [18] запропонували наближення GED за двочастковим призначенням, яке зробило міру придатною для практичних розмірів графів. Wang et al. [19] розвивають гібридні схеми обчислення GED, де частину вартості визначає нейронна мережа. Розклад на операції редагування робить GED зручною основою для пояснення: кожен доданок вартості прив'язаний до конкретної пари елементів.</w:t>
      </w:r>
    </w:p>
    <w:p w14:paraId="3041F02C" w14:textId="77777777" w:rsidR="002C74D4" w:rsidRDefault="00000000">
      <w:pPr>
        <w:spacing w:after="0" w:line="280" w:lineRule="exact"/>
        <w:ind w:firstLine="567"/>
        <w:jc w:val="both"/>
      </w:pPr>
      <w:r>
        <w:t>Piao et al. [20] обчислюють GED за двоступеневою схемою: мережа GEDGNN передбачає значення відстані та матрицю відповідності, а подальша обробка відновлює з неї власне шлях редагування. Мотивом роботи є пряме зауваження авторів: моделі, які зводять GED до регресії подібності, досягають вищої числової точності, проте не породжують послідовності операцій, а без неї пояснюваність і практична придатність розв'язку втрачаються. Це формулювання збігається з тим, як GED використано в цій статті. GEDGNN відновлює шлях редагування засобами навченої мережі, тоді як тут він є прямим результатом самої процедури зіставлення.</w:t>
      </w:r>
    </w:p>
    <w:p w14:paraId="6CA79947" w14:textId="77777777" w:rsidR="002C74D4" w:rsidRDefault="00000000">
      <w:pPr>
        <w:spacing w:after="0" w:line="280" w:lineRule="exact"/>
        <w:ind w:firstLine="567"/>
        <w:jc w:val="both"/>
      </w:pPr>
      <w:r>
        <w:t>Ще два напрями розвитку GED пришвидшують саме обчислення: Tang et al. [21] зводять задачу до відстані Fused Gromov-Wasserstein і будують алгоритм FGWAlign складності O(|V||E|), який на чотирьох наборах даних зменшує похибку більш ніж на 80 % і прискорює обчислення в 15–60 разів. FGWAlign явно задає операції редагування та вартості перемаркування вузлів, але використовує загальні мітки й ребра, а не геометричні ознаки цієї роботи. Moscatelli et al. [22] переформульовують квадратичну задачу про призначення як передбачення ребер на графі екземпляра й наскрізно отримують м'яку матрицю відповідності графовою мережею з виразністю рівня 3-WL. Запропонована схема відрізняється розкладом вартості заміщення за наперед визначеними геометричними ознаками вузлів.</w:t>
      </w:r>
    </w:p>
    <w:p w14:paraId="74B03C10" w14:textId="77777777" w:rsidR="002C74D4" w:rsidRDefault="00000000">
      <w:pPr>
        <w:spacing w:after="0" w:line="280" w:lineRule="exact"/>
        <w:ind w:firstLine="567"/>
        <w:jc w:val="both"/>
      </w:pPr>
      <w:r>
        <w:t>Gan et al. [23] подають рукописні китайські ієрогліфи скелетними графами, а не растровими зображеннями чи часовими траєкторіями, і будують над таким поданням Pyramid Graph Transformer. Вибір мотивовано прямо: растр і траєкторія втрачають геометричну семантику знака, властиву його структурі. За вибором подання це найближча до цієї статті робота, бо в ній скелет знака теж подано графом. Там граф є входом трансформера й рішення визначають його ваги, тоді як тут граф зіставляють з графом концепту, а відповідь складається з переліку заміщень із їхніми вартостями.</w:t>
      </w:r>
    </w:p>
    <w:p w14:paraId="27FD3B02" w14:textId="77777777" w:rsidR="002C74D4" w:rsidRDefault="00000000">
      <w:pPr>
        <w:spacing w:after="0" w:line="280" w:lineRule="exact"/>
        <w:ind w:firstLine="567"/>
        <w:jc w:val="both"/>
      </w:pPr>
      <w:r>
        <w:t>Dong et al. [24] для розпізнавання ієрогліфів без навчальних прикладів класу будують низхідне орієнтоване дерево радикалів, яке кодує графова нейронна мережа; спрямоване позиційне кодування розрізняє просторові відношення вузлів у межах одного піддерева. Підхід перевірено на рукописних, сценових, художніх і давніх написаннях. Робота показує, що явний структурний опис знака дає змогу впізнавати класи, яких не було в навчальній вибірці. Сам опис, однак, задано наперед словником радикалів, а не виведено із зображень процедурою узагальнення, як алфавіт концептів у цій статті.</w:t>
      </w:r>
    </w:p>
    <w:p w14:paraId="38CD85AE" w14:textId="77777777" w:rsidR="002C74D4" w:rsidRDefault="00000000">
      <w:pPr>
        <w:spacing w:after="0" w:line="280" w:lineRule="exact"/>
        <w:ind w:firstLine="567"/>
        <w:jc w:val="both"/>
      </w:pPr>
      <w:r>
        <w:t>Навчання з малої кількості прикладів розвивається переважно в парадигмі метанавчання. Прототипні мережі [25] будують прототип класу як центроїд опорних прикладів у навченому просторі вкладень. MAML [26] шукає початкові ваги, з яких кілька кроків градієнтного спуску дають придатну модель для нової задачі. Lake et al. [27] демонструють породжувальну програмну модель, яка засвоює рукописний символ з одного прикладу.</w:t>
      </w:r>
    </w:p>
    <w:p w14:paraId="3F8E48C4" w14:textId="77777777" w:rsidR="002C74D4" w:rsidRDefault="00000000">
      <w:pPr>
        <w:spacing w:after="0" w:line="280" w:lineRule="exact"/>
        <w:ind w:firstLine="567"/>
        <w:jc w:val="both"/>
      </w:pPr>
      <w:r>
        <w:t>Ji et al. [28] поєднують самопояснювані моделі й навчання з малої кількості прикладів. Автори формулюють дві перешкоди режиму нестачі даних (параметричний дисбаланс і розлад подань) і долають їх сумішшю LoRA-експертів, узгодженням ознак кістяка мережі з активаціями прототипних концептів та функцією втрат, яка змушує концепти бути взаємно ортогональними. На шести еталонних наборах підхід переважає порівнювані методи. Дослідження підтверджує, що пояснюваність і мала навчальна вибірка сумісні; концепти при цьому лишаються векторами в навченому просторі, а не структурами, придатними до огляду.</w:t>
      </w:r>
    </w:p>
    <w:p w14:paraId="508A57E6" w14:textId="77777777" w:rsidR="002C74D4" w:rsidRDefault="00000000">
      <w:pPr>
        <w:spacing w:after="0" w:line="280" w:lineRule="exact"/>
        <w:ind w:firstLine="567"/>
        <w:jc w:val="both"/>
      </w:pPr>
      <w:r>
        <w:lastRenderedPageBreak/>
        <w:t>Окремий напрям становлять альтернативи зворотному поширенню помилки. Алгоритм Forward-Forward [29] замінює зворотний прохід двома прямими проходами з локальним критерієм. Огляд нейросимвольної інтеграції [30] описує спроби поєднати підсимвольне навчання з явними символьними структурами, де символьна частина відповідає за перевірність висновку.</w:t>
      </w:r>
    </w:p>
    <w:p w14:paraId="665B0472" w14:textId="77777777" w:rsidR="002C74D4" w:rsidRDefault="00000000">
      <w:pPr>
        <w:spacing w:after="0" w:line="280" w:lineRule="exact"/>
        <w:ind w:firstLine="567"/>
        <w:jc w:val="both"/>
      </w:pPr>
      <w:r>
        <w:t>Ghader et al. [31] навчають імпульсні нейронні мережі алгоритмом Forward-Forward: двома прямими проходами з локальним пошаровим критерієм замість зворотного проходу. На статичних наборах MNIST, Fashion-MNIST і Kuzushiji-MNIST модель переважає попередні мережі цього класу за значно легшої архітектури, а на складніших імпульсних завданнях лишається порівнянною з мережами, навченими зворотним поширенням. Робота засвідчує, що відмова від глобального градієнта не є принциповою перешкодою для точності на задачах рівня MNIST. Локальність критерію стосується процедури навчання; подання, з яким працює мережа, лишається розподіленим за вагами й поелементному прочитанню не піддається.</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14:paraId="72648013" w14:textId="77777777" w:rsidR="002C74D4" w:rsidRDefault="00000000">
      <w:pPr>
        <w:spacing w:after="0" w:line="280" w:lineRule="exact"/>
        <w:ind w:firstLine="567"/>
        <w:jc w:val="both"/>
      </w:pPr>
      <w:r>
        <w:t>Розглянуті роботи різняться тим, де в них розміщено пояснення відносно обчислення. Огляди та методи оцінювання ретроспективних пояснень [6, 7] працюють поза навченою моделлю, тому їхні висновки стосуються надійності сурогату, а не самого рішення. Моделі, пояснювані за побудовою [9, 10, 11], переносять пояснення всередину архітектури, але зберігають навчене відображення від входу до проміжних понять. Роботи, які будують подання зображення графом [15, 16, 23, 24], використовують структуру як джерело ознак для подальшого навченого модуля, тому вузли та ребра не мають значення, яке можна прочитати окремо від ваг. Дослідження відстані редагування графів [20, 21, 22] підтверджують цінність шляху редагування; FGWAlign при цьому має визначену семантику операцій. Навчання з малої кількості прикладів [28] і навчання без зворотного поширення помилки [31] знімають окремо взяті обмеження (потребу у великій вибірці та потребу в глобальному градієнті), але подання в обох випадках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14:paraId="3B21FF16" w14:textId="77777777" w:rsidR="002C74D4" w:rsidRDefault="00000000">
      <w:pPr>
        <w:spacing w:after="0" w:line="280" w:lineRule="exact"/>
        <w:ind w:firstLine="567"/>
        <w:jc w:val="both"/>
      </w:pPr>
      <w:r>
        <w:t>5) продемонструвати пояснюваність числовим трасуванням одного рішення: від операцій редагування й вартостей за окремими ознаками (поознакових вартостей)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14:paraId="1ACB6826" w14:textId="77777777" w:rsidR="002C74D4" w:rsidRDefault="00000000">
      <w:pPr>
        <w:spacing w:after="0" w:line="280" w:lineRule="exact"/>
        <w:ind w:firstLine="567"/>
        <w:jc w:val="both"/>
      </w:pPr>
      <w:r>
        <w:lastRenderedPageBreak/>
        <w:t>Подання зображення, конвеєр побудови графа та оператор формування концептів-атракторів викладено в [36]. Тут наведено лише те, що потрібно для розуміння результатів, і значення параметрів експерименту; там, де цей опис розходиться з [36], для наведених результатів чинним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t>Граф будують із напівтонового зображення 100×100 пікселів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14:paraId="26FEC593" w14:textId="77777777" w:rsidR="002C74D4" w:rsidRDefault="00000000">
      <w:pPr>
        <w:spacing w:after="0" w:line="280" w:lineRule="exact"/>
        <w:ind w:firstLine="567"/>
        <w:jc w:val="both"/>
      </w:pPr>
      <w:r>
        <w:t>Концепт-атрактор класу формують за один прохід колекцією навчальних графів. Початковим станом концепту є граф першого зразка; кожен наступний зразок уточнює концепт структурною редукцією: вилучають кінцеві точки без відповідника разом зі шляхом до найближчого розгалуження, зливають або перемарковують точки перетину, вилучають надлишкові кутові точки, і в концепті лишається спільна для зразків частина структури. Числові атрибути відповідних вузлів зливають в інтервали з межами min і max та значенням center (середнім значень, поданих на поточний крок злиття). Автоматичної перевірки зміни концепту й умови зупинки цикл формування не має.</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14:paraId="7FB3E526" w14:textId="77777777" w:rsidR="002C74D4" w:rsidRDefault="00000000">
      <w:pPr>
        <w:spacing w:after="0" w:line="280" w:lineRule="exact"/>
        <w:ind w:firstLine="567"/>
        <w:jc w:val="both"/>
      </w:pPr>
      <w:r>
        <w:lastRenderedPageBreak/>
        <w:t>Оригінали відібрано вручну, а не випадково. Відбирали найменш спотворені написання без розривів контуру. В основі такого відбору лежить припущення, що правильно розпізнаний представник класу вже містить усі структурні й топологічні ознаки цього класу. Тоді формування концепту потребує не репрезентативної вибірки розподілу, а невеликої кількості структурно повних написань.</w:t>
      </w:r>
    </w:p>
    <w:p w14:paraId="336ADE10" w14:textId="77777777" w:rsidR="002C74D4" w:rsidRDefault="00000000">
      <w:pPr>
        <w:spacing w:after="0" w:line="280" w:lineRule="exact"/>
        <w:ind w:firstLine="567"/>
        <w:jc w:val="both"/>
      </w:pPr>
      <w:r>
        <w:t>Межі цього припущення відомі лише частково. 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14:paraId="1ECB8C3B" w14:textId="746D8630" w:rsidR="002C74D4" w:rsidRDefault="00000000">
      <w:pPr>
        <w:spacing w:after="0" w:line="280" w:lineRule="exact"/>
        <w:ind w:firstLine="567"/>
        <w:jc w:val="both"/>
      </w:pPr>
      <w:r>
        <w:t xml:space="preserve">Ознаки зважено діагностично: ненормована вага інтервальної ознаки обернено пропорційна ширині її інтервалу у вузлі концепту, </w:t>
      </w:r>
      <w:proofErr w:type="spellStart"/>
      <w:r>
        <w:t>збільшеній</w:t>
      </w:r>
      <w:proofErr w:type="spellEnd"/>
      <w:r>
        <w:t xml:space="preserve"> </w:t>
      </w:r>
      <w:proofErr w:type="spellStart"/>
      <w:r>
        <w:t>на</w:t>
      </w:r>
      <w:proofErr w:type="spellEnd"/>
      <w:r>
        <w:t xml:space="preserve"> </w:t>
      </w:r>
      <w:proofErr w:type="spellStart"/>
      <w:r>
        <w:t>сталу</w:t>
      </w:r>
      <w:proofErr w:type="spellEnd"/>
      <w:r>
        <w:t xml:space="preserve"> </w:t>
      </w:r>
      <w:r w:rsidR="00E432A3" w:rsidRPr="00E432A3">
        <w:rPr>
          <w:position w:val="-12"/>
        </w:rPr>
        <w:object w:dxaOrig="279" w:dyaOrig="360" w14:anchorId="37EF2F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4.25pt;height:18pt" o:ole="">
            <v:imagedata r:id="rId7" o:title=""/>
          </v:shape>
          <o:OLEObject Type="Embed" ProgID="Equation.DSMT4" ShapeID="_x0000_i1053" DrawAspect="Content" ObjectID="_1852313324" r:id="rId8"/>
        </w:object>
      </w:r>
      <w:r>
        <w:t xml:space="preserve"> = 0,1, </w:t>
      </w:r>
      <w:proofErr w:type="spellStart"/>
      <w:r>
        <w:t>тому</w:t>
      </w:r>
      <w:proofErr w:type="spellEnd"/>
      <w:r>
        <w:t xml:space="preserve"> вузькі інтервали важать більше. Категорійні ознаки ширини не мають: вага кожного з двох напрямків дорівнює 0,6, а індикатори кінцевої й кутової точки важать 0,4. Ваги нормують за спільними вибраними ознаками двох вузлів; відсутню ознаку пропускають, а за відсутності спільних ознак призначають NO_MATCH. Вартість значення в межах інтервалу зростає лінійно з відстанню від center: від нуля в center до нормованої ваги ознаки на межі інтервалу; нульова ширина дає точний збіг. Значення поза інтервалом завжди коштує 1,0 незалежно від ширини. Вартість заміщення вузла є сумою вартостей ознак.</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t xml:space="preserve"> за формулою (1):</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t>(1)</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t>Переможця обирають за правилом "переможець отримує все" (winner-take-all) з поправкою на складність концепту (2):</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t>(2)</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t>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 1).</w:t>
      </w:r>
    </w:p>
    <w:p w14:paraId="6347B598" w14:textId="77777777" w:rsidR="002C74D4" w:rsidRDefault="00000000">
      <w:pPr>
        <w:spacing w:before="120" w:after="0" w:line="280" w:lineRule="exact"/>
        <w:jc w:val="center"/>
      </w:pPr>
      <w:r>
        <w:rPr>
          <w:b/>
          <w:i/>
          <w:sz w:val="18"/>
        </w:rPr>
        <w:t>Таблиця 1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14:paraId="25A7DA3A" w14:textId="77777777" w:rsidR="002C74D4" w:rsidRDefault="00000000">
      <w:pPr>
        <w:spacing w:after="0" w:line="280" w:lineRule="exact"/>
        <w:ind w:firstLine="567"/>
        <w:jc w:val="both"/>
      </w:pPr>
      <w:r>
        <w:t>Повноту контуру розмічено вручну: кожне тестове зображення позначили як повне або неповне, до оцінювання допустили лише повні. Детальнішого протоколу розмітки не існує, а його незалежність від результатів класифікації не перевірено.</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445289D0" w14:textId="77777777" w:rsidR="002C74D4" w:rsidRDefault="00000000">
      <w:pPr>
        <w:spacing w:after="0" w:line="280" w:lineRule="exact"/>
        <w:ind w:firstLine="567"/>
        <w:jc w:val="both"/>
      </w:pPr>
      <w:r>
        <w:t>Частка збережених зображень нерівномірна за класами (табл. 2): від 582/974 = 59,75 % для цифри 8 до 1 129/1 135 = 99,47 % для цифри 1.</w:t>
      </w:r>
    </w:p>
    <w:p w14:paraId="2D7DC323" w14:textId="77777777" w:rsidR="002C74D4" w:rsidRDefault="00000000">
      <w:pPr>
        <w:spacing w:before="120" w:after="0" w:line="280" w:lineRule="exact"/>
        <w:jc w:val="center"/>
      </w:pPr>
      <w:r>
        <w:rPr>
          <w:b/>
          <w:i/>
          <w:sz w:val="18"/>
        </w:rPr>
        <w:t>Таблиця 2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t>Точність класифікації становить 91,13 %.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t xml:space="preserve">Показники за класами мають значно більший розкид, ніж загальні (табл. 3,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Таблиця 3 – Покласові показники класифікації</w:t>
      </w:r>
    </w:p>
    <w:tbl>
      <w:tblPr>
        <w:tblStyle w:val="aff0"/>
        <w:tblW w:w="0" w:type="auto"/>
        <w:jc w:val="center"/>
        <w:tblLook w:val="04A0" w:firstRow="1" w:lastRow="0" w:firstColumn="1" w:lastColumn="0" w:noHBand="0" w:noVBand="1"/>
      </w:tblPr>
      <w:tblGrid>
        <w:gridCol w:w="2409"/>
        <w:gridCol w:w="2409"/>
        <w:gridCol w:w="2409"/>
        <w:gridCol w:w="2409"/>
      </w:tblGrid>
      <w:tr w:rsidR="002C74D4" w14:paraId="6C2675F2" w14:textId="77777777">
        <w:trPr>
          <w:jc w:val="center"/>
        </w:trPr>
        <w:tc>
          <w:tcPr>
            <w:tcW w:w="2409" w:type="dxa"/>
          </w:tcPr>
          <w:p w14:paraId="71604D0C" w14:textId="77777777" w:rsidR="002C74D4" w:rsidRDefault="00000000">
            <w:pPr>
              <w:jc w:val="center"/>
            </w:pPr>
            <w:r>
              <w:rPr>
                <w:b/>
                <w:sz w:val="18"/>
              </w:rPr>
              <w:t>Клас</w:t>
            </w:r>
          </w:p>
        </w:tc>
        <w:tc>
          <w:tcPr>
            <w:tcW w:w="2409" w:type="dxa"/>
          </w:tcPr>
          <w:p w14:paraId="1678C15E" w14:textId="77777777" w:rsidR="002C74D4" w:rsidRDefault="00000000">
            <w:pPr>
              <w:jc w:val="center"/>
            </w:pPr>
            <w:r>
              <w:rPr>
                <w:b/>
                <w:sz w:val="18"/>
              </w:rPr>
              <w:t>Влучність, %</w:t>
            </w:r>
          </w:p>
        </w:tc>
        <w:tc>
          <w:tcPr>
            <w:tcW w:w="2409" w:type="dxa"/>
          </w:tcPr>
          <w:p w14:paraId="319EFE4D" w14:textId="77777777" w:rsidR="002C74D4" w:rsidRDefault="00000000">
            <w:pPr>
              <w:jc w:val="center"/>
            </w:pPr>
            <w:r>
              <w:rPr>
                <w:b/>
                <w:sz w:val="18"/>
              </w:rPr>
              <w:t>Повнота, %</w:t>
            </w:r>
          </w:p>
        </w:tc>
        <w:tc>
          <w:tcPr>
            <w:tcW w:w="2409" w:type="dxa"/>
          </w:tcPr>
          <w:p w14:paraId="3B8EB0EE" w14:textId="77777777" w:rsidR="002C74D4" w:rsidRDefault="00000000">
            <w:pPr>
              <w:jc w:val="center"/>
            </w:pPr>
            <w:r>
              <w:rPr>
                <w:b/>
                <w:sz w:val="18"/>
              </w:rPr>
              <w:t>F1, %</w:t>
            </w:r>
          </w:p>
        </w:tc>
      </w:tr>
      <w:tr w:rsidR="002C74D4" w14:paraId="0C7DEC3C" w14:textId="77777777">
        <w:trPr>
          <w:jc w:val="center"/>
        </w:trPr>
        <w:tc>
          <w:tcPr>
            <w:tcW w:w="2409" w:type="dxa"/>
          </w:tcPr>
          <w:p w14:paraId="1A87BCCD" w14:textId="77777777" w:rsidR="002C74D4" w:rsidRDefault="00000000">
            <w:r>
              <w:rPr>
                <w:sz w:val="18"/>
              </w:rPr>
              <w:t>0</w:t>
            </w:r>
          </w:p>
        </w:tc>
        <w:tc>
          <w:tcPr>
            <w:tcW w:w="2409" w:type="dxa"/>
          </w:tcPr>
          <w:p w14:paraId="6462CFEC" w14:textId="77777777" w:rsidR="002C74D4" w:rsidRDefault="00000000">
            <w:pPr>
              <w:jc w:val="center"/>
            </w:pPr>
            <w:r>
              <w:rPr>
                <w:sz w:val="18"/>
              </w:rPr>
              <w:t>99,87</w:t>
            </w:r>
          </w:p>
        </w:tc>
        <w:tc>
          <w:tcPr>
            <w:tcW w:w="2409" w:type="dxa"/>
          </w:tcPr>
          <w:p w14:paraId="3DCF8D91" w14:textId="77777777" w:rsidR="002C74D4" w:rsidRDefault="00000000">
            <w:pPr>
              <w:jc w:val="center"/>
            </w:pPr>
            <w:r>
              <w:rPr>
                <w:sz w:val="18"/>
              </w:rPr>
              <w:t>91,93</w:t>
            </w:r>
          </w:p>
        </w:tc>
        <w:tc>
          <w:tcPr>
            <w:tcW w:w="2409" w:type="dxa"/>
          </w:tcPr>
          <w:p w14:paraId="5E76BEAD" w14:textId="77777777" w:rsidR="002C74D4" w:rsidRDefault="00000000">
            <w:pPr>
              <w:jc w:val="center"/>
            </w:pPr>
            <w:r>
              <w:rPr>
                <w:sz w:val="18"/>
              </w:rPr>
              <w:t>95,73</w:t>
            </w:r>
          </w:p>
        </w:tc>
      </w:tr>
      <w:tr w:rsidR="002C74D4" w14:paraId="2FEFBB8E" w14:textId="77777777">
        <w:trPr>
          <w:jc w:val="center"/>
        </w:trPr>
        <w:tc>
          <w:tcPr>
            <w:tcW w:w="2409" w:type="dxa"/>
          </w:tcPr>
          <w:p w14:paraId="55DC772A" w14:textId="77777777" w:rsidR="002C74D4" w:rsidRDefault="00000000">
            <w:r>
              <w:rPr>
                <w:sz w:val="18"/>
              </w:rPr>
              <w:t>1</w:t>
            </w:r>
          </w:p>
        </w:tc>
        <w:tc>
          <w:tcPr>
            <w:tcW w:w="2409" w:type="dxa"/>
          </w:tcPr>
          <w:p w14:paraId="05D45709" w14:textId="77777777" w:rsidR="002C74D4" w:rsidRDefault="00000000">
            <w:pPr>
              <w:jc w:val="center"/>
            </w:pPr>
            <w:r>
              <w:rPr>
                <w:sz w:val="18"/>
              </w:rPr>
              <w:t>93,69</w:t>
            </w:r>
          </w:p>
        </w:tc>
        <w:tc>
          <w:tcPr>
            <w:tcW w:w="2409" w:type="dxa"/>
          </w:tcPr>
          <w:p w14:paraId="3E1BA067" w14:textId="77777777" w:rsidR="002C74D4" w:rsidRDefault="00000000">
            <w:pPr>
              <w:jc w:val="center"/>
            </w:pPr>
            <w:r>
              <w:rPr>
                <w:sz w:val="18"/>
              </w:rPr>
              <w:t>96,52</w:t>
            </w:r>
          </w:p>
        </w:tc>
        <w:tc>
          <w:tcPr>
            <w:tcW w:w="2409" w:type="dxa"/>
          </w:tcPr>
          <w:p w14:paraId="44E568BC" w14:textId="77777777" w:rsidR="002C74D4" w:rsidRDefault="00000000">
            <w:pPr>
              <w:jc w:val="center"/>
            </w:pPr>
            <w:r>
              <w:rPr>
                <w:sz w:val="18"/>
              </w:rPr>
              <w:t>95,08</w:t>
            </w:r>
          </w:p>
        </w:tc>
      </w:tr>
      <w:tr w:rsidR="002C74D4" w14:paraId="3578AEB0" w14:textId="77777777">
        <w:trPr>
          <w:jc w:val="center"/>
        </w:trPr>
        <w:tc>
          <w:tcPr>
            <w:tcW w:w="2409" w:type="dxa"/>
          </w:tcPr>
          <w:p w14:paraId="1AFB0676" w14:textId="77777777" w:rsidR="002C74D4" w:rsidRDefault="00000000">
            <w:r>
              <w:rPr>
                <w:sz w:val="18"/>
              </w:rPr>
              <w:t>2</w:t>
            </w:r>
          </w:p>
        </w:tc>
        <w:tc>
          <w:tcPr>
            <w:tcW w:w="2409" w:type="dxa"/>
          </w:tcPr>
          <w:p w14:paraId="2B33A879" w14:textId="77777777" w:rsidR="002C74D4" w:rsidRDefault="00000000">
            <w:pPr>
              <w:jc w:val="center"/>
            </w:pPr>
            <w:r>
              <w:rPr>
                <w:sz w:val="18"/>
              </w:rPr>
              <w:t>92,28</w:t>
            </w:r>
          </w:p>
        </w:tc>
        <w:tc>
          <w:tcPr>
            <w:tcW w:w="2409" w:type="dxa"/>
          </w:tcPr>
          <w:p w14:paraId="77D2E7FF" w14:textId="77777777" w:rsidR="002C74D4" w:rsidRDefault="00000000">
            <w:pPr>
              <w:jc w:val="center"/>
            </w:pPr>
            <w:r>
              <w:rPr>
                <w:sz w:val="18"/>
              </w:rPr>
              <w:t>77,59</w:t>
            </w:r>
          </w:p>
        </w:tc>
        <w:tc>
          <w:tcPr>
            <w:tcW w:w="2409" w:type="dxa"/>
          </w:tcPr>
          <w:p w14:paraId="711B0AC2" w14:textId="77777777" w:rsidR="002C74D4" w:rsidRDefault="00000000">
            <w:pPr>
              <w:jc w:val="center"/>
            </w:pPr>
            <w:r>
              <w:rPr>
                <w:sz w:val="18"/>
              </w:rPr>
              <w:t>84,30</w:t>
            </w:r>
          </w:p>
        </w:tc>
      </w:tr>
      <w:tr w:rsidR="002C74D4" w14:paraId="4247C4BA" w14:textId="77777777">
        <w:trPr>
          <w:jc w:val="center"/>
        </w:trPr>
        <w:tc>
          <w:tcPr>
            <w:tcW w:w="2409" w:type="dxa"/>
          </w:tcPr>
          <w:p w14:paraId="71D2534D" w14:textId="77777777" w:rsidR="002C74D4" w:rsidRDefault="00000000">
            <w:r>
              <w:rPr>
                <w:sz w:val="18"/>
              </w:rPr>
              <w:t>3</w:t>
            </w:r>
          </w:p>
        </w:tc>
        <w:tc>
          <w:tcPr>
            <w:tcW w:w="2409" w:type="dxa"/>
          </w:tcPr>
          <w:p w14:paraId="2CD2A81C" w14:textId="77777777" w:rsidR="002C74D4" w:rsidRDefault="00000000">
            <w:pPr>
              <w:jc w:val="center"/>
            </w:pPr>
            <w:r>
              <w:rPr>
                <w:sz w:val="18"/>
              </w:rPr>
              <w:t>91,78</w:t>
            </w:r>
          </w:p>
        </w:tc>
        <w:tc>
          <w:tcPr>
            <w:tcW w:w="2409" w:type="dxa"/>
          </w:tcPr>
          <w:p w14:paraId="28880CD2" w14:textId="77777777" w:rsidR="002C74D4" w:rsidRDefault="00000000">
            <w:pPr>
              <w:jc w:val="center"/>
            </w:pPr>
            <w:r>
              <w:rPr>
                <w:sz w:val="18"/>
              </w:rPr>
              <w:t>95,76</w:t>
            </w:r>
          </w:p>
        </w:tc>
        <w:tc>
          <w:tcPr>
            <w:tcW w:w="2409" w:type="dxa"/>
          </w:tcPr>
          <w:p w14:paraId="0660952E" w14:textId="77777777" w:rsidR="002C74D4" w:rsidRDefault="00000000">
            <w:pPr>
              <w:jc w:val="center"/>
            </w:pPr>
            <w:r>
              <w:rPr>
                <w:sz w:val="18"/>
              </w:rPr>
              <w:t>93,73</w:t>
            </w:r>
          </w:p>
        </w:tc>
      </w:tr>
      <w:tr w:rsidR="002C74D4" w14:paraId="01E5E60A" w14:textId="77777777">
        <w:trPr>
          <w:jc w:val="center"/>
        </w:trPr>
        <w:tc>
          <w:tcPr>
            <w:tcW w:w="2409" w:type="dxa"/>
          </w:tcPr>
          <w:p w14:paraId="5652E431" w14:textId="77777777" w:rsidR="002C74D4" w:rsidRDefault="00000000">
            <w:r>
              <w:rPr>
                <w:sz w:val="18"/>
              </w:rPr>
              <w:t>4</w:t>
            </w:r>
          </w:p>
        </w:tc>
        <w:tc>
          <w:tcPr>
            <w:tcW w:w="2409" w:type="dxa"/>
          </w:tcPr>
          <w:p w14:paraId="450916B9" w14:textId="77777777" w:rsidR="002C74D4" w:rsidRDefault="00000000">
            <w:pPr>
              <w:jc w:val="center"/>
            </w:pPr>
            <w:r>
              <w:rPr>
                <w:sz w:val="18"/>
              </w:rPr>
              <w:t>92,15</w:t>
            </w:r>
          </w:p>
        </w:tc>
        <w:tc>
          <w:tcPr>
            <w:tcW w:w="2409" w:type="dxa"/>
          </w:tcPr>
          <w:p w14:paraId="08B998C4" w14:textId="77777777" w:rsidR="002C74D4" w:rsidRDefault="00000000">
            <w:pPr>
              <w:jc w:val="center"/>
            </w:pPr>
            <w:r>
              <w:rPr>
                <w:sz w:val="18"/>
              </w:rPr>
              <w:t>84,00</w:t>
            </w:r>
          </w:p>
        </w:tc>
        <w:tc>
          <w:tcPr>
            <w:tcW w:w="2409" w:type="dxa"/>
          </w:tcPr>
          <w:p w14:paraId="53265DB6" w14:textId="77777777" w:rsidR="002C74D4" w:rsidRDefault="00000000">
            <w:pPr>
              <w:jc w:val="center"/>
            </w:pPr>
            <w:r>
              <w:rPr>
                <w:sz w:val="18"/>
              </w:rPr>
              <w:t>87,89</w:t>
            </w:r>
          </w:p>
        </w:tc>
      </w:tr>
      <w:tr w:rsidR="002C74D4" w14:paraId="26F1C0CC" w14:textId="77777777">
        <w:trPr>
          <w:jc w:val="center"/>
        </w:trPr>
        <w:tc>
          <w:tcPr>
            <w:tcW w:w="2409" w:type="dxa"/>
          </w:tcPr>
          <w:p w14:paraId="6BB6B5B8" w14:textId="77777777" w:rsidR="002C74D4" w:rsidRDefault="00000000">
            <w:r>
              <w:rPr>
                <w:sz w:val="18"/>
              </w:rPr>
              <w:t>5</w:t>
            </w:r>
          </w:p>
        </w:tc>
        <w:tc>
          <w:tcPr>
            <w:tcW w:w="2409" w:type="dxa"/>
          </w:tcPr>
          <w:p w14:paraId="5B663481" w14:textId="77777777" w:rsidR="002C74D4" w:rsidRDefault="00000000">
            <w:pPr>
              <w:jc w:val="center"/>
            </w:pPr>
            <w:r>
              <w:rPr>
                <w:sz w:val="18"/>
              </w:rPr>
              <w:t>93,97</w:t>
            </w:r>
          </w:p>
        </w:tc>
        <w:tc>
          <w:tcPr>
            <w:tcW w:w="2409" w:type="dxa"/>
          </w:tcPr>
          <w:p w14:paraId="7AF90F8D" w14:textId="77777777" w:rsidR="002C74D4" w:rsidRDefault="00000000">
            <w:pPr>
              <w:jc w:val="center"/>
            </w:pPr>
            <w:r>
              <w:rPr>
                <w:sz w:val="18"/>
              </w:rPr>
              <w:t>91,96</w:t>
            </w:r>
          </w:p>
        </w:tc>
        <w:tc>
          <w:tcPr>
            <w:tcW w:w="2409" w:type="dxa"/>
          </w:tcPr>
          <w:p w14:paraId="3FD69A7F" w14:textId="77777777" w:rsidR="002C74D4" w:rsidRDefault="00000000">
            <w:pPr>
              <w:jc w:val="center"/>
            </w:pPr>
            <w:r>
              <w:rPr>
                <w:sz w:val="18"/>
              </w:rPr>
              <w:t>92,95</w:t>
            </w:r>
          </w:p>
        </w:tc>
      </w:tr>
      <w:tr w:rsidR="002C74D4" w14:paraId="2A91E367" w14:textId="77777777">
        <w:trPr>
          <w:jc w:val="center"/>
        </w:trPr>
        <w:tc>
          <w:tcPr>
            <w:tcW w:w="2409" w:type="dxa"/>
          </w:tcPr>
          <w:p w14:paraId="237E109A" w14:textId="77777777" w:rsidR="002C74D4" w:rsidRDefault="00000000">
            <w:r>
              <w:rPr>
                <w:sz w:val="18"/>
              </w:rPr>
              <w:t>6</w:t>
            </w:r>
          </w:p>
        </w:tc>
        <w:tc>
          <w:tcPr>
            <w:tcW w:w="2409" w:type="dxa"/>
          </w:tcPr>
          <w:p w14:paraId="364FAA27" w14:textId="77777777" w:rsidR="002C74D4" w:rsidRDefault="00000000">
            <w:pPr>
              <w:jc w:val="center"/>
            </w:pPr>
            <w:r>
              <w:rPr>
                <w:sz w:val="18"/>
              </w:rPr>
              <w:t>84,88</w:t>
            </w:r>
          </w:p>
        </w:tc>
        <w:tc>
          <w:tcPr>
            <w:tcW w:w="2409" w:type="dxa"/>
          </w:tcPr>
          <w:p w14:paraId="293F7B94" w14:textId="77777777" w:rsidR="002C74D4" w:rsidRDefault="00000000">
            <w:pPr>
              <w:jc w:val="center"/>
            </w:pPr>
            <w:r>
              <w:rPr>
                <w:sz w:val="18"/>
              </w:rPr>
              <w:t>92,44</w:t>
            </w:r>
          </w:p>
        </w:tc>
        <w:tc>
          <w:tcPr>
            <w:tcW w:w="2409" w:type="dxa"/>
          </w:tcPr>
          <w:p w14:paraId="03749557" w14:textId="77777777" w:rsidR="002C74D4" w:rsidRDefault="00000000">
            <w:pPr>
              <w:jc w:val="center"/>
            </w:pPr>
            <w:r>
              <w:rPr>
                <w:sz w:val="18"/>
              </w:rPr>
              <w:t>88,50</w:t>
            </w:r>
          </w:p>
        </w:tc>
      </w:tr>
      <w:tr w:rsidR="002C74D4" w14:paraId="412088CE" w14:textId="77777777">
        <w:trPr>
          <w:jc w:val="center"/>
        </w:trPr>
        <w:tc>
          <w:tcPr>
            <w:tcW w:w="2409" w:type="dxa"/>
          </w:tcPr>
          <w:p w14:paraId="39CDB41F" w14:textId="77777777" w:rsidR="002C74D4" w:rsidRDefault="00000000">
            <w:r>
              <w:rPr>
                <w:sz w:val="18"/>
              </w:rPr>
              <w:t>7</w:t>
            </w:r>
          </w:p>
        </w:tc>
        <w:tc>
          <w:tcPr>
            <w:tcW w:w="2409" w:type="dxa"/>
          </w:tcPr>
          <w:p w14:paraId="2383CA9A" w14:textId="77777777" w:rsidR="002C74D4" w:rsidRDefault="00000000">
            <w:pPr>
              <w:jc w:val="center"/>
            </w:pPr>
            <w:r>
              <w:rPr>
                <w:sz w:val="18"/>
              </w:rPr>
              <w:t>82,01</w:t>
            </w:r>
          </w:p>
        </w:tc>
        <w:tc>
          <w:tcPr>
            <w:tcW w:w="2409" w:type="dxa"/>
          </w:tcPr>
          <w:p w14:paraId="12003869" w14:textId="77777777" w:rsidR="002C74D4" w:rsidRDefault="00000000">
            <w:pPr>
              <w:jc w:val="center"/>
            </w:pPr>
            <w:r>
              <w:rPr>
                <w:sz w:val="18"/>
              </w:rPr>
              <w:t>95,15</w:t>
            </w:r>
          </w:p>
        </w:tc>
        <w:tc>
          <w:tcPr>
            <w:tcW w:w="2409" w:type="dxa"/>
          </w:tcPr>
          <w:p w14:paraId="2D80CC0B" w14:textId="77777777" w:rsidR="002C74D4" w:rsidRDefault="00000000">
            <w:pPr>
              <w:jc w:val="center"/>
            </w:pPr>
            <w:r>
              <w:rPr>
                <w:sz w:val="18"/>
              </w:rPr>
              <w:t>88,10</w:t>
            </w:r>
          </w:p>
        </w:tc>
      </w:tr>
      <w:tr w:rsidR="002C74D4" w14:paraId="06FAFFE4" w14:textId="77777777">
        <w:trPr>
          <w:jc w:val="center"/>
        </w:trPr>
        <w:tc>
          <w:tcPr>
            <w:tcW w:w="2409" w:type="dxa"/>
          </w:tcPr>
          <w:p w14:paraId="182D1344" w14:textId="77777777" w:rsidR="002C74D4" w:rsidRDefault="00000000">
            <w:r>
              <w:rPr>
                <w:sz w:val="18"/>
              </w:rPr>
              <w:t>8</w:t>
            </w:r>
          </w:p>
        </w:tc>
        <w:tc>
          <w:tcPr>
            <w:tcW w:w="2409" w:type="dxa"/>
          </w:tcPr>
          <w:p w14:paraId="1448D5AC" w14:textId="77777777" w:rsidR="002C74D4" w:rsidRDefault="00000000">
            <w:pPr>
              <w:jc w:val="center"/>
            </w:pPr>
            <w:r>
              <w:rPr>
                <w:sz w:val="18"/>
              </w:rPr>
              <w:t>98,74</w:t>
            </w:r>
          </w:p>
        </w:tc>
        <w:tc>
          <w:tcPr>
            <w:tcW w:w="2409" w:type="dxa"/>
          </w:tcPr>
          <w:p w14:paraId="4939E347" w14:textId="77777777" w:rsidR="002C74D4" w:rsidRDefault="00000000">
            <w:pPr>
              <w:jc w:val="center"/>
            </w:pPr>
            <w:r>
              <w:rPr>
                <w:sz w:val="18"/>
              </w:rPr>
              <w:t>94,49</w:t>
            </w:r>
          </w:p>
        </w:tc>
        <w:tc>
          <w:tcPr>
            <w:tcW w:w="2409" w:type="dxa"/>
          </w:tcPr>
          <w:p w14:paraId="4CD0F2AF" w14:textId="77777777" w:rsidR="002C74D4" w:rsidRDefault="00000000">
            <w:pPr>
              <w:jc w:val="center"/>
            </w:pPr>
            <w:r>
              <w:rPr>
                <w:sz w:val="18"/>
              </w:rPr>
              <w:t>96,57</w:t>
            </w:r>
          </w:p>
        </w:tc>
      </w:tr>
      <w:tr w:rsidR="002C74D4" w14:paraId="230FE7EC" w14:textId="77777777">
        <w:trPr>
          <w:jc w:val="center"/>
        </w:trPr>
        <w:tc>
          <w:tcPr>
            <w:tcW w:w="2409" w:type="dxa"/>
          </w:tcPr>
          <w:p w14:paraId="663778E9" w14:textId="77777777" w:rsidR="002C74D4" w:rsidRDefault="00000000">
            <w:r>
              <w:rPr>
                <w:sz w:val="18"/>
              </w:rPr>
              <w:t>9</w:t>
            </w:r>
          </w:p>
        </w:tc>
        <w:tc>
          <w:tcPr>
            <w:tcW w:w="2409" w:type="dxa"/>
          </w:tcPr>
          <w:p w14:paraId="79266D7D" w14:textId="77777777" w:rsidR="002C74D4" w:rsidRDefault="00000000">
            <w:pPr>
              <w:jc w:val="center"/>
            </w:pPr>
            <w:r>
              <w:rPr>
                <w:sz w:val="18"/>
              </w:rPr>
              <w:t>92,85</w:t>
            </w:r>
          </w:p>
        </w:tc>
        <w:tc>
          <w:tcPr>
            <w:tcW w:w="2409" w:type="dxa"/>
          </w:tcPr>
          <w:p w14:paraId="5243555C" w14:textId="77777777" w:rsidR="002C74D4" w:rsidRDefault="00000000">
            <w:pPr>
              <w:jc w:val="center"/>
            </w:pPr>
            <w:r>
              <w:rPr>
                <w:sz w:val="18"/>
              </w:rPr>
              <w:t>92,34</w:t>
            </w:r>
          </w:p>
        </w:tc>
        <w:tc>
          <w:tcPr>
            <w:tcW w:w="2409" w:type="dxa"/>
          </w:tcPr>
          <w:p w14:paraId="7C2E9B7C" w14:textId="77777777" w:rsidR="002C74D4" w:rsidRDefault="00000000">
            <w:pPr>
              <w:jc w:val="center"/>
            </w:pPr>
            <w:r>
              <w:rPr>
                <w:sz w:val="18"/>
              </w:rPr>
              <w:t>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t>Зображення mnist_test_2_00766 має справжній клас 2, а система віднесла його до класу 7. Рис. 5 показує граф і концепти. Числа в табл. 4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Таблиця 4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14:paraId="453874E2" w14:textId="77777777" w:rsidR="002C74D4" w:rsidRDefault="00000000">
      <w:pPr>
        <w:spacing w:after="0" w:line="280" w:lineRule="exact"/>
        <w:ind w:firstLine="567"/>
        <w:jc w:val="both"/>
      </w:pPr>
      <w:r>
        <w:t>Усі 111 помилок 2→7 відтворено окремо, без фільтра складності, тому значення подібності не збігаються з табл. 4. Концепт 2_1 отримав оцінку в 106 випадках і всі 106 разів програв 7_1; середній розрив подібності без поправки на складність становив 0,1132. У п'яти інших випадках 2_1 відхилено структурно, тому вони не входять до середнього. 2_2 відсікався фільтром складності у 86 випадках, але після зняття фільтра не був структурно допустимим у жодному зі 111.</w:t>
      </w: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p>
    <w:p w14:paraId="58E7E692" w14:textId="77777777" w:rsidR="002C74D4" w:rsidRDefault="00000000">
      <w:pPr>
        <w:spacing w:after="0" w:line="280" w:lineRule="exact"/>
        <w:ind w:firstLine="567"/>
        <w:jc w:val="both"/>
      </w:pPr>
      <w:r>
        <w:t>Для mnist_test_2_00766 зафіксовано ациклічний розгалужений граф і три виходи за інтервали 2_1. Втрата топології під час побудови графа та ті самі поознакові штрафи як загальний механізм пари 2→7 є гіпотезою: для решти 110 випадків поелементних трасувань та експериментів зі втручанням немає.</w:t>
      </w:r>
    </w:p>
    <w:p w14:paraId="53854C2D" w14:textId="77777777" w:rsidR="002C74D4" w:rsidRDefault="00000000">
      <w:pPr>
        <w:spacing w:after="0" w:line="280" w:lineRule="exact"/>
        <w:ind w:firstLine="567"/>
        <w:jc w:val="both"/>
      </w:pPr>
      <w:r>
        <w:t>Оцінювання обмежене ручним фільтром, що вилучив 12,93 % MNIST нерівномірно за класами. Чутливість до відбору 76 оригіналів, порядку їх подання й невідомого точного діапазону аугментації не вимірювали. Контурне подання відкидає текстуру й градієнти, а розірвані контури потребують асоціативного механізму, якого система не має. Експеримент зафіксовано конфігурацією та артефактами результату; повної копії коду, з яким його виконано, не збережено, тому відтворення можливе в межах цих артефактів.</w:t>
      </w:r>
    </w:p>
    <w:p w14:paraId="3BC82BB8" w14:textId="77777777" w:rsidR="002C74D4" w:rsidRDefault="00000000">
      <w:pPr>
        <w:spacing w:before="160" w:after="80" w:line="280" w:lineRule="exact"/>
        <w:jc w:val="both"/>
      </w:pPr>
      <w:r>
        <w:rPr>
          <w:b/>
        </w:rPr>
        <w:t>5 Висновки</w:t>
      </w:r>
    </w:p>
    <w:p w14:paraId="094215BA" w14:textId="77777777" w:rsidR="002C74D4" w:rsidRDefault="00000000">
      <w:pPr>
        <w:spacing w:after="0" w:line="280" w:lineRule="exact"/>
        <w:ind w:firstLine="567"/>
        <w:jc w:val="both"/>
      </w:pPr>
      <w:r>
        <w:t>1. Побудовано подання Point–Vector з 2 типами вузлів і 13 ознаками зіставлення.</w:t>
      </w:r>
    </w:p>
    <w:p w14:paraId="474838EB" w14:textId="77777777" w:rsidR="002C74D4" w:rsidRDefault="00000000">
      <w:pPr>
        <w:spacing w:after="0" w:line="280" w:lineRule="exact"/>
        <w:ind w:firstLine="567"/>
        <w:jc w:val="both"/>
      </w:pPr>
      <w:r>
        <w:t>2. Одним проходом структурної редукції з 76 вручну відібраних оригіналів, розширених до 805 зразків, сформовано 13 концептів для 10 класів, по 3–12 вузлів кожний.</w:t>
      </w:r>
    </w:p>
    <w:p w14:paraId="38BC59A0" w14:textId="57B6F556" w:rsidR="002C74D4" w:rsidRDefault="00000000">
      <w:pPr>
        <w:spacing w:after="0" w:line="280" w:lineRule="exact"/>
        <w:ind w:firstLine="567"/>
        <w:jc w:val="both"/>
      </w:pPr>
      <w:r>
        <w:t xml:space="preserve">3. Класифікацію побудовано за GED зі шкалою вартостей заміщення 0 / 0,25 / 0,5 / 0,8 / 1,0 / 6,0, діагностичним </w:t>
      </w:r>
      <w:proofErr w:type="spellStart"/>
      <w:r>
        <w:t>зважуванням</w:t>
      </w:r>
      <w:proofErr w:type="spellEnd"/>
      <w:r>
        <w:t xml:space="preserve"> </w:t>
      </w:r>
      <w:proofErr w:type="spellStart"/>
      <w:r>
        <w:t>ознак</w:t>
      </w:r>
      <w:proofErr w:type="spellEnd"/>
      <w:r>
        <w:t xml:space="preserve"> </w:t>
      </w:r>
      <w:proofErr w:type="spellStart"/>
      <w:r>
        <w:t>за</w:t>
      </w:r>
      <w:proofErr w:type="spellEnd"/>
      <w:r>
        <w:t xml:space="preserve"> </w:t>
      </w:r>
      <w:r w:rsidR="00E432A3" w:rsidRPr="00E432A3">
        <w:rPr>
          <w:position w:val="-12"/>
        </w:rPr>
        <w:object w:dxaOrig="279" w:dyaOrig="360" w14:anchorId="1BB52778">
          <v:shape id="_x0000_i1029" type="#_x0000_t75" style="width:14.25pt;height:18pt" o:ole="">
            <v:imagedata r:id="rId27" o:title=""/>
          </v:shape>
          <o:OLEObject Type="Embed" ProgID="Equation.DSMT4" ShapeID="_x0000_i1029" DrawAspect="Content" ObjectID="_1852313332" r:id="rId28"/>
        </w:object>
      </w:r>
      <w:r>
        <w:t xml:space="preserve"> = 0,1, </w:t>
      </w:r>
      <w:proofErr w:type="spellStart"/>
      <w:r>
        <w:t>поправкою</w:t>
      </w:r>
      <w:proofErr w:type="spellEnd"/>
      <w:r>
        <w:t xml:space="preserve"> </w:t>
      </w:r>
      <w:proofErr w:type="spellStart"/>
      <w:r>
        <w:t>на</w:t>
      </w:r>
      <w:proofErr w:type="spellEnd"/>
      <w:r>
        <w:t xml:space="preserve"> </w:t>
      </w:r>
      <w:proofErr w:type="spellStart"/>
      <w:r>
        <w:t>складність</w:t>
      </w:r>
      <w:proofErr w:type="spellEnd"/>
      <w:r>
        <w:t xml:space="preserve"> </w:t>
      </w:r>
      <w:proofErr w:type="spellStart"/>
      <w:r>
        <w:t>концепту</w:t>
      </w:r>
      <w:proofErr w:type="spellEnd"/>
      <w:r>
        <w:t xml:space="preserve"> </w:t>
      </w:r>
      <w:bookmarkStart w:id="0" w:name="MTBlankEqn"/>
      <w:r w:rsidR="00E432A3" w:rsidRPr="00E432A3">
        <w:rPr>
          <w:position w:val="-6"/>
        </w:rPr>
        <w:object w:dxaOrig="220" w:dyaOrig="279" w14:anchorId="31D571B0">
          <v:shape id="_x0000_i1026" type="#_x0000_t75" style="width:11.25pt;height:14.25pt" o:ole="">
            <v:imagedata r:id="rId29" o:title=""/>
          </v:shape>
          <o:OLEObject Type="Embed" ProgID="Equation.DSMT4" ShapeID="_x0000_i1026" DrawAspect="Content" ObjectID="_1852313333" r:id="rId30"/>
        </w:object>
      </w:r>
      <w:bookmarkEnd w:id="0"/>
      <w:r>
        <w:t xml:space="preserve"> = 0,10 </w:t>
      </w:r>
      <w:proofErr w:type="spellStart"/>
      <w:r>
        <w:t>та</w:t>
      </w:r>
      <w:proofErr w:type="spellEnd"/>
      <w:r>
        <w:t xml:space="preserve"> нормуванням подібності за сумою вузлів і ребер графа.</w:t>
      </w:r>
    </w:p>
    <w:p w14:paraId="2CC72931" w14:textId="77777777" w:rsidR="002C74D4" w:rsidRDefault="00000000">
      <w:pPr>
        <w:spacing w:after="0" w:line="280" w:lineRule="exact"/>
        <w:ind w:firstLine="567"/>
        <w:jc w:val="both"/>
      </w:pPr>
      <w:r>
        <w:t>4. Ручний фільтр допустив 8 707 із 10 000 зображень MNIST; частка збережених зображень класу коливається від 59,75 % до 99,47 %. Точність становить 91,13 %; зважені влучність, повнота і F1 дорівнюють 91,92 %, 91,13 % і 91,34 %.</w:t>
      </w:r>
    </w:p>
    <w:p w14:paraId="6F83FD03" w14:textId="77777777" w:rsidR="002C74D4" w:rsidRDefault="00000000">
      <w:pPr>
        <w:spacing w:after="0" w:line="280" w:lineRule="exact"/>
        <w:ind w:firstLine="567"/>
        <w:jc w:val="both"/>
      </w:pPr>
      <w:r>
        <w:t>5. У відтворенні mnist_test_2_00766 за збереженими даними оцінки 1,1487 для 7_1 і 1,1000 для 2_1 різняться на 0,0486; серед 111 помилок 2→7 2_1 програв за оцінкою 106 разів і був структурно відхилений 5 разів.</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t xml:space="preserve">Практична цінність результатів полягає в тому, що кожне рішення класифікатора можна перевірити вручну за збереженими даними: трасування показує, які заміщення вузлів і які ознаки визначили оцінку. Така властивість потрібна там, де навчальних даних мало, а рішення треба обґрунтувати перед оператором або аудитором.</w:t>
      </w:r>
    </w:p>
    <w:p>
      <w:pPr>
        <w:spacing w:after="0" w:line="280" w:lineRule="exact"/>
        <w:ind w:firstLine="567"/>
        <w:jc w:val="both"/>
      </w:pPr>
      <w: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поелементне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t xml:space="preserve"> з явним описом фільтра повноти контуру; продемонструвати пояснюваність трасуванням рішення.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t xml:space="preserve">Зображення подано графами з вузлами двох типів і 13 ознаками. Із 76 вручну відібраних оригіналів, розширених до 805 зразків, сформовано 13 концептів-атракторів. У класифікації за відстанню редагування графів вузькі інтервали ознак важать більше. Фільтр повноти контуру допустив 8 707 із 10 000 зображень. Точність становить 91,13 %; зважені влучність, повнота і F-міра дорівнюють 91,92 %, 91,13 % і 91,34 %. </w:t>
      </w:r>
      <w:r>
        <w:t xml:space="preserve">Відтворення одного рішення за збереженими даними дає числовий ланцюг від операцій редагування до оцінки.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