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papertitle"/>
      </w:pPr>
      <w:r>
        <w:t>Few-Shot Digit Recognition using Graph Concept Attractors</w:t>
      </w:r>
    </w:p>
    <w:tbl>
      <w:tblPr>
        <w:tblW w:type="auto" w:w="0"/>
        <w:jc w:val="center"/>
        <w:tblLayout w:type="autofit"/>
        <w:tblLook w:firstColumn="1" w:firstRow="1" w:lastColumn="0" w:lastRow="0" w:noHBand="0" w:noVBand="1" w:val="04A0"/>
      </w:tblPr>
      <w:tblGrid>
        <w:gridCol w:w="3373"/>
        <w:gridCol w:w="3373"/>
        <w:gridCol w:w="3373"/>
      </w:tblGrid>
      <w:tr>
        <w:tc>
          <w:tcPr>
            <w:tcW w:type="dxa" w:w="3373"/>
            <w:tcBorders>
              <w:top w:val="nil"/>
              <w:left w:val="nil"/>
              <w:bottom w:val="nil"/>
              <w:right w:val="nil"/>
            </w:tcBorders>
          </w:tcPr>
          <w:p>
            <w:pPr>
              <w:pStyle w:val="Author"/>
              <w:jc w:val="center"/>
            </w:pPr>
            <w:r>
              <w:rPr>
                <w:b/>
              </w:rPr>
              <w:t>Mykyta Lapin</w:t>
              <w:br/>
            </w:r>
            <w:r>
              <w:t>Dept. of Systems Analysis and Information-Analytical Technologies</w:t>
              <w:br/>
            </w:r>
            <w:r>
              <w:t>National Technical University "Kharkiv Polytechnic Institute"</w:t>
              <w:br/>
            </w:r>
            <w:r>
              <w:t>Kharkiv, Ukraine — Mykyta.Lapin@cit.khpi.edu.ua</w:t>
            </w:r>
          </w:p>
        </w:tc>
        <w:tc>
          <w:tcPr>
            <w:tcW w:type="dxa" w:w="3373"/>
            <w:tcBorders>
              <w:top w:val="nil"/>
              <w:left w:val="nil"/>
              <w:bottom w:val="nil"/>
              <w:right w:val="nil"/>
            </w:tcBorders>
          </w:tcPr>
          <w:p>
            <w:pPr>
              <w:pStyle w:val="Author"/>
              <w:jc w:val="center"/>
            </w:pPr>
            <w:r>
              <w:rPr>
                <w:b/>
              </w:rPr>
              <w:t>Kostiantyn Bokhan</w:t>
              <w:br/>
            </w:r>
            <w:r>
              <w:t>Dept. of Systems Analysis and Information-Analytical Technologies</w:t>
              <w:br/>
            </w:r>
            <w:r>
              <w:t>National Technical University "Kharkiv Polytechnic Institute"</w:t>
              <w:br/>
            </w:r>
            <w:r>
              <w:t>Kharkiv, Ukraine — kostiantyn.bokhan@khpi.edu.ua</w:t>
            </w:r>
          </w:p>
        </w:tc>
        <w:tc>
          <w:tcPr>
            <w:tcW w:type="dxa" w:w="3373"/>
            <w:tcBorders>
              <w:top w:val="nil"/>
              <w:left w:val="nil"/>
              <w:bottom w:val="nil"/>
              <w:right w:val="nil"/>
            </w:tcBorders>
          </w:tcPr>
          <w:p>
            <w:pPr>
              <w:pStyle w:val="Author"/>
              <w:jc w:val="center"/>
            </w:pPr>
            <w:r>
              <w:rPr>
                <w:b/>
              </w:rPr>
              <w:t>Yurii Parzhyn</w:t>
              <w:br/>
            </w:r>
            <w:r>
              <w:t>School of Computer and Cyber Sciences</w:t>
              <w:br/>
            </w:r>
            <w:r>
              <w:t>Augusta University</w:t>
              <w:br/>
            </w:r>
            <w:r>
              <w:t>Augusta, GA, USA — yparzhyn@augusta.edu</w:t>
            </w:r>
          </w:p>
        </w:tc>
      </w:tr>
      <w:tr>
        <w:tc>
          <w:tcPr>
            <w:tcW w:type="dxa" w:w="3373"/>
            <w:tcBorders>
              <w:top w:val="nil"/>
              <w:left w:val="nil"/>
              <w:bottom w:val="nil"/>
              <w:right w:val="nil"/>
            </w:tcBorders>
          </w:tcPr>
          <w:p>
            <w:pPr>
              <w:pStyle w:val="Author"/>
              <w:jc w:val="center"/>
            </w:pPr>
            <w:r>
              <w:rPr>
                <w:b/>
              </w:rPr>
              <w:t>Kyrylo Perevoznyk</w:t>
              <w:br/>
            </w:r>
            <w:r>
              <w:t>Dept. of Systems Analysis and Information-Analytical Technologies</w:t>
              <w:br/>
            </w:r>
            <w:r>
              <w:t>National Technical University "Kharkiv Polytechnic Institute"</w:t>
              <w:br/>
            </w:r>
            <w:r>
              <w:t>Kharkiv, Ukraine — kyrylo.perevoznyk@cs.khpi.edu.ua</w:t>
            </w:r>
          </w:p>
        </w:tc>
        <w:tc>
          <w:tcPr>
            <w:tcW w:type="dxa" w:w="3373"/>
            <w:tcBorders>
              <w:top w:val="nil"/>
              <w:left w:val="nil"/>
              <w:bottom w:val="nil"/>
              <w:right w:val="nil"/>
            </w:tcBorders>
          </w:tcPr>
          <w:p>
            <w:pPr>
              <w:pStyle w:val="Author"/>
              <w:jc w:val="center"/>
            </w:pPr>
            <w:r>
              <w:rPr>
                <w:b/>
              </w:rPr>
              <w:t>Tetiana Aleksandrova</w:t>
              <w:br/>
            </w:r>
            <w:r>
              <w:t>Dept. of Systems Analysis and Information-Analytical Technologies</w:t>
              <w:br/>
            </w:r>
            <w:r>
              <w:t>National Technical University "Kharkiv Polytechnic Institute"</w:t>
              <w:br/>
            </w:r>
            <w:r>
              <w:t>Kharkiv, Ukraine — Tetiana.Aleksandrova@khpi.edu.ua</w:t>
            </w:r>
          </w:p>
        </w:tc>
        <w:tc>
          <w:tcPr>
            <w:tcW w:type="dxa" w:w="3373"/>
            <w:tcBorders>
              <w:top w:val="nil"/>
              <w:left w:val="nil"/>
              <w:bottom w:val="nil"/>
              <w:right w:val="nil"/>
            </w:tcBorders>
          </w:tcPr>
          <w:p/>
        </w:tc>
      </w:tr>
    </w:tbl>
    <w:p>
      <w:pPr>
        <w:pStyle w:val="Abstract"/>
      </w:pPr>
      <w:r>
        <w:rPr>
          <w:b/>
          <w:i/>
        </w:rPr>
        <w:t>Abstract—</w:t>
      </w:r>
      <w:r>
        <w:t>Opaque perception pipelines hinder trust and diagnosis in real-world AI systems. We present a graph-based representation for contour images that makes structure the carrier of explanations. The approach encodes visual patterns as attributed graphs where nodes represent critical points (endpoints, corners, junctions) and connecting line segments, with semantic tags and geometric attributes attached directly to graph elements. Multiple graph instances of the same class are reduced to form stable concept attractors — canonical graph structures that capture shared topological and parametric patterns while filtering instance-specific variations. This concept formation process operates through iterative structural and parametric reduction without backpropagation, enabling few-shot learning from minimal training data. We validate the approach on the full MNIST handwritten digit set, where 13 concepts formed from 2–6 training samples per concept classify 8 685 images across 10 digit classes with 85.80 % accuracy, 89.31 % precision, 85.80 % recall and 86.66 % F1. By encoding semantics explicitly in graph structure rather than in opaque weight matrices, the approach advances explainable AI while maintaining competitive few-shot learning performance.</w:t>
      </w:r>
    </w:p>
    <w:p>
      <w:pPr>
        <w:pStyle w:val="Keywords"/>
      </w:pPr>
      <w:r>
        <w:rPr>
          <w:b/>
          <w:i/>
        </w:rPr>
        <w:t>Keywords—</w:t>
      </w:r>
      <w:r>
        <w:t>Explainable AI (XAI), Artificial neural networks, Hypergraph models, Few-shot learning, Structural reduction, Graph matching</w:t>
      </w:r>
    </w:p>
    <w:p>
      <w:pPr>
        <w:sectPr>
          <w:type w:val="continuous"/>
          <w:pgSz w:w="11906" w:h="16838" w:code="9"/>
          <w:pgMar w:top="1080" w:right="893" w:bottom="1440" w:left="893" w:header="720" w:footer="720" w:gutter="0"/>
          <w:cols w:space="720"/>
          <w:docGrid w:linePitch="360"/>
        </w:sectPr>
      </w:pPr>
    </w:p>
    <w:p>
      <w:pPr>
        <w:pStyle w:val="1"/>
      </w:pPr>
      <w:r>
        <w:t>Introduction</w:t>
      </w:r>
    </w:p>
    <w:p>
      <w:pPr>
        <w:pStyle w:val="a3"/>
      </w:pPr>
      <w:r>
        <w:t>Modern perception systems achieve impressive accuracy yet often operate as opaque pipelines, making it difficult for practitioners to understand why a particular decision was reached or where evidence resides in the input. Post-hoc explanation techniques can be helpful, but they typically project reasoning onto models that were not designed to be interpretable, yielding artifacts that are hard to validate or reuse across tasks. Modern post-hoc explanation methods such as LIME and SHAP can be adversarially manipulated or yield inconsistent attributions [1], [2], [3]. Knowledge-graph-based approaches demonstrate that explicit graph structures improve interpretability over opaque weight matrices [4]. This gap undermines trust, slows diagnosis when things fail, and complicates compliance in domains that require traceable decision paths. To tackle these challenges, we propose elevating human-readable internal structure to a core design principle from the outset.</w:t>
      </w:r>
    </w:p>
    <w:p>
      <w:pPr>
        <w:pStyle w:val="a3"/>
      </w:pPr>
      <w:r>
        <w:t>Our main idea is to make the structure the carrier of explanations. To move beyond the reliance on primarily latent vectors — whose semantics remain implicit and largely uninterpretable — we propose encoding visual information using explicit, human-intuitive structures. Specifically, we use graphs whose semantics are transparent and readily comprehensible. For 2D images, contours offer a compact, model-agnostic shape description: endpoints, corners, and junctions delineate where curves terminate or intersect, while line segments define the connections between them. We represent this structure as a graph where both these critical points and the lines are nodes, with edges capturing their spatial adjacency. This design makes line segments first-class queryable entities rather than mere connectivity markers. Attributes and tags are stored directly in the graph elements to preserve meaning inside the representation: node types (labels) mark structural roles (e.g. Point, Line), other features capture orientation and position, and connectivity patterns reveal topological properties. Explanations become navigable objects: cycles justify closed contours, node degree reveals branching structure, and attribute ranges encode acceptable variation.</w:t>
      </w:r>
    </w:p>
    <w:p>
      <w:pPr>
        <w:pStyle w:val="a3"/>
      </w:pPr>
      <w:r>
        <w:t>The goal of this paper is therefore modest and focused: we show how contours can be encoded as attributed graphs that remain readable to both humans and machines, and we demonstrate how multiple graphs of the same class can be reduced to form concept attractors — stable canonical structures suitable for classification. We present the method at a high level, emphasizing what is represented rather than prescribing specific extraction algorithms. Concretely, we (i) define a minimal vocabulary of node/edge types and attributes; (ii) describe normalization choices that make the representation invariant to scale and translation; and (iii) outline how structural reduction rules iteratively merge training samples into generalized concepts that preserve shared topology while abstracting parametric variation. We validate the approach on MNIST handwritten digits, demonstrating that concepts formed from 2–6 training samples per concept enable competitive few-shot classification through graph matching.</w:t>
      </w:r>
    </w:p>
    <w:p>
      <w:pPr>
        <w:pStyle w:val="1"/>
      </w:pPr>
      <w:r>
        <w:t>Background and Related Work</w:t>
      </w:r>
    </w:p>
    <w:p>
      <w:pPr>
        <w:pStyle w:val="a3"/>
      </w:pPr>
      <w:r>
        <w:t>Current approaches to explainable AI (XAI) predominantly rely on post-hoc techniques such as LIME and SHAP that attempt to reverse-engineer already-trained model behavior [1], [5]. However, recent work has exposed fundamental vulnerabilities: Slack et al. [2] demonstrated that both methods can be adversarially manipulated to hide discriminatory behavior, while others have documented high sensitivity to hyperparameters and feature collinearity [3]. A fundamental challenge with post-hoc explanations is that, because they are generated after the model has been trained, it is inherently difficult to corroborate them against the model's actual reasoning process.</w:t>
      </w:r>
    </w:p>
    <w:p>
      <w:pPr>
        <w:pStyle w:val="a3"/>
      </w:pPr>
      <w:r>
        <w:t>Graph-based representations offer an alternative paradigm where structure itself carries semantic information. Vision GNNs treat images as graphs with content-based connectivity, enabling interpretable visual reasoning [6], while structured shape representations (contours and skeletons) have long been studied for capturing boundaries and topological structure [7], [8]. Evidence from graph-based contour representations [9] and from alternative vectorization techniques [10] further supports encoding visual patterns using explicit structural primitives. Graph edit distance (GED) provides a principled measure for comparing such representations through edit operations, and recent hybrid approaches combine GED with learned embeddings to achieve both efficiency and interpretability [11], [12]. Few-shot learning addresses concept formation from minimal data, typically through meta-learning frameworks that learn to adapt quickly across tasks [13], [14]. Neuro-symbolic AI extends this by integrating explicit knowledge graphs and symbolic reasoning with learned representations, providing introspectable decision paths [15], [4].</w:t>
      </w:r>
    </w:p>
    <w:p>
      <w:pPr>
        <w:pStyle w:val="a3"/>
      </w:pPr>
      <w:r>
        <w:t>Despite these advances, no existing approach combines structural explainability with few-shot capability through graph-based concept formation. Post-hoc methods remain disconnected from the learning process, while graph neural networks and few-shot learners rely on opaque learned weights rather than explicit structural attractors. Taken together, energy-based neural network formulations [16] and principles of information representation [17] provide the theoretical foundation for concept formation achieved through structural reduction. The present work addresses this by encoding visual patterns directly as attributed contour graphs and forming concepts through iterative structural reduction to stable attractors, making structure — not weights — the primary carrier of both representation and explanation.</w:t>
      </w:r>
    </w:p>
    <w:p>
      <w:pPr>
        <w:pStyle w:val="1"/>
      </w:pPr>
      <w:r>
        <w:t>Graph Representation</w:t>
      </w:r>
    </w:p>
    <w:p>
      <w:pPr>
        <w:pStyle w:val="2"/>
      </w:pPr>
      <w:r>
        <w:t>Node Types and Bipartite Structure</w:t>
      </w:r>
    </w:p>
    <w:p>
      <w:pPr>
        <w:pStyle w:val="a3"/>
      </w:pPr>
      <w:r>
        <w:t>The system represents image contours as bipartite graphs alternating between Point nodes and Line nodes. It is important that line segments are represented as first-class nodes rather than edges, allowing them to have attributes such as length, direction, and orientation. Point nodes and Line nodes connect via bidirectional CONNECTED_TO relationships, creating a traversal pattern of the form Point → Line → Point → Line.</w:t>
      </w:r>
    </w:p>
    <w:p>
      <w:pPr>
        <w:pStyle w:val="a3"/>
      </w:pPr>
      <w:r>
        <w:t>Point nodes are classified into four topological types: EndPoint (terminal nodes of open contours), CornerPoint (nodes marking sharp directional changes, storing an angle attribute), IntersectionPoint (nodes where multiple segments meet), and StartPoint (anchor nodes for graph traversal). Each node carries multiple labels (e.g. ["Point", "CornerPoint"]), enabling both type-specific queries and generic structural operations. This bipartite design separates topological structure (points) from geometric properties (line segments), facilitating explicit feature extraction and structural comparison.</w:t>
      </w:r>
    </w:p>
    <w:p>
      <w:pPr>
        <w:pStyle w:val="2"/>
      </w:pPr>
      <w:r>
        <w:t>Attributes and Normalization</w:t>
      </w:r>
    </w:p>
    <w:p>
      <w:pPr>
        <w:pStyle w:val="a3"/>
      </w:pPr>
      <w:r>
        <w:t>Each node type carries attributes that encode geometric, directional, and topological properties. Point nodes store (x, y) coordinates and their normalized counterparts as well as an angle value between the lines they connect. Line nodes store endpoint pairs (x_1, y_1, x_2, y_2) and a length attribute, enabling direct access to segment geometry without recomputing from connected points. Directional attributes capture spatial orientation: each Line node is assigned a quadrant (I, II, III, IV) based on the displacement vector from its start point, and carries horizontal direction (LEFT, RIGHT, NONE) and vertical direction (TOP, BOTTOM, NONE) labels that encode relative positioning.</w:t>
      </w:r>
    </w:p>
    <w:p>
      <w:pPr>
        <w:pStyle w:val="a3"/>
      </w:pPr>
      <w:r>
        <w:t>To achieve scale and translation invariance, all coordinates and distances are normalized. Point coordinates are transformed to a centered system ranging [-1, 1] via the formula normalized_x = (x - center_x) / center_x, and similarly for y. This normalization helps concept attractors remain stable when the size, position, and proportions of the image change, allowing shapes to be recognized despite variations in viewing conditions.</w:t>
      </w:r>
    </w:p>
    <w:p>
      <w:pPr>
        <w:pStyle w:val="1"/>
      </w:pPr>
      <w:r>
        <w:t>Concept Formation via Structural Reduction</w:t>
      </w:r>
    </w:p>
    <w:p>
      <w:pPr>
        <w:pStyle w:val="2"/>
      </w:pPr>
      <w:r>
        <w:t>From Multiple Graphs to Single Attractor</w:t>
      </w:r>
    </w:p>
    <w:p>
      <w:pPr>
        <w:pStyle w:val="a3"/>
      </w:pPr>
      <w:r>
        <w:t>Concept formation proceeds through iterative structural composition following principles of architectural information representation and structural reduction [17]. Given training samples G_1, G_2, …, G_n, the algorithm initializes the concept with the first graph (C_0 = G_1) and iteratively refines it through a custom reduction operation (CRO): C_{i+1} = CRO(C_i, G_{i+1}) for i = 1, 2, …, n-1. This formulation treats the first sample as a baseline that subsequent samples refine, preserving only structural elements common across all instances.</w:t>
      </w:r>
    </w:p>
    <w:p>
      <w:pPr>
        <w:pStyle w:val="a3"/>
      </w:pPr>
      <w:r>
        <w:t>The integration process for each sample follows five coordinated steps: (1) align start points across both graphs using clustering-based selection to establish consistent traversal origins; (2) apply critical point preprocessing through iterative reduction strategies to achieve structural compatibility; (3) generate synchronized traversal paths that maintain correspondence between critical points in both graphs; (4) identify common structure along matched path segments by comparing all simple paths between consecutive critical points and selecting best matches via node similarity assessment; (5) merge geometric and semantic properties using type-specific integration strategies. Each iteration produces a refined concept C_i that represents the intersection of structural patterns encountered thus far.</w:t>
      </w:r>
    </w:p>
    <w:p>
      <w:pPr>
        <w:pStyle w:val="2"/>
      </w:pPr>
      <w:r>
        <w:t>Structural Reduction Rules</w:t>
      </w:r>
    </w:p>
    <w:p>
      <w:pPr>
        <w:pStyle w:val="a3"/>
      </w:pPr>
      <w:r>
        <w:t>The custom reduction operation employs three complementary reduction strategies to align critical point structures before path-level comparison. These strategies operate within a type hierarchy where IntersectionPoint → CornerPoint → Point, with the constraint that StartPoint and EndPoint types cannot be reduced as they define structural boundaries.</w:t>
      </w:r>
    </w:p>
    <w:p>
      <w:pPr>
        <w:pStyle w:val="a3"/>
      </w:pPr>
      <w:r>
        <w:t>Endpoint removal eliminates terminal nodes that lack correspondence across samples. The algorithm computes a similarity matrix between endpoints in the concept and image graphs, removing endpoints with maximum similarity below a given threshold. When endpoint counts differ, the algorithm removes excess endpoints with the lowest maximum similarity scores. For each removed endpoint, the algorithm traverses from the terminal node toward the nearest critical point and removes the entire connecting path, eliminating sample-specific protrusions while preserving shared structural junctions.</w:t>
      </w:r>
    </w:p>
    <w:p>
      <w:pPr>
        <w:pStyle w:val="a3"/>
      </w:pPr>
      <w:r>
        <w:t>Intersection point merging consolidates junction nodes representing the same structural feature. The algorithm first applies semantic reduction: any node labeled IntersectionPoint but having degree ≤ 2 is relabeled as CornerPoint (degree 2) or EndPoint (degree 1) to maintain type-topology consistency. When intersection counts differ between graphs, the algorithm identifies excess intersections via similarity matrix comparison and removes those with lowest similarity scores. Removal proceeds by finding the path from the excess intersection to the nearest remaining critical point, removing intermediate nodes, and relinking preserved neighbors to the target junction.</w:t>
      </w:r>
    </w:p>
    <w:p>
      <w:pPr>
        <w:pStyle w:val="a3"/>
      </w:pPr>
      <w:r>
        <w:t>Path pruning normalizes segments between aligned critical points. For each pair of corresponding critical points, the algorithm identifies all simple paths connecting them and filters paths containing intermediate critical points to maintain segment isolation. It then computes node similarity matrices between all path pairs and selects the best matching pair based on average maximum similarity per node. Using the shorter path as a template, the algorithm matches nodes from the longer path via similarity scores and constructs the result path containing only matched positions.</w:t>
      </w:r>
    </w:p>
    <w:p>
      <w:pPr>
        <w:pStyle w:val="2"/>
      </w:pPr>
      <w:r>
        <w:t>Parametric Generalization</w:t>
      </w:r>
    </w:p>
    <w:p>
      <w:pPr>
        <w:pStyle w:val="a3"/>
      </w:pPr>
      <w:r>
        <w:t>While structural reduction determines which nodes and edges persist in the concept graph, parametric generalization determines how their attributes are merged. Numeric properties transform into range representations capturing central tendency and acceptable variation: for values v_1, …, v_n from n training samples, the merged property becomes {min, max, center}. Categorical properties preserve only values consistent across all samples; inconsistent categorical values are dropped from the concept. List properties (such as Neo4j labels that encode multiple type classifications per node) retain only elements present in all samples via set intersection. The resulting concept graphs encode not point estimates but distributions of acceptable values, enabling flexible matching during classification while maintaining interpretability through explicit parameter bounds.</w:t>
      </w:r>
    </w:p>
    <w:p>
      <w:pPr>
        <w:pStyle w:val="1"/>
      </w:pPr>
      <w:r>
        <w:t>Validation on MNIST Handwritten Digits</w:t>
      </w:r>
    </w:p>
    <w:p>
      <w:pPr>
        <w:pStyle w:val="2"/>
      </w:pPr>
      <w:r>
        <w:t>Experimental Setup</w:t>
      </w:r>
    </w:p>
    <w:p>
      <w:pPr>
        <w:pStyle w:val="a3"/>
      </w:pPr>
      <w:r>
        <w:t>We validate the proposed graph-based concept formation approach on the complete-structure subset of the MNIST handwritten digit dataset [18]. The experimental design emphasizes few-shot learning capability with minimal training data and interpretable graph structures, covering all 10 digit classes.</w:t>
      </w:r>
    </w:p>
    <w:p>
      <w:pPr>
        <w:sectPr>
          <w:type w:val="continuous"/>
          <w:pgSz w:w="11906" w:h="16838" w:code="9"/>
          <w:pgMar w:top="1080" w:right="893" w:bottom="1440" w:left="893" w:header="720" w:footer="720" w:gutter="0"/>
          <w:cols w:space="425" w:num="2" w:equalWidth="1"/>
          <w:docGrid w:linePitch="360"/>
        </w:sectPr>
      </w:pPr>
    </w:p>
    <w:p>
      <w:pPr>
        <w:pStyle w:val="tablehead"/>
      </w:pPr>
      <w:r>
        <w:t>Per-class test set size (complete-only MNIST).</w:t>
      </w:r>
    </w:p>
    <w:tbl>
      <w:tblPr>
        <w:tblW w:type="auto" w:w="0"/>
        <w:jc w:val="center"/>
        <w:tblLook w:firstColumn="1" w:firstRow="1" w:lastColumn="0" w:lastRow="0" w:noHBand="0" w:noVBand="1" w:val="04A0"/>
      </w:tblPr>
      <w:tblGrid>
        <w:gridCol w:w="5060"/>
        <w:gridCol w:w="5060"/>
      </w:tblGrid>
      <w:tr>
        <w:tc>
          <w:tcPr>
            <w:tcW w:type="dxa" w:w="5060"/>
          </w:tcPr>
          <w:p>
            <w:r>
              <w:rPr>
                <w:b/>
                <w:sz w:val="18"/>
              </w:rPr>
              <w:t>Digit</w:t>
            </w:r>
          </w:p>
        </w:tc>
        <w:tc>
          <w:tcPr>
            <w:tcW w:type="dxa" w:w="5060"/>
          </w:tcPr>
          <w:p>
            <w:r>
              <w:rPr>
                <w:b/>
                <w:sz w:val="18"/>
              </w:rPr>
              <w:t>Test images</w:t>
            </w:r>
          </w:p>
        </w:tc>
      </w:tr>
      <w:tr>
        <w:tc>
          <w:tcPr>
            <w:tcW w:type="dxa" w:w="5060"/>
          </w:tcPr>
          <w:p>
            <w:r>
              <w:rPr>
                <w:sz w:val="18"/>
              </w:rPr>
              <w:t>0</w:t>
            </w:r>
          </w:p>
        </w:tc>
        <w:tc>
          <w:tcPr>
            <w:tcW w:type="dxa" w:w="5060"/>
          </w:tcPr>
          <w:p>
            <w:r>
              <w:rPr>
                <w:sz w:val="18"/>
              </w:rPr>
              <w:t>830</w:t>
            </w:r>
          </w:p>
        </w:tc>
      </w:tr>
      <w:tr>
        <w:tc>
          <w:tcPr>
            <w:tcW w:type="dxa" w:w="5060"/>
          </w:tcPr>
          <w:p>
            <w:r>
              <w:rPr>
                <w:sz w:val="18"/>
              </w:rPr>
              <w:t>1</w:t>
            </w:r>
          </w:p>
        </w:tc>
        <w:tc>
          <w:tcPr>
            <w:tcW w:type="dxa" w:w="5060"/>
          </w:tcPr>
          <w:p>
            <w:r>
              <w:rPr>
                <w:sz w:val="18"/>
              </w:rPr>
              <w:t>1 121</w:t>
            </w:r>
          </w:p>
        </w:tc>
      </w:tr>
      <w:tr>
        <w:tc>
          <w:tcPr>
            <w:tcW w:type="dxa" w:w="5060"/>
          </w:tcPr>
          <w:p>
            <w:r>
              <w:rPr>
                <w:sz w:val="18"/>
              </w:rPr>
              <w:t>2</w:t>
            </w:r>
          </w:p>
        </w:tc>
        <w:tc>
          <w:tcPr>
            <w:tcW w:type="dxa" w:w="5060"/>
          </w:tcPr>
          <w:p>
            <w:r>
              <w:rPr>
                <w:sz w:val="18"/>
              </w:rPr>
              <w:t>955</w:t>
            </w:r>
          </w:p>
        </w:tc>
      </w:tr>
      <w:tr>
        <w:tc>
          <w:tcPr>
            <w:tcW w:type="dxa" w:w="5060"/>
          </w:tcPr>
          <w:p>
            <w:r>
              <w:rPr>
                <w:sz w:val="18"/>
              </w:rPr>
              <w:t>3</w:t>
            </w:r>
          </w:p>
        </w:tc>
        <w:tc>
          <w:tcPr>
            <w:tcW w:type="dxa" w:w="5060"/>
          </w:tcPr>
          <w:p>
            <w:r>
              <w:rPr>
                <w:sz w:val="18"/>
              </w:rPr>
              <w:t>968</w:t>
            </w:r>
          </w:p>
        </w:tc>
      </w:tr>
      <w:tr>
        <w:tc>
          <w:tcPr>
            <w:tcW w:type="dxa" w:w="5060"/>
          </w:tcPr>
          <w:p>
            <w:r>
              <w:rPr>
                <w:sz w:val="18"/>
              </w:rPr>
              <w:t>4</w:t>
            </w:r>
          </w:p>
        </w:tc>
        <w:tc>
          <w:tcPr>
            <w:tcW w:type="dxa" w:w="5060"/>
          </w:tcPr>
          <w:p>
            <w:r>
              <w:rPr>
                <w:sz w:val="18"/>
              </w:rPr>
              <w:t>951</w:t>
            </w:r>
          </w:p>
        </w:tc>
      </w:tr>
      <w:tr>
        <w:tc>
          <w:tcPr>
            <w:tcW w:type="dxa" w:w="5060"/>
          </w:tcPr>
          <w:p>
            <w:r>
              <w:rPr>
                <w:sz w:val="18"/>
              </w:rPr>
              <w:t>5</w:t>
            </w:r>
          </w:p>
        </w:tc>
        <w:tc>
          <w:tcPr>
            <w:tcW w:type="dxa" w:w="5060"/>
          </w:tcPr>
          <w:p>
            <w:r>
              <w:rPr>
                <w:sz w:val="18"/>
              </w:rPr>
              <w:t>796</w:t>
            </w:r>
          </w:p>
        </w:tc>
      </w:tr>
      <w:tr>
        <w:tc>
          <w:tcPr>
            <w:tcW w:type="dxa" w:w="5060"/>
          </w:tcPr>
          <w:p>
            <w:r>
              <w:rPr>
                <w:sz w:val="18"/>
              </w:rPr>
              <w:t>6</w:t>
            </w:r>
          </w:p>
        </w:tc>
        <w:tc>
          <w:tcPr>
            <w:tcW w:type="dxa" w:w="5060"/>
          </w:tcPr>
          <w:p>
            <w:r>
              <w:rPr>
                <w:sz w:val="18"/>
              </w:rPr>
              <w:t>741</w:t>
            </w:r>
          </w:p>
        </w:tc>
      </w:tr>
      <w:tr>
        <w:tc>
          <w:tcPr>
            <w:tcW w:type="dxa" w:w="5060"/>
          </w:tcPr>
          <w:p>
            <w:r>
              <w:rPr>
                <w:sz w:val="18"/>
              </w:rPr>
              <w:t>7</w:t>
            </w:r>
          </w:p>
        </w:tc>
        <w:tc>
          <w:tcPr>
            <w:tcW w:type="dxa" w:w="5060"/>
          </w:tcPr>
          <w:p>
            <w:r>
              <w:rPr>
                <w:sz w:val="18"/>
              </w:rPr>
              <w:t>1 011</w:t>
            </w:r>
          </w:p>
        </w:tc>
      </w:tr>
      <w:tr>
        <w:tc>
          <w:tcPr>
            <w:tcW w:type="dxa" w:w="5060"/>
          </w:tcPr>
          <w:p>
            <w:r>
              <w:rPr>
                <w:sz w:val="18"/>
              </w:rPr>
              <w:t>8</w:t>
            </w:r>
          </w:p>
        </w:tc>
        <w:tc>
          <w:tcPr>
            <w:tcW w:type="dxa" w:w="5060"/>
          </w:tcPr>
          <w:p>
            <w:r>
              <w:rPr>
                <w:sz w:val="18"/>
              </w:rPr>
              <w:t>580</w:t>
            </w:r>
          </w:p>
        </w:tc>
      </w:tr>
      <w:tr>
        <w:tc>
          <w:tcPr>
            <w:tcW w:type="dxa" w:w="5060"/>
          </w:tcPr>
          <w:p>
            <w:r>
              <w:rPr>
                <w:sz w:val="18"/>
              </w:rPr>
              <w:t>9</w:t>
            </w:r>
          </w:p>
        </w:tc>
        <w:tc>
          <w:tcPr>
            <w:tcW w:type="dxa" w:w="5060"/>
          </w:tcPr>
          <w:p>
            <w:r>
              <w:rPr>
                <w:sz w:val="18"/>
              </w:rPr>
              <w:t>732</w:t>
            </w:r>
          </w:p>
        </w:tc>
      </w:tr>
      <w:tr>
        <w:tc>
          <w:tcPr>
            <w:tcW w:type="dxa" w:w="5060"/>
          </w:tcPr>
          <w:p>
            <w:r>
              <w:rPr>
                <w:sz w:val="18"/>
              </w:rPr>
              <w:t>Total classified</w:t>
            </w:r>
          </w:p>
        </w:tc>
        <w:tc>
          <w:tcPr>
            <w:tcW w:type="dxa" w:w="5060"/>
          </w:tcPr>
          <w:p>
            <w:r>
              <w:rPr>
                <w:sz w:val="18"/>
              </w:rPr>
              <w:t>8 685</w:t>
            </w:r>
          </w:p>
        </w:tc>
      </w:tr>
    </w:tbl>
    <w:p>
      <w:pPr>
        <w:sectPr>
          <w:type w:val="continuous"/>
          <w:pgSz w:w="11906" w:h="16838" w:code="9"/>
          <w:pgMar w:top="1080" w:right="893" w:bottom="1440" w:left="893" w:header="720" w:footer="720" w:gutter="0"/>
          <w:cols w:space="425" w:num="1" w:equalWidth="1"/>
          <w:docGrid w:linePitch="360"/>
        </w:sectPr>
      </w:pPr>
    </w:p>
    <w:p>
      <w:pPr>
        <w:pStyle w:val="a3"/>
      </w:pPr>
      <w:r>
        <w:t>Training data consisted of 2–6 manually selected samples per concept, with 13 concepts spanning the 10 digit classes. Classes 1, 2 and 4 are each represented by two structural sub-concepts (1_1 and 1_3, 2_1 and 2_2, 4_1 and 4_2) to capture distinct writing styles; the remaining classes have one concept each. Concept sizes range from 3 nodes (concept 1_3) to 15 nodes (concept 8_1); the smallest discriminative concept is 7_1 at 5 nodes. To increase training set diversity while preserving structural integrity, each original training sample was augmented by 10 variants generated through random rotation (uniformly sampled within ±10°) and spatial translation (up to 10 % of image dimensions). Images were rendered at 100×100 pixels in grayscale.</w:t>
      </w:r>
    </w:p>
    <w:p>
      <w:pPr>
        <w:pStyle w:val="a3"/>
      </w:pPr>
      <w:r>
        <w:t>Classification performance was evaluated on 8 707 test images drawn from the standard MNIST test split and filtered to those whose graph construction produced a structurally complete skeleton. Per-class counts are reported in Table I. No test images were used during concept formation, ensuring unbiased evaluation of generalization capability.</w:t>
      </w:r>
    </w:p>
    <w:p>
      <w:pPr>
        <w:pStyle w:val="a3"/>
      </w:pPr>
      <w:r>
        <w:t>Each image underwent a multi-stage processing pipeline to produce attributed graph representations: binary thresholding with adaptive threshold selection (converging to θ = 110), morphological skeletonization via medial axis transformation, Growing Neural Gas (GNG) learning, Ramer-Douglas-Peucker simplification with ε = 4.55, and graph construction with Point and Line nodes. Coordinate normalization transformed absolute pixel positions to a centered [-1, 1] range, ensuring scale and translation invariance.</w:t>
      </w:r>
    </w:p>
    <w:p>
      <w:pPr>
        <w:pStyle w:val="2"/>
      </w:pPr>
      <w:r>
        <w:t>Classification via Graph Matching</w:t>
      </w:r>
    </w:p>
    <w:p>
      <w:pPr>
        <w:pStyle w:val="a3"/>
      </w:pPr>
      <w:r>
        <w:t>Classification proceeds by comparing each test image's graph representation against all concept attractors, computing structural similarity via Graph Edit Distance (GED), and selecting the concept with the highest similarity score. GED quantifies structural dissimilarity as the minimum-cost sequence of edit operations (node/edge insertion, deletion, substitution) required to transform the test graph into a concept graph. We employ custom cost functions that incorporate semantic and geometric constraints. Node substitution costs enforce label compatibility and compute weighted property differences across shared attributes, with range-based cost functions enabling flexible matching against parametric distributions. The optimal edit path is computed by an anytime solver based on NetworkX's optimize_graph_edit_distance, terminated by a 15-second deadline per concept comparison; raw GED values are converted to similarity scores via similarity = 1 - cost / (cost + max(n_1, n_2)).</w:t>
      </w:r>
    </w:p>
    <w:p>
      <w:pPr>
        <w:pStyle w:val="a3"/>
      </w:pPr>
      <w:r>
        <w:t>Five cost levels form a monotonic ladder: NO_COST = 0.0, MINOR = 0.65, GENERAL = 0.75, SEVERE = 1.0, NO_MATCH = 1.5, IMPOSSIBLE = 10.0. Attribute weights are diagnostic — each weight scales as 1 / (range_width + ε), so that a concept node with a tight learned range contributes more to the cost than one with a wide range, with ε = 1.0 as the baseline. Concepts whose complexity exceeds the input's complexity are filtered out before any GED computation, reducing per-image cost.</w:t>
      </w:r>
    </w:p>
    <w:p>
      <w:pPr>
        <w:pStyle w:val="2"/>
      </w:pPr>
      <w:r>
        <w:t>Results</w:t>
      </w:r>
    </w:p>
    <w:p>
      <w:pPr>
        <w:pStyle w:val="a3"/>
      </w:pPr>
      <w:r>
        <w:t>Across 8 707 test images, the system achieves 85.80 % accuracy, 89.31 % precision, 85.80 % recall and 86.66 % F1 (Table II). The pipeline success rate reaches 99.75 %, with 22 images routed to a dead-letter queue due to skeletonization failures that produced disconnected graphs. These results demonstrate that few-shot concept formation from 2–6 training samples per concept can achieve competitive classification performance without gradient-based optimization or deep feature extraction, relying solely on explicit structural comparison.</w:t>
      </w:r>
    </w:p>
    <w:p>
      <w:pPr>
        <w:sectPr>
          <w:type w:val="continuous"/>
          <w:pgSz w:w="11906" w:h="16838" w:code="9"/>
          <w:pgMar w:top="1080" w:right="893" w:bottom="1440" w:left="893" w:header="720" w:footer="720" w:gutter="0"/>
          <w:cols w:space="425" w:num="2" w:equalWidth="1"/>
          <w:docGrid w:linePitch="360"/>
        </w:sectPr>
      </w:pPr>
    </w:p>
    <w:p>
      <w:pPr>
        <w:pStyle w:val="tablehead"/>
      </w:pPr>
      <w:r>
        <w:t>Overall classification performance (8 685 classified, 22 DLQ).</w:t>
      </w:r>
    </w:p>
    <w:tbl>
      <w:tblPr>
        <w:tblW w:type="auto" w:w="0"/>
        <w:jc w:val="center"/>
        <w:tblLook w:firstColumn="1" w:firstRow="1" w:lastColumn="0" w:lastRow="0" w:noHBand="0" w:noVBand="1" w:val="04A0"/>
      </w:tblPr>
      <w:tblGrid>
        <w:gridCol w:w="5060"/>
        <w:gridCol w:w="5060"/>
      </w:tblGrid>
      <w:tr>
        <w:tc>
          <w:tcPr>
            <w:tcW w:type="dxa" w:w="5060"/>
          </w:tcPr>
          <w:p>
            <w:r>
              <w:rPr>
                <w:b/>
                <w:sz w:val="18"/>
              </w:rPr>
              <w:t>Metric</w:t>
            </w:r>
          </w:p>
        </w:tc>
        <w:tc>
          <w:tcPr>
            <w:tcW w:type="dxa" w:w="5060"/>
          </w:tcPr>
          <w:p>
            <w:r>
              <w:rPr>
                <w:b/>
                <w:sz w:val="18"/>
              </w:rPr>
              <w:t>Value (%)</w:t>
            </w:r>
          </w:p>
        </w:tc>
      </w:tr>
      <w:tr>
        <w:tc>
          <w:tcPr>
            <w:tcW w:type="dxa" w:w="5060"/>
          </w:tcPr>
          <w:p>
            <w:r>
              <w:rPr>
                <w:sz w:val="18"/>
              </w:rPr>
              <w:t>Accuracy</w:t>
            </w:r>
          </w:p>
        </w:tc>
        <w:tc>
          <w:tcPr>
            <w:tcW w:type="dxa" w:w="5060"/>
          </w:tcPr>
          <w:p>
            <w:r>
              <w:rPr>
                <w:sz w:val="18"/>
              </w:rPr>
              <w:t>85.80</w:t>
            </w:r>
          </w:p>
        </w:tc>
      </w:tr>
      <w:tr>
        <w:tc>
          <w:tcPr>
            <w:tcW w:type="dxa" w:w="5060"/>
          </w:tcPr>
          <w:p>
            <w:r>
              <w:rPr>
                <w:sz w:val="18"/>
              </w:rPr>
              <w:t>Precision</w:t>
            </w:r>
          </w:p>
        </w:tc>
        <w:tc>
          <w:tcPr>
            <w:tcW w:type="dxa" w:w="5060"/>
          </w:tcPr>
          <w:p>
            <w:r>
              <w:rPr>
                <w:sz w:val="18"/>
              </w:rPr>
              <w:t>89.31</w:t>
            </w:r>
          </w:p>
        </w:tc>
      </w:tr>
      <w:tr>
        <w:tc>
          <w:tcPr>
            <w:tcW w:type="dxa" w:w="5060"/>
          </w:tcPr>
          <w:p>
            <w:r>
              <w:rPr>
                <w:sz w:val="18"/>
              </w:rPr>
              <w:t>Recall</w:t>
            </w:r>
          </w:p>
        </w:tc>
        <w:tc>
          <w:tcPr>
            <w:tcW w:type="dxa" w:w="5060"/>
          </w:tcPr>
          <w:p>
            <w:r>
              <w:rPr>
                <w:sz w:val="18"/>
              </w:rPr>
              <w:t>85.80</w:t>
            </w:r>
          </w:p>
        </w:tc>
      </w:tr>
      <w:tr>
        <w:tc>
          <w:tcPr>
            <w:tcW w:type="dxa" w:w="5060"/>
          </w:tcPr>
          <w:p>
            <w:r>
              <w:rPr>
                <w:sz w:val="18"/>
              </w:rPr>
              <w:t>F1 score</w:t>
            </w:r>
          </w:p>
        </w:tc>
        <w:tc>
          <w:tcPr>
            <w:tcW w:type="dxa" w:w="5060"/>
          </w:tcPr>
          <w:p>
            <w:r>
              <w:rPr>
                <w:sz w:val="18"/>
              </w:rPr>
              <w:t>86.66</w:t>
            </w:r>
          </w:p>
        </w:tc>
      </w:tr>
    </w:tbl>
    <w:p>
      <w:pPr>
        <w:sectPr>
          <w:type w:val="continuous"/>
          <w:pgSz w:w="11906" w:h="16838" w:code="9"/>
          <w:pgMar w:top="1080" w:right="893" w:bottom="1440" w:left="893" w:header="720" w:footer="720" w:gutter="0"/>
          <w:cols w:space="425" w:num="1" w:equalWidth="1"/>
          <w:docGrid w:linePitch="360"/>
        </w:sectPr>
      </w:pPr>
    </w:p>
    <w:p>
      <w:pPr>
        <w:sectPr>
          <w:type w:val="continuous"/>
          <w:pgSz w:w="11906" w:h="16838" w:code="9"/>
          <w:pgMar w:top="1080" w:right="893" w:bottom="1440" w:left="893" w:header="720" w:footer="720" w:gutter="0"/>
          <w:cols w:space="425" w:num="2" w:equalWidth="1"/>
          <w:docGrid w:linePitch="360"/>
        </w:sectPr>
      </w:pPr>
    </w:p>
    <w:p>
      <w:pPr>
        <w:pStyle w:val="tablehead"/>
      </w:pPr>
      <w:r>
        <w:t>Per-class classification metrics.</w:t>
      </w:r>
    </w:p>
    <w:tbl>
      <w:tblPr>
        <w:tblW w:type="auto" w:w="0"/>
        <w:jc w:val="center"/>
        <w:tblLook w:firstColumn="1" w:firstRow="1" w:lastColumn="0" w:lastRow="0" w:noHBand="0" w:noVBand="1" w:val="04A0"/>
      </w:tblPr>
      <w:tblGrid>
        <w:gridCol w:w="2530"/>
        <w:gridCol w:w="2530"/>
        <w:gridCol w:w="2530"/>
        <w:gridCol w:w="2530"/>
      </w:tblGrid>
      <w:tr>
        <w:tc>
          <w:tcPr>
            <w:tcW w:type="dxa" w:w="2530"/>
          </w:tcPr>
          <w:p>
            <w:r>
              <w:rPr>
                <w:b/>
                <w:sz w:val="18"/>
              </w:rPr>
              <w:t>Digit</w:t>
            </w:r>
          </w:p>
        </w:tc>
        <w:tc>
          <w:tcPr>
            <w:tcW w:type="dxa" w:w="2530"/>
          </w:tcPr>
          <w:p>
            <w:r>
              <w:rPr>
                <w:b/>
                <w:sz w:val="18"/>
              </w:rPr>
              <w:t>Precision (%)</w:t>
            </w:r>
          </w:p>
        </w:tc>
        <w:tc>
          <w:tcPr>
            <w:tcW w:type="dxa" w:w="2530"/>
          </w:tcPr>
          <w:p>
            <w:r>
              <w:rPr>
                <w:b/>
                <w:sz w:val="18"/>
              </w:rPr>
              <w:t>Recall (%)</w:t>
            </w:r>
          </w:p>
        </w:tc>
        <w:tc>
          <w:tcPr>
            <w:tcW w:type="dxa" w:w="2530"/>
          </w:tcPr>
          <w:p>
            <w:r>
              <w:rPr>
                <w:b/>
                <w:sz w:val="18"/>
              </w:rPr>
              <w:t>F1 (%)</w:t>
            </w:r>
          </w:p>
        </w:tc>
      </w:tr>
      <w:tr>
        <w:tc>
          <w:tcPr>
            <w:tcW w:type="dxa" w:w="2530"/>
          </w:tcPr>
          <w:p>
            <w:r>
              <w:rPr>
                <w:sz w:val="18"/>
              </w:rPr>
              <w:t>0</w:t>
            </w:r>
          </w:p>
        </w:tc>
        <w:tc>
          <w:tcPr>
            <w:tcW w:type="dxa" w:w="2530"/>
          </w:tcPr>
          <w:p>
            <w:r>
              <w:rPr>
                <w:sz w:val="18"/>
              </w:rPr>
              <w:t>100.00</w:t>
            </w:r>
          </w:p>
        </w:tc>
        <w:tc>
          <w:tcPr>
            <w:tcW w:type="dxa" w:w="2530"/>
          </w:tcPr>
          <w:p>
            <w:r>
              <w:rPr>
                <w:sz w:val="18"/>
              </w:rPr>
              <w:t>88.67</w:t>
            </w:r>
          </w:p>
        </w:tc>
        <w:tc>
          <w:tcPr>
            <w:tcW w:type="dxa" w:w="2530"/>
          </w:tcPr>
          <w:p>
            <w:r>
              <w:rPr>
                <w:sz w:val="18"/>
              </w:rPr>
              <w:t>94.00</w:t>
            </w:r>
          </w:p>
        </w:tc>
      </w:tr>
      <w:tr>
        <w:tc>
          <w:tcPr>
            <w:tcW w:type="dxa" w:w="2530"/>
          </w:tcPr>
          <w:p>
            <w:r>
              <w:rPr>
                <w:sz w:val="18"/>
              </w:rPr>
              <w:t>1</w:t>
            </w:r>
          </w:p>
        </w:tc>
        <w:tc>
          <w:tcPr>
            <w:tcW w:type="dxa" w:w="2530"/>
          </w:tcPr>
          <w:p>
            <w:r>
              <w:rPr>
                <w:sz w:val="18"/>
              </w:rPr>
              <w:t>90.22</w:t>
            </w:r>
          </w:p>
        </w:tc>
        <w:tc>
          <w:tcPr>
            <w:tcW w:type="dxa" w:w="2530"/>
          </w:tcPr>
          <w:p>
            <w:r>
              <w:rPr>
                <w:sz w:val="18"/>
              </w:rPr>
              <w:t>94.65</w:t>
            </w:r>
          </w:p>
        </w:tc>
        <w:tc>
          <w:tcPr>
            <w:tcW w:type="dxa" w:w="2530"/>
          </w:tcPr>
          <w:p>
            <w:r>
              <w:rPr>
                <w:sz w:val="18"/>
              </w:rPr>
              <w:t>92.38</w:t>
            </w:r>
          </w:p>
        </w:tc>
      </w:tr>
      <w:tr>
        <w:tc>
          <w:tcPr>
            <w:tcW w:type="dxa" w:w="2530"/>
          </w:tcPr>
          <w:p>
            <w:r>
              <w:rPr>
                <w:sz w:val="18"/>
              </w:rPr>
              <w:t>2</w:t>
            </w:r>
          </w:p>
        </w:tc>
        <w:tc>
          <w:tcPr>
            <w:tcW w:type="dxa" w:w="2530"/>
          </w:tcPr>
          <w:p>
            <w:r>
              <w:rPr>
                <w:sz w:val="18"/>
              </w:rPr>
              <w:t>87.21</w:t>
            </w:r>
          </w:p>
        </w:tc>
        <w:tc>
          <w:tcPr>
            <w:tcW w:type="dxa" w:w="2530"/>
          </w:tcPr>
          <w:p>
            <w:r>
              <w:rPr>
                <w:sz w:val="18"/>
              </w:rPr>
              <w:t>60.00</w:t>
            </w:r>
          </w:p>
        </w:tc>
        <w:tc>
          <w:tcPr>
            <w:tcW w:type="dxa" w:w="2530"/>
          </w:tcPr>
          <w:p>
            <w:r>
              <w:rPr>
                <w:sz w:val="18"/>
              </w:rPr>
              <w:t>71.09</w:t>
            </w:r>
          </w:p>
        </w:tc>
      </w:tr>
      <w:tr>
        <w:tc>
          <w:tcPr>
            <w:tcW w:type="dxa" w:w="2530"/>
          </w:tcPr>
          <w:p>
            <w:r>
              <w:rPr>
                <w:sz w:val="18"/>
              </w:rPr>
              <w:t>3</w:t>
            </w:r>
          </w:p>
        </w:tc>
        <w:tc>
          <w:tcPr>
            <w:tcW w:type="dxa" w:w="2530"/>
          </w:tcPr>
          <w:p>
            <w:r>
              <w:rPr>
                <w:sz w:val="18"/>
              </w:rPr>
              <w:t>91.79</w:t>
            </w:r>
          </w:p>
        </w:tc>
        <w:tc>
          <w:tcPr>
            <w:tcW w:type="dxa" w:w="2530"/>
          </w:tcPr>
          <w:p>
            <w:r>
              <w:rPr>
                <w:sz w:val="18"/>
              </w:rPr>
              <w:t>85.43</w:t>
            </w:r>
          </w:p>
        </w:tc>
        <w:tc>
          <w:tcPr>
            <w:tcW w:type="dxa" w:w="2530"/>
          </w:tcPr>
          <w:p>
            <w:r>
              <w:rPr>
                <w:sz w:val="18"/>
              </w:rPr>
              <w:t>88.50</w:t>
            </w:r>
          </w:p>
        </w:tc>
      </w:tr>
      <w:tr>
        <w:tc>
          <w:tcPr>
            <w:tcW w:type="dxa" w:w="2530"/>
          </w:tcPr>
          <w:p>
            <w:r>
              <w:rPr>
                <w:sz w:val="18"/>
              </w:rPr>
              <w:t>4</w:t>
            </w:r>
          </w:p>
        </w:tc>
        <w:tc>
          <w:tcPr>
            <w:tcW w:type="dxa" w:w="2530"/>
          </w:tcPr>
          <w:p>
            <w:r>
              <w:rPr>
                <w:sz w:val="18"/>
              </w:rPr>
              <w:t>95.97</w:t>
            </w:r>
          </w:p>
        </w:tc>
        <w:tc>
          <w:tcPr>
            <w:tcW w:type="dxa" w:w="2530"/>
          </w:tcPr>
          <w:p>
            <w:r>
              <w:rPr>
                <w:sz w:val="18"/>
              </w:rPr>
              <w:t>82.65</w:t>
            </w:r>
          </w:p>
        </w:tc>
        <w:tc>
          <w:tcPr>
            <w:tcW w:type="dxa" w:w="2530"/>
          </w:tcPr>
          <w:p>
            <w:r>
              <w:rPr>
                <w:sz w:val="18"/>
              </w:rPr>
              <w:t>88.81</w:t>
            </w:r>
          </w:p>
        </w:tc>
      </w:tr>
      <w:tr>
        <w:tc>
          <w:tcPr>
            <w:tcW w:type="dxa" w:w="2530"/>
          </w:tcPr>
          <w:p>
            <w:r>
              <w:rPr>
                <w:sz w:val="18"/>
              </w:rPr>
              <w:t>5</w:t>
            </w:r>
          </w:p>
        </w:tc>
        <w:tc>
          <w:tcPr>
            <w:tcW w:type="dxa" w:w="2530"/>
          </w:tcPr>
          <w:p>
            <w:r>
              <w:rPr>
                <w:sz w:val="18"/>
              </w:rPr>
              <w:t>93.67</w:t>
            </w:r>
          </w:p>
        </w:tc>
        <w:tc>
          <w:tcPr>
            <w:tcW w:type="dxa" w:w="2530"/>
          </w:tcPr>
          <w:p>
            <w:r>
              <w:rPr>
                <w:sz w:val="18"/>
              </w:rPr>
              <w:t>83.67</w:t>
            </w:r>
          </w:p>
        </w:tc>
        <w:tc>
          <w:tcPr>
            <w:tcW w:type="dxa" w:w="2530"/>
          </w:tcPr>
          <w:p>
            <w:r>
              <w:rPr>
                <w:sz w:val="18"/>
              </w:rPr>
              <w:t>88.39</w:t>
            </w:r>
          </w:p>
        </w:tc>
      </w:tr>
      <w:tr>
        <w:tc>
          <w:tcPr>
            <w:tcW w:type="dxa" w:w="2530"/>
          </w:tcPr>
          <w:p>
            <w:r>
              <w:rPr>
                <w:sz w:val="18"/>
              </w:rPr>
              <w:t>6</w:t>
            </w:r>
          </w:p>
        </w:tc>
        <w:tc>
          <w:tcPr>
            <w:tcW w:type="dxa" w:w="2530"/>
          </w:tcPr>
          <w:p>
            <w:r>
              <w:rPr>
                <w:sz w:val="18"/>
              </w:rPr>
              <w:t>83.21</w:t>
            </w:r>
          </w:p>
        </w:tc>
        <w:tc>
          <w:tcPr>
            <w:tcW w:type="dxa" w:w="2530"/>
          </w:tcPr>
          <w:p>
            <w:r>
              <w:rPr>
                <w:sz w:val="18"/>
              </w:rPr>
              <w:t>92.98</w:t>
            </w:r>
          </w:p>
        </w:tc>
        <w:tc>
          <w:tcPr>
            <w:tcW w:type="dxa" w:w="2530"/>
          </w:tcPr>
          <w:p>
            <w:r>
              <w:rPr>
                <w:sz w:val="18"/>
              </w:rPr>
              <w:t>87.83</w:t>
            </w:r>
          </w:p>
        </w:tc>
      </w:tr>
      <w:tr>
        <w:tc>
          <w:tcPr>
            <w:tcW w:type="dxa" w:w="2530"/>
          </w:tcPr>
          <w:p>
            <w:r>
              <w:rPr>
                <w:sz w:val="18"/>
              </w:rPr>
              <w:t>7</w:t>
            </w:r>
          </w:p>
        </w:tc>
        <w:tc>
          <w:tcPr>
            <w:tcW w:type="dxa" w:w="2530"/>
          </w:tcPr>
          <w:p>
            <w:r>
              <w:rPr>
                <w:sz w:val="18"/>
              </w:rPr>
              <w:t>66.17</w:t>
            </w:r>
          </w:p>
        </w:tc>
        <w:tc>
          <w:tcPr>
            <w:tcW w:type="dxa" w:w="2530"/>
          </w:tcPr>
          <w:p>
            <w:r>
              <w:rPr>
                <w:sz w:val="18"/>
              </w:rPr>
              <w:t>97.33</w:t>
            </w:r>
          </w:p>
        </w:tc>
        <w:tc>
          <w:tcPr>
            <w:tcW w:type="dxa" w:w="2530"/>
          </w:tcPr>
          <w:p>
            <w:r>
              <w:rPr>
                <w:sz w:val="18"/>
              </w:rPr>
              <w:t>78.78</w:t>
            </w:r>
          </w:p>
        </w:tc>
      </w:tr>
      <w:tr>
        <w:tc>
          <w:tcPr>
            <w:tcW w:type="dxa" w:w="2530"/>
          </w:tcPr>
          <w:p>
            <w:r>
              <w:rPr>
                <w:sz w:val="18"/>
              </w:rPr>
              <w:t>8</w:t>
            </w:r>
          </w:p>
        </w:tc>
        <w:tc>
          <w:tcPr>
            <w:tcW w:type="dxa" w:w="2530"/>
          </w:tcPr>
          <w:p>
            <w:r>
              <w:rPr>
                <w:sz w:val="18"/>
              </w:rPr>
              <w:t>99.77</w:t>
            </w:r>
          </w:p>
        </w:tc>
        <w:tc>
          <w:tcPr>
            <w:tcW w:type="dxa" w:w="2530"/>
          </w:tcPr>
          <w:p>
            <w:r>
              <w:rPr>
                <w:sz w:val="18"/>
              </w:rPr>
              <w:t>74.66</w:t>
            </w:r>
          </w:p>
        </w:tc>
        <w:tc>
          <w:tcPr>
            <w:tcW w:type="dxa" w:w="2530"/>
          </w:tcPr>
          <w:p>
            <w:r>
              <w:rPr>
                <w:sz w:val="18"/>
              </w:rPr>
              <w:t>85.40</w:t>
            </w:r>
          </w:p>
        </w:tc>
      </w:tr>
      <w:tr>
        <w:tc>
          <w:tcPr>
            <w:tcW w:type="dxa" w:w="2530"/>
          </w:tcPr>
          <w:p>
            <w:r>
              <w:rPr>
                <w:sz w:val="18"/>
              </w:rPr>
              <w:t>9</w:t>
            </w:r>
          </w:p>
        </w:tc>
        <w:tc>
          <w:tcPr>
            <w:tcW w:type="dxa" w:w="2530"/>
          </w:tcPr>
          <w:p>
            <w:r>
              <w:rPr>
                <w:sz w:val="18"/>
              </w:rPr>
              <w:t>91.71</w:t>
            </w:r>
          </w:p>
        </w:tc>
        <w:tc>
          <w:tcPr>
            <w:tcW w:type="dxa" w:w="2530"/>
          </w:tcPr>
          <w:p>
            <w:r>
              <w:rPr>
                <w:sz w:val="18"/>
              </w:rPr>
              <w:t>95.22</w:t>
            </w:r>
          </w:p>
        </w:tc>
        <w:tc>
          <w:tcPr>
            <w:tcW w:type="dxa" w:w="2530"/>
          </w:tcPr>
          <w:p>
            <w:r>
              <w:rPr>
                <w:sz w:val="18"/>
              </w:rPr>
              <w:t>93.43</w:t>
            </w:r>
          </w:p>
        </w:tc>
      </w:tr>
    </w:tbl>
    <w:p>
      <w:pPr>
        <w:sectPr>
          <w:type w:val="continuous"/>
          <w:pgSz w:w="11906" w:h="16838" w:code="9"/>
          <w:pgMar w:top="1080" w:right="893" w:bottom="1440" w:left="893" w:header="720" w:footer="720" w:gutter="0"/>
          <w:cols w:space="425" w:num="1" w:equalWidth="1"/>
          <w:docGrid w:linePitch="360"/>
        </w:sectPr>
      </w:pPr>
    </w:p>
    <w:p>
      <w:pPr>
        <w:jc w:val="center"/>
      </w:pPr>
      <w:r>
        <w:drawing>
          <wp:inline xmlns:a="http://schemas.openxmlformats.org/drawingml/2006/main" xmlns:pic="http://schemas.openxmlformats.org/drawingml/2006/picture">
            <wp:extent cx="2926080" cy="2048256"/>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17"/>
                    <a:stretch>
                      <a:fillRect/>
                    </a:stretch>
                  </pic:blipFill>
                  <pic:spPr>
                    <a:xfrm>
                      <a:off x="0" y="0"/>
                      <a:ext cx="2926080" cy="2048256"/>
                    </a:xfrm>
                    <a:prstGeom prst="rect"/>
                  </pic:spPr>
                </pic:pic>
              </a:graphicData>
            </a:graphic>
          </wp:inline>
        </w:drawing>
      </w:r>
    </w:p>
    <w:p>
      <w:pPr>
        <w:jc w:val="center"/>
      </w:pPr>
      <w:r>
        <w:t>Fig. 1. Confusion matrix on the complete-only MNIST test set (8 685 classified images).</w:t>
      </w:r>
    </w:p>
    <w:p>
      <w:pPr>
        <w:pStyle w:val="a3"/>
      </w:pPr>
      <w:r>
        <w:t>Per-class performance (Table III) reveals systematic variation correlated with structural distinctiveness. Digit 0 reaches 100 % precision and 94.00 F1; digits 1 and 9 also exceed 92 F1, benefiting from topologically unique signatures (a fully closed loop for 0, an unbranched stroke for 1, a closed loop with a single descending tail for 9). The two weakest classes are digit 2 (F1 71.09 %, recall 60.00 %) and digit 7 (F1 78.78 %, precision 66.17 %). Digit 2 is under-covered: the two concepts 2_1 and 2_2 fail to capture roughly 40 % of the stylistic variants in the test set. Digit 7 is the opposite problem: concept 7_1 is the smallest in the library (5 nodes, complexity 9) and acts as a permissive catch-all, attracting images that should match larger concepts.</w:t>
      </w:r>
    </w:p>
    <w:p>
      <w:pPr>
        <w:pStyle w:val="a3"/>
      </w:pPr>
      <w:r>
        <w:t>Two structural issues account for most of the residual error budget. First, the asymmetry between digits 7 and 3 reflects the absence of a complexity-aware tie-breaker: when GED costs are within roughly 5 % of each other, the smaller concept (7_1) wins by default even when the larger one (3_1) provides a better structural match. Second, the wide-range attributes on the digit-2 concepts dilute their diagnostic weight, so they fail to fire on test samples whose written form deviates from the few training examples. Both issues are addressable through per-concept attribute tightening or a tighter penalty on small-concept wins, and neither requires changing the representation itself.</w:t>
      </w:r>
    </w:p>
    <w:p>
      <w:pPr>
        <w:pStyle w:val="1"/>
      </w:pPr>
      <w:r>
        <w:t>Discussion</w:t>
      </w:r>
    </w:p>
    <w:p>
      <w:pPr>
        <w:pStyle w:val="2"/>
      </w:pPr>
      <w:r>
        <w:t>Explainability through Structure</w:t>
      </w:r>
    </w:p>
    <w:p>
      <w:pPr>
        <w:pStyle w:val="a3"/>
      </w:pPr>
      <w:r>
        <w:t>The graph representation makes structure the carrier of explanations, providing inherent interpretability without post-hoc approximation. Graph cycles directly encode topological properties: closed-loop digits (0, 6, 8, 9) contain intersection points and exhibit higher mean degree, while open-contour digits exhibit lower mean degree and terminal endpoints. Parametric generalization encodes decision boundaries as explicit attribute ranges rather than implicit weight matrices: normalized coordinate spans define acceptable variation transparently, while categorical properties persist only when consistent across all training samples.</w:t>
      </w:r>
    </w:p>
    <w:p>
      <w:pPr>
        <w:pStyle w:val="a3"/>
      </w:pPr>
      <w:r>
        <w:t>This approach contrasts fundamentally with post-hoc explanation methods. LIME and SHAP generate attributions by perturbing inputs and approximating model behavior locally, yielding explanations vulnerable to adversarial manipulation [2]. In contrast, the present system embeds semantics directly in graph elements: explanations are navigable objects derived from structure itself. Misclassifications concentrate along structurally similar pairs (digits 2 vs 3 share curved morphology, digits 7 vs 1 share angular open contours), demonstrating that classification decisions trace directly to queryable topological and geometric properties.</w:t>
      </w:r>
    </w:p>
    <w:p>
      <w:pPr>
        <w:pStyle w:val="2"/>
      </w:pPr>
      <w:r>
        <w:t>Limitations and Future Work</w:t>
      </w:r>
    </w:p>
    <w:p>
      <w:pPr>
        <w:pStyle w:val="a3"/>
      </w:pPr>
      <w:r>
        <w:t>The approach exhibits several primary limitations. First, Graph Edit Distance computation is NP-hard in the general case, requiring a 15-second timeout per concept comparison. While tractable for moderate-sized graphs (|V| ≤ 15 in our MNIST concepts), this complexity may hinder real-time applications or large concept libraries without approximation algorithms. Second, graph quality depends critically on the preprocessing pipeline: skeletonization failures produced disconnected graphs for about 0.25 % of test images, and alternative contour extraction methods may yield different structural representations. Third, rotation invariance remains limited to the augmentation range employed during training (±10°); larger rotations may disrupt structural alignment and reduce matching accuracy. Fourth, the contour-only representation discards texture and gradient information, limiting applicability to recognition tasks where surface appearance matters.</w:t>
      </w:r>
    </w:p>
    <w:p>
      <w:pPr>
        <w:pStyle w:val="1"/>
      </w:pPr>
      <w:r>
        <w:t>Conclusion</w:t>
      </w:r>
    </w:p>
    <w:p>
      <w:pPr>
        <w:pStyle w:val="a3"/>
      </w:pPr>
      <w:r>
        <w:t>This paper presents a graph-based representation for contour images that makes structure the carrier of explanations. The approach encodes visual patterns as attributed graphs where nodes represent critical points and connecting line segments, with semantic tags and geometric attributes attached directly to graph elements. Multiple graph instances are reduced to stable concept attractors through iterative structural composition, requiring only 2–6 training samples per concept without gradient-based optimization. Validation on the complete-structure subset of MNIST demonstrates that this few-shot learning approach achieves 85.80 % classification accuracy across 10 digit classes through explicit graph matching, with confusion patterns tracing directly to structural similarity. By encoding semantics in queryable graph topology rather than opaque weight matrices, the approach advances explainable AI toward systems where decision paths are inherently transparent, verifiable, and suitable for domains requiring trustworthy, traceable reasoning.</w:t>
      </w:r>
    </w:p>
    <w:p>
      <w:pPr>
        <w:pStyle w:val="1"/>
      </w:pPr>
      <w:r>
        <w:t>References</w:t>
      </w:r>
    </w:p>
    <w:p>
      <w:pPr/>
      <w:r>
        <w:t>[1] M. T. Ribeiro, S. Singh, and C. Guestrin, "‘Why should I trust you?’: Explaining the predictions of any classifier," in Proc. 22nd ACM SIGKDD Int. Conf. Knowledge Discovery and Data Mining, 2016, pp. 1135–1144.</w:t>
      </w:r>
    </w:p>
    <w:p>
      <w:pPr/>
      <w:r>
        <w:t>[2] D. Slack, S. Hilgard, E. Jia, S. Singh, and H. Lakkaraju, "Fooling LIME and SHAP: Adversarial attacks on post-hoc explanation methods," in Proc. AAAI/ACM Conf. AI, Ethics, and Society, 2020, pp. 180–186.</w:t>
      </w:r>
    </w:p>
    <w:p>
      <w:pPr/>
      <w:r>
        <w:t>[3] D. Hooshyar and Y. Yang, "Problems with SHAP and LIME in interpretable AI for education: A comparative study of post-hoc explanations and neural-symbolic rule extraction," IEEE Access, vol. 12, pp. 137 472–137 490, 2024.</w:t>
      </w:r>
    </w:p>
    <w:p>
      <w:pPr/>
      <w:r>
        <w:t>[4] E. Rajabi and K. Etminani, "Knowledge-graph-based explainable AI: A systematic review," Journal of Information Science, vol. 50, no. 4, pp. 1019–1029, 2024.</w:t>
      </w:r>
    </w:p>
    <w:p>
      <w:pPr/>
      <w:r>
        <w:t>[5] S. M. Lundberg and S.-I. Lee, "A unified approach to interpreting model predictions," in Advances in Neural Information Processing Systems, vol. 30, 2017, pp. 4765–4774.</w:t>
      </w:r>
    </w:p>
    <w:p>
      <w:pPr/>
      <w:r>
        <w:t>[6] K. Han, Y. Wang, J. Guo, Y. Tang, and E. Wu, "Vision GNN: An image is worth graph of nodes," in Advances in Neural Information Processing Systems, vol. 35, 2022, pp. 8305–8319.</w:t>
      </w:r>
    </w:p>
    <w:p>
      <w:pPr/>
      <w:r>
        <w:t>[7] H. Chatbri, K. Kameyama, and P. Kwan, "A comparative study using contours and skeletons as shape representations for binary image matching," Pattern Recognition Letters, vol. 76, pp. 59–66, 2016.</w:t>
      </w:r>
    </w:p>
    <w:p>
      <w:pPr/>
      <w:r>
        <w:t>[8] W. Shen, Y. Wang, X. Bai, H. Wang, and L. J. Zhang, "Shape recognition by bag of skeleton-associated contour parts," in Proc. IEEE Conf. Computer Vision and Pattern Recognition, 2016, pp. 2125–2133.</w:t>
      </w:r>
    </w:p>
    <w:p>
      <w:pPr/>
      <w:r>
        <w:t>[9] Yu. Parzhyn, "Principles of modal and vector theory of formal intelligence systems," arXiv:1302.1334, 2013.</w:t>
      </w:r>
    </w:p>
    <w:p>
      <w:pPr/>
      <w:r>
        <w:t>[10] Yu. Parzhyn, S. Galkyn, and M. Sobol, "Method for binary contour images vectorization of handwritten characters for recognition by detector neural networks," in 2022 IEEE 3rd KhPI Week on Advanced Technology (KhPIWeek), Kharkiv, Ukraine, 2022, pp. 1–6, doi: 10.1109/KhPIWeek57572.2022.9916331.</w:t>
      </w:r>
    </w:p>
    <w:p>
      <w:pPr/>
      <w:r>
        <w:t>[11] F. Wang, P. Jiang, K. Riesen, and J. Zhang, "Combinatorial learning of graph edit distance via dynamic embedding," in Proc. IEEE/CVF Conf. Computer Vision and Pattern Recognition, 2021, pp. 5184–5193.</w:t>
      </w:r>
    </w:p>
    <w:p>
      <w:pPr/>
      <w:r>
        <w:t>[12] C. Liu et al., "MATA: Multi-attribute time series anomaly detection via meta-learning and attentive adaptive framework," in Proc. VLDB Endowment, vol. 16, no. 12, 2023, pp. 3983–3995.</w:t>
      </w:r>
    </w:p>
    <w:p>
      <w:pPr/>
      <w:r>
        <w:t>[13] C. Finn, P. Abbeel, and S. Levine, "Model-agnostic meta-learning for fast adaptation of deep networks," in Proc. 34th Int. Conf. Machine Learning, 2017, pp. 1126–1135.</w:t>
      </w:r>
    </w:p>
    <w:p>
      <w:pPr/>
      <w:r>
        <w:t>[14] J. Snell, K. Swersky, and R. Zemel, "Prototypical networks for few-shot learning," in Advances in Neural Information Processing Systems, vol. 30, 2017, pp. 4077–4087.</w:t>
      </w:r>
    </w:p>
    <w:p>
      <w:pPr/>
      <w:r>
        <w:t>[15] U. Nawaz, M. Anees-ur-Rahaman, and Z. Saeed, "A review of neuro-symbolic AI integrating reasoning and learning for advanced cognitive systems," Intelligent Systems with Applications, p. 200 541, 2025.</w:t>
      </w:r>
    </w:p>
    <w:p>
      <w:pPr/>
      <w:r>
        <w:t>[16] Yu. Parzhyn, M. Lapin, and K. Bokhan, "A new approach to building energy models of neural networks," Advanced Information Systems, vol. 9, no. 4, pp. 100–119, 2025.</w:t>
      </w:r>
    </w:p>
    <w:p>
      <w:pPr/>
      <w:r>
        <w:t>[17] Yu. Parzhyn, "Architecture of information," arXiv:2503.21794, 2025, doi: 10.48550/arXiv.2503.21794.</w:t>
      </w:r>
    </w:p>
    <w:p>
      <w:pPr/>
      <w:r>
        <w:t>[18] Y. LeCun, L. Bottou, Y. Bengio, and P. Haffner, "Gradient-based learning applied to document recognition," Proceedings of the IEEE, vol. 86, no. 11, pp. 2278–2324, Nov. 1998.</w:t>
      </w:r>
    </w:p>
    <w:sectPr w:rsidR="009303D9" w:rsidSect="003B4E04">
      <w:type w:val="continuous"/>
      <w:pgSz w:w="11906" w:h="16838" w:code="9"/>
      <w:pgMar w:top="1080" w:right="893" w:bottom="1440" w:left="893" w:header="720" w:footer="720" w:gutter="0"/>
      <w:cols w:space="425" w:num="2" w:equalWidth="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9933F" w14:textId="77777777" w:rsidR="006A0B11" w:rsidRDefault="006A0B11" w:rsidP="001A3B3D">
      <w:r>
        <w:separator/>
      </w:r>
    </w:p>
  </w:endnote>
  <w:endnote w:type="continuationSeparator" w:id="0">
    <w:p w14:paraId="40AAFC0F" w14:textId="77777777" w:rsidR="006A0B11" w:rsidRDefault="006A0B1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swiss"/>
    <w:notTrueType/>
    <w:pitch w:val="default"/>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5DA92" w14:textId="060BA44E" w:rsidR="00292E6C" w:rsidRPr="00292E6C" w:rsidRDefault="00292E6C" w:rsidP="00292E6C">
    <w:pPr>
      <w:pStyle w:val="a7"/>
      <w:jc w:val="left"/>
    </w:pPr>
    <w:r w:rsidRPr="00292E6C">
      <w:rPr>
        <w:rFonts w:ascii="Arial" w:hAnsi="Arial" w:cs="Arial"/>
        <w:color w:val="333333"/>
        <w:sz w:val="18"/>
        <w:szCs w:val="18"/>
        <w:lang w:val="uk-UA"/>
      </w:rPr>
      <w:t>979-8-3315-5236-7/26/$31.00 ©2026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AE9E9" w14:textId="77777777" w:rsidR="006A0B11" w:rsidRDefault="006A0B11" w:rsidP="001A3B3D">
      <w:r>
        <w:separator/>
      </w:r>
    </w:p>
  </w:footnote>
  <w:footnote w:type="continuationSeparator" w:id="0">
    <w:p w14:paraId="50BA1AB8" w14:textId="77777777" w:rsidR="006A0B11" w:rsidRDefault="006A0B11"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38589" w14:textId="0FE2E73F" w:rsidR="00780227" w:rsidRDefault="00780227" w:rsidP="00261964">
    <w:pPr>
      <w:pStyle w:val="a5"/>
      <w:tabs>
        <w:tab w:val="clear" w:pos="4680"/>
        <w:tab w:val="clear" w:pos="9360"/>
      </w:tabs>
    </w:pPr>
    <w:r>
      <w:rPr>
        <w:rFonts w:ascii="TimesNewRoman" w:hAnsi="TimesNewRoman" w:cs="TimesNewRoman"/>
        <w:lang w:val="uk-UA"/>
      </w:rPr>
      <w:t>202</w:t>
    </w:r>
    <w:r>
      <w:rPr>
        <w:rFonts w:ascii="TimesNewRoman" w:hAnsi="TimesNewRoman" w:cs="TimesNewRoman"/>
      </w:rPr>
      <w:t>6</w:t>
    </w:r>
    <w:r>
      <w:rPr>
        <w:rFonts w:ascii="TimesNewRoman" w:hAnsi="TimesNewRoman" w:cs="TimesNewRoman"/>
        <w:lang w:val="uk-UA"/>
      </w:rPr>
      <w:t xml:space="preserve"> IEEE </w:t>
    </w:r>
    <w:r w:rsidRPr="00780227">
      <w:rPr>
        <w:rFonts w:ascii="TimesNewRoman" w:hAnsi="TimesNewRoman" w:cs="TimesNewRoman"/>
      </w:rPr>
      <w:t>7th KhPI Week on Advanced Technology</w:t>
    </w:r>
    <w:r>
      <w:rPr>
        <w:rFonts w:ascii="TimesNewRoman" w:hAnsi="TimesNewRoman" w:cs="TimesNewRoman"/>
        <w:lang w:val="uk-UA"/>
      </w:rPr>
      <w:t xml:space="preserve"> (KhPIWeek)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hyphenationZone w:val="425"/>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61964"/>
    <w:rsid w:val="002850E3"/>
    <w:rsid w:val="00292E6C"/>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0B11"/>
    <w:rsid w:val="006A5D82"/>
    <w:rsid w:val="006B6B66"/>
    <w:rsid w:val="006F6D3D"/>
    <w:rsid w:val="00715BEA"/>
    <w:rsid w:val="00740EEA"/>
    <w:rsid w:val="00780227"/>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E1350"/>
    <w:rsid w:val="00EF7DE3"/>
    <w:rsid w:val="00F03103"/>
    <w:rsid w:val="00F271DE"/>
    <w:rsid w:val="00F627DA"/>
    <w:rsid w:val="00F65AF9"/>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Основний текст Знак"/>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Верхній колонтитул Знак"/>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Нижній колонтитул Знак"/>
    <w:basedOn w:val="a0"/>
    <w:link w:val="a7"/>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deocean.com/capsule/4989235/tre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rxiv.org/abs/1312.6114" TargetMode="External"/><Relationship Id="rId1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070ae6e-71c3-46e2-aec2-5ceab331f0d8" xsi:nil="true"/>
    <lcf76f155ced4ddcb4097134ff3c332f xmlns="a1c756a7-6e27-465b-a70b-440e2b4a17e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820634148F8E114D9EED61321302BEF9" ma:contentTypeVersion="15" ma:contentTypeDescription="Створення нового документа." ma:contentTypeScope="" ma:versionID="437486842fab735d1fdf09edf5cc809f">
  <xsd:schema xmlns:xsd="http://www.w3.org/2001/XMLSchema" xmlns:xs="http://www.w3.org/2001/XMLSchema" xmlns:p="http://schemas.microsoft.com/office/2006/metadata/properties" xmlns:ns2="a1c756a7-6e27-465b-a70b-440e2b4a17ea" xmlns:ns3="e070ae6e-71c3-46e2-aec2-5ceab331f0d8" targetNamespace="http://schemas.microsoft.com/office/2006/metadata/properties" ma:root="true" ma:fieldsID="aae9b9cfb008b9a74edfa6b9263a55b9" ns2:_="" ns3:_="">
    <xsd:import namespace="a1c756a7-6e27-465b-a70b-440e2b4a17ea"/>
    <xsd:import namespace="e070ae6e-71c3-46e2-aec2-5ceab331f0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c756a7-6e27-465b-a70b-440e2b4a17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Теги зображень" ma:readOnly="false" ma:fieldId="{5cf76f15-5ced-4ddc-b409-7134ff3c332f}" ma:taxonomyMulti="true" ma:sspId="72d1bc2c-129e-4a41-add9-4f9a437dcc6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70ae6e-71c3-46e2-aec2-5ceab331f0d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b7c1457-8ec7-4c29-bf5a-5f94205210c3}" ma:internalName="TaxCatchAll" ma:showField="CatchAllData" ma:web="e070ae6e-71c3-46e2-aec2-5ceab331f0d8">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Спільний доступ"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Відомості про тих, хто має доступ"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7E2FC0-808A-48D2-B0AB-AFB2DA7A0B1F}">
  <ds:schemaRefs>
    <ds:schemaRef ds:uri="http://schemas.microsoft.com/office/2006/metadata/properties"/>
    <ds:schemaRef ds:uri="http://schemas.microsoft.com/office/infopath/2007/PartnerControls"/>
    <ds:schemaRef ds:uri="e070ae6e-71c3-46e2-aec2-5ceab331f0d8"/>
    <ds:schemaRef ds:uri="a1c756a7-6e27-465b-a70b-440e2b4a17ea"/>
  </ds:schemaRefs>
</ds:datastoreItem>
</file>

<file path=customXml/itemProps2.xml><?xml version="1.0" encoding="utf-8"?>
<ds:datastoreItem xmlns:ds="http://schemas.openxmlformats.org/officeDocument/2006/customXml" ds:itemID="{8AD8FA60-1460-40DF-ABAB-C4EADFF992E9}">
  <ds:schemaRefs>
    <ds:schemaRef ds:uri="http://schemas.microsoft.com/sharepoint/v3/contenttype/forms"/>
  </ds:schemaRefs>
</ds:datastoreItem>
</file>

<file path=customXml/itemProps3.xml><?xml version="1.0" encoding="utf-8"?>
<ds:datastoreItem xmlns:ds="http://schemas.openxmlformats.org/officeDocument/2006/customXml" ds:itemID="{4499F252-02C7-4642-8F0E-B3B2D3541B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c756a7-6e27-465b-a70b-440e2b4a17ea"/>
    <ds:schemaRef ds:uri="e070ae6e-71c3-46e2-aec2-5ceab331f0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Pages>
  <Words>9626</Words>
  <Characters>5488</Characters>
  <Application>Microsoft Office Word</Application>
  <DocSecurity>0</DocSecurity>
  <Lines>45</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Роман Валентинович Зайцев</cp:lastModifiedBy>
  <cp:revision>6</cp:revision>
  <dcterms:created xsi:type="dcterms:W3CDTF">2026-02-05T09:59:00Z</dcterms:created>
  <dcterms:modified xsi:type="dcterms:W3CDTF">2026-02-05T10:17:00Z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0x010100820634148F8E114D9EED61321302BEF9</vt:lpwstr>
  </property>
  <property fmtid="{D5CDD505-2E9C-101B-9397-08002B2CF9AE}" pid="3" name="MediaServiceImageTags">
    <vt:lpwstr/>
  </property>
</Properties>
</file>