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СТРУКТУРА ЯК НОСІЙ ПОЯСНЕНЬ: ГРАФОВІ АТРАКТОРИ ДЛЯ РОЗПІЗНАВАННЯ КОНТУРНИХ ОБРАЗІВ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Лапін М.О.</w:t>
      </w:r>
      <w:r>
        <w:rPr>
          <w:rFonts w:ascii="Times New Roman" w:hAnsi="Times New Roman"/>
          <w:b/>
          <w:i w:val="0"/>
          <w:sz w:val="28"/>
          <w:vertAlign w:val="superscript"/>
        </w:rPr>
        <w:t>1</w:t>
      </w:r>
      <w:r>
        <w:rPr>
          <w:rFonts w:ascii="Times New Roman" w:hAnsi="Times New Roman"/>
          <w:b/>
          <w:i w:val="0"/>
          <w:sz w:val="28"/>
        </w:rPr>
        <w:t>, Бохан К.О.</w:t>
      </w:r>
      <w:r>
        <w:rPr>
          <w:rFonts w:ascii="Times New Roman" w:hAnsi="Times New Roman"/>
          <w:b/>
          <w:i w:val="0"/>
          <w:sz w:val="28"/>
          <w:vertAlign w:val="superscript"/>
        </w:rPr>
        <w:t>1</w:t>
      </w:r>
      <w:r>
        <w:rPr>
          <w:rFonts w:ascii="Times New Roman" w:hAnsi="Times New Roman"/>
          <w:b/>
          <w:i w:val="0"/>
          <w:sz w:val="28"/>
        </w:rPr>
        <w:t>, Перевозник К.М.</w:t>
      </w:r>
      <w:r>
        <w:rPr>
          <w:rFonts w:ascii="Times New Roman" w:hAnsi="Times New Roman"/>
          <w:b/>
          <w:i w:val="0"/>
          <w:sz w:val="28"/>
          <w:vertAlign w:val="superscript"/>
        </w:rPr>
        <w:t>1</w:t>
      </w:r>
      <w:r>
        <w:rPr>
          <w:rFonts w:ascii="Times New Roman" w:hAnsi="Times New Roman"/>
          <w:b/>
          <w:i w:val="0"/>
          <w:sz w:val="28"/>
        </w:rPr>
        <w:t>, Паржин Ю.В.</w:t>
      </w:r>
      <w:r>
        <w:rPr>
          <w:rFonts w:ascii="Times New Roman" w:hAnsi="Times New Roman"/>
          <w:b/>
          <w:i w:val="0"/>
          <w:sz w:val="28"/>
          <w:vertAlign w:val="superscript"/>
        </w:rPr>
        <w:t>2</w:t>
      </w:r>
      <w:r>
        <w:rPr>
          <w:rFonts w:ascii="Times New Roman" w:hAnsi="Times New Roman"/>
          <w:b/>
          <w:i w:val="0"/>
          <w:sz w:val="28"/>
        </w:rPr>
        <w:t>, Александрова Т.Є.</w:t>
      </w:r>
      <w:r>
        <w:rPr>
          <w:rFonts w:ascii="Times New Roman" w:hAnsi="Times New Roman"/>
          <w:b/>
          <w:i w:val="0"/>
          <w:sz w:val="28"/>
          <w:vertAlign w:val="superscript"/>
        </w:rPr>
        <w:t>1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/>
          <w:sz w:val="28"/>
          <w:vertAlign w:val="superscript"/>
        </w:rPr>
        <w:t>1</w:t>
      </w:r>
      <w:r>
        <w:rPr>
          <w:rFonts w:ascii="Times New Roman" w:hAnsi="Times New Roman"/>
          <w:b/>
          <w:i/>
          <w:sz w:val="28"/>
        </w:rPr>
        <w:t xml:space="preserve"> Національний технічний університет «Харківський політехнічний інститут», м. Харків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/>
          <w:sz w:val="28"/>
          <w:vertAlign w:val="superscript"/>
        </w:rPr>
        <w:t>2</w:t>
      </w:r>
      <w:r>
        <w:rPr>
          <w:rFonts w:ascii="Times New Roman" w:hAnsi="Times New Roman"/>
          <w:b/>
          <w:i/>
          <w:sz w:val="28"/>
        </w:rPr>
        <w:t xml:space="preserve"> Augusta University, м. Огаста, США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Глибокі нейромережі класифікують образи дедалі точніше, однак пояснити їхні рішення важко. Post-hoc методи на кшталт LIME чи SHAP наближують поведінку вже навченої моделі та піддаються змагальним атакам [1]. У медицині, безпеці й юриспруденції це неприйнятно: пояснення має випливати із самої моделі, а не з її зовнішньої апроксимації.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В роботі розглянуто питання перенесення семантики класифікатора безпосередньо у структуру графового представлення, щоб пояснення випливало із самої моделі. Контур зображення розкладається на вершини двох типів: критичні точки (кінці, кути, перетини) та відрізки. Нормалізовані координати, напрямки й кількість циклів зберігаються прямо на вершинах графа, а не в прихованих вагах [2].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Концепт класу будується з 2–6 прикладів: кожен новий зразок скорочує попередній концепт за правилом </w:t>
      </w:r>
      <w:r>
        <w:rPr>
          <w:rFonts w:ascii="Times New Roman" w:hAnsi="Times New Roman"/>
          <w:b w:val="0"/>
          <w:i w:val="0"/>
          <w:sz w:val="28"/>
        </w:rPr>
        <w:t>C</w:t>
      </w:r>
      <w:r>
        <w:rPr>
          <w:rFonts w:ascii="Times New Roman" w:hAnsi="Times New Roman"/>
          <w:b w:val="0"/>
          <w:i w:val="0"/>
          <w:sz w:val="28"/>
          <w:vertAlign w:val="subscript"/>
        </w:rPr>
        <w:t>i+1</w:t>
      </w:r>
      <w:r>
        <w:rPr>
          <w:rFonts w:ascii="Times New Roman" w:hAnsi="Times New Roman"/>
          <w:b w:val="0"/>
          <w:i w:val="0"/>
          <w:sz w:val="28"/>
        </w:rPr>
        <w:t xml:space="preserve"> = CRO(C</w:t>
      </w:r>
      <w:r>
        <w:rPr>
          <w:rFonts w:ascii="Times New Roman" w:hAnsi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</w:rPr>
        <w:t>, G</w:t>
      </w:r>
      <w:r>
        <w:rPr>
          <w:rFonts w:ascii="Times New Roman" w:hAnsi="Times New Roman"/>
          <w:b w:val="0"/>
          <w:i w:val="0"/>
          <w:sz w:val="28"/>
          <w:vertAlign w:val="subscript"/>
        </w:rPr>
        <w:t>i+1</w:t>
      </w:r>
      <w:r>
        <w:rPr>
          <w:rFonts w:ascii="Times New Roman" w:hAnsi="Times New Roman"/>
          <w:b w:val="0"/>
          <w:i w:val="0"/>
          <w:sz w:val="28"/>
        </w:rPr>
        <w:t>)</w:t>
      </w:r>
      <w:r>
        <w:rPr>
          <w:rFonts w:ascii="Times New Roman" w:hAnsi="Times New Roman"/>
          <w:b w:val="0"/>
          <w:i w:val="0"/>
          <w:sz w:val="28"/>
        </w:rPr>
        <w:t>. Рідкісні гілки відсікаються, близькі точки перетину зливаються, а числові атрибути перетворюються на діапазони {min, max, center}. Процедура збігається до стабільного графового атрактора без використання зворотного поширення помилки та градієнтної оптимізації [3].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На етапі класифікації тестовий граф порівнюється з кожним концептом за метрикою Graph Edit Distance; прогнозованим обирається клас того концепту, для якого досягнуто мінімальної відстані редагування. Валідацію проведено на повному тестовому наборі MNIST (12 000 зображень, 10 класів) із алфавітом з 13 концептів-атракторів. Досягнуто точність класифікації 74,12 %, макро-точність 78,04 %, F1-міру 74,49 %. Основні помилки зосереджено на структурно подібних парах цифр: 5→3 (33,3 % помилок класу 5), 3→7 (21,1 %), 8→6 (20,0 %), що узгоджується з інтерпретованою природою методу: кожну помилку можна проаналізувати на рівні графів.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Література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1. Slack D., Hilgard S., Jia E., Singh S., Lakkaraju H. Fooling LIME and SHAP: adversarial attacks on post hoc explanation methods. </w:t>
      </w:r>
      <w:r>
        <w:rPr>
          <w:rFonts w:ascii="Times New Roman" w:hAnsi="Times New Roman"/>
          <w:b w:val="0"/>
          <w:i/>
          <w:sz w:val="28"/>
        </w:rPr>
        <w:t>Proceedings of the AAAI/ACM Conference on AI, Ethics, and Society</w:t>
      </w:r>
      <w:r>
        <w:rPr>
          <w:rFonts w:ascii="Times New Roman" w:hAnsi="Times New Roman"/>
          <w:b w:val="0"/>
          <w:i w:val="0"/>
          <w:sz w:val="28"/>
        </w:rPr>
        <w:t xml:space="preserve"> : AIES ’20, New York, USA, February 7–8, 2020. New York : ACM, 2020. P. 180—186. DOI: 10.1145/3375627.3375830.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2. Parzhyn Y., Lapin M., Bokhan K. A new approach to building energy models of neural networks. </w:t>
      </w:r>
      <w:r>
        <w:rPr>
          <w:rFonts w:ascii="Times New Roman" w:hAnsi="Times New Roman"/>
          <w:b w:val="0"/>
          <w:i/>
          <w:sz w:val="28"/>
        </w:rPr>
        <w:t>Advanced Information Systems</w:t>
      </w:r>
      <w:r>
        <w:rPr>
          <w:rFonts w:ascii="Times New Roman" w:hAnsi="Times New Roman"/>
          <w:b w:val="0"/>
          <w:i w:val="0"/>
          <w:sz w:val="28"/>
        </w:rPr>
        <w:t>. 2025. Vol. 9, no. 4. P. 100—119. DOI: 10.20998/2522-9052.2025.4.13.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3. Parzhyn Y. Architecture of information : preprint. </w:t>
      </w:r>
      <w:r>
        <w:rPr>
          <w:rFonts w:ascii="Times New Roman" w:hAnsi="Times New Roman"/>
          <w:b w:val="0"/>
          <w:i/>
          <w:sz w:val="28"/>
        </w:rPr>
        <w:t>arXiv</w:t>
      </w:r>
      <w:r>
        <w:rPr>
          <w:rFonts w:ascii="Times New Roman" w:hAnsi="Times New Roman"/>
          <w:b w:val="0"/>
          <w:i w:val="0"/>
          <w:sz w:val="28"/>
        </w:rPr>
        <w:t>. 2025. arXiv:2503.21794. URL: https://arxiv.org/abs/2503.21794 (дата звернення: 16.04.2026). DOI: 10.48550/arXiv.2503.21794.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