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rPr/>
        <w:t xml:space="preserve"> with the filter disclosed; to demonstrate explainability by tracing </w:t>
      </w:r>
      <w:r>
        <w:rPr/>
        <w:t xml:space="preserve">decisions.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rPr/>
        <w:t xml:space="preserve">Images were represented as graphs with two node types, points and vectors, and 13 features. In a single pass of structural reduction, thirteen concept attractors for 10 classes, with 3 to 12 nodes each, were formed from 76 manually selected sources expanded to 805 images. In classification on graph edit distance, narrow feature intervals weigh more. The contour-completeness filter admitted 8,707 of 10,000 images; the share of retained images per class ranges from 59.75 % to 99.47 %. Accuracy is 91.13 %</w:t>
      </w:r>
      <w:r>
        <w:rPr/>
        <w:t xml:space="preserve"> (95 % confidence interval 90.52–91.71 %)</w:t>
      </w:r>
      <w:r>
        <w:rPr/>
        <w:t xml:space="preserve">; support-weighted precision, recall, and F-measure are 91.92 %, 91.13 %, and 91.34 %. The most frequent error is digit 2 classified as digit 7: 111 of the 770 erroneous decisions. </w:t>
      </w:r>
      <w:r>
        <w:rPr/>
        <w:t xml:space="preserve">An archived replay gives one numerical chain from edit operations to the final score</w:t>
      </w:r>
      <w:r>
        <w:rPr/>
        <w:t xml:space="preserve">, and a trace of all these 111 cases showed that in 110 of them the binary image already has no closed loop</w:t>
      </w:r>
      <w:r>
        <w:rPr/>
        <w:t xml:space="preserv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Pr/>
        <w:t xml:space="preserve">Потенційно така постановка корисна</w:t>
      </w:r>
      <w:r>
        <w:rPr/>
        <w:t xml:space="preserve">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pPr>
        <w:spacing w:after="0" w:line="280" w:lineRule="exact"/>
        <w:ind w:firstLine="567"/>
        <w:jc w:val="both"/>
      </w:pPr>
      <w:r>
        <w:rPr>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pPr>
        <w:spacing w:after="0" w:line="280" w:lineRule="exact"/>
        <w:ind w:firstLine="567"/>
        <w:jc w:val="both"/>
      </w:pPr>
      <w:r>
        <w:rPr>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pPr>
        <w:spacing w:after="0" w:line="280" w:lineRule="exact"/>
        <w:ind w:firstLine="567"/>
        <w:jc w:val="both"/>
      </w:pPr>
      <w:r>
        <w:rPr>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Pr/>
        <w:t xml:space="preserve">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pPr>
        <w:spacing w:after="0" w:line="280" w:lineRule="exact"/>
        <w:ind w:firstLine="567"/>
        <w:jc w:val="both"/>
      </w:pPr>
      <w:r>
        <w:rPr>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lang w:val="uk-UA"/>
        </w:rPr>
        <w:t xml:space="preserve">2) початковим станом концепту беруть граф першого зразка;</w:t>
      </w:r>
    </w:p>
    <w:p>
      <w:pPr>
        <w:spacing w:after="0" w:line="280" w:lineRule="exact"/>
        <w:ind w:firstLine="567"/>
        <w:jc w:val="both"/>
      </w:pPr>
      <w:r>
        <w:rPr>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336ADE10" w14:textId="77777777" w:rsidR="002C74D4" w:rsidRDefault="00000000">
      <w:pPr>
        <w:spacing w:after="0" w:line="280" w:lineRule="exact"/>
        <w:ind w:firstLine="567"/>
        <w:jc w:val="both"/>
      </w:pPr>
      <w:r>
        <w:rPr/>
        <w:t xml:space="preserve">Відбір оригіналів є обмеженням методу: результат характеризує систему, концепти якої сформовано зі структурно правильних написань. </w:t>
      </w:r>
      <w:r>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lang w:val="uk-UA"/>
          </w:rPr>
          <m:t xml:space="preserve">f</m:t>
        </m:r>
      </m:oMath>
      <w:r>
        <w:rPr>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lang w:val="uk-UA"/>
              </w:rPr>
              <m:t xml:space="preserve">w</m:t>
            </m:r>
          </m:e>
          <m:sub>
            <m:r>
              <w:rPr>
                <w:rFonts w:ascii="Cambria Math" w:hAnsi="Cambria Math"/>
                <w:lang w:val="uk-UA"/>
              </w:rPr>
              <m:t xml:space="preserve">f</m:t>
            </m:r>
          </m:sub>
        </m:sSub>
        <m:r>
          <w:rPr>
            <w:rFonts w:ascii="Cambria Math" w:hAnsi="Cambria Math"/>
            <w:lang w:val="uk-UA"/>
          </w:rPr>
          <m:t xml:space="preserve">=</m:t>
        </m:r>
        <m:f>
          <m:num>
            <m:sSub>
              <m:e>
                <m:r>
                  <w:rPr>
                    <w:rFonts w:ascii="Cambria Math" w:hAnsi="Cambria Math"/>
                    <w:lang w:val="uk-UA"/>
                  </w:rPr>
                  <m:t xml:space="preserve">s</m:t>
                </m:r>
              </m:e>
              <m:sub>
                <m:r>
                  <w:rPr>
                    <w:rFonts w:ascii="Cambria Math" w:hAnsi="Cambria Math"/>
                    <w:lang w:val="uk-UA"/>
                  </w:rPr>
                  <m:t xml:space="preserve">f</m:t>
                </m:r>
              </m:sub>
            </m:sSub>
          </m:num>
          <m:den>
            <m:sSub>
              <m:e>
                <m:r>
                  <w:rPr>
                    <w:rFonts w:ascii="Cambria Math" w:hAnsi="Cambria Math"/>
                    <w:lang w:val="uk-UA"/>
                  </w:rPr>
                  <m:t xml:space="preserve">Δ</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ε</m:t>
            </m:r>
          </m:den>
        </m:f>
      </m:oMath>
      <w:r>
        <w:tab/>
      </w:r>
      <w:r>
        <w:rPr>
          <w:lang w:val="uk-UA"/>
        </w:rPr>
        <w:t>(1)</w:t>
      </w:r>
    </w:p>
    <w:p>
      <w:pPr>
        <w:spacing w:after="0" w:line="280" w:lineRule="exact"/>
        <w:ind w:firstLine="567"/>
        <w:jc w:val="both"/>
      </w:pPr>
      <w:r>
        <w:rPr>
          <w:lang w:val="uk-UA"/>
        </w:rPr>
        <w:t xml:space="preserve">де </w:t>
      </w:r>
      <m:oMath>
        <m:sSub>
          <m:e>
            <m:r>
              <w:rPr>
                <w:rFonts w:ascii="Cambria Math" w:hAnsi="Cambria Math"/>
                <w:lang w:val="uk-UA"/>
              </w:rPr>
              <m:t xml:space="preserve">Δ</m:t>
            </m:r>
          </m:e>
          <m:sub>
            <m:r>
              <w:rPr>
                <w:rFonts w:ascii="Cambria Math" w:hAnsi="Cambria Math"/>
                <w:lang w:val="uk-UA"/>
              </w:rPr>
              <m:t xml:space="preserve">f</m:t>
            </m:r>
          </m:sub>
        </m:sSub>
      </m:oMath>
      <w:r>
        <w:rPr>
          <w:lang w:val="uk-UA"/>
        </w:rPr>
        <w:t xml:space="preserve"> – ширина інтервалу ознаки у вузлі концепту, </w:t>
      </w:r>
      <m:oMath>
        <m:r>
          <w:rPr>
            <w:rFonts w:ascii="Cambria Math" w:hAnsi="Cambria Math"/>
            <w:lang w:val="uk-UA"/>
          </w:rPr>
          <m:t xml:space="preserve">ε</m:t>
        </m:r>
      </m:oMath>
      <w:r>
        <w:rPr>
          <w:lang w:val="uk-UA"/>
        </w:rPr>
        <w:t xml:space="preserve"> = 0,1 – стала, що обмежує вагу вузьких інтервалів,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lang w:val="uk-UA"/>
                  </w:rPr>
                  <m:t xml:space="preserve">w</m:t>
                </m:r>
              </m:e>
            </m:acc>
          </m:e>
          <m:sub>
            <m:r>
              <w:rPr>
                <w:rFonts w:ascii="Cambria Math" w:hAnsi="Cambria Math"/>
                <w:lang w:val="uk-UA"/>
              </w:rPr>
              <m:t xml:space="preserve">f</m:t>
            </m:r>
          </m:sub>
        </m:sSub>
        <m:r>
          <w:rPr>
            <w:rFonts w:ascii="Cambria Math" w:hAnsi="Cambria Math"/>
            <w:lang w:val="uk-UA"/>
          </w:rPr>
          <m:t xml:space="preserve">=</m:t>
        </m:r>
        <m:f>
          <m:fPr>
            <m:type m:val="lin"/>
          </m:fPr>
          <m:num>
            <m:sSub>
              <m:e>
                <m:r>
                  <w:rPr>
                    <w:rFonts w:ascii="Cambria Math" w:hAnsi="Cambria Math"/>
                    <w:lang w:val="uk-UA"/>
                  </w:rPr>
                  <m:t xml:space="preserve">w</m:t>
                </m:r>
              </m:e>
              <m:sub>
                <m:r>
                  <w:rPr>
                    <w:rFonts w:ascii="Cambria Math" w:hAnsi="Cambria Math"/>
                    <w:lang w:val="uk-UA"/>
                  </w:rPr>
                  <m:t xml:space="preserve">f</m:t>
                </m:r>
              </m:sub>
            </m:sSub>
          </m:num>
          <m:den>
            <m:nary>
              <m:naryPr>
                <m:chr m:val="∑"/>
                <m:supHide m:val="1"/>
              </m:naryPr>
              <m:sub>
                <m:r>
                  <w:rPr>
                    <w:rFonts w:ascii="Cambria Math" w:hAnsi="Cambria Math"/>
                    <w:lang w:val="uk-UA"/>
                  </w:rPr>
                  <m:t xml:space="preserve">g</m:t>
                </m:r>
              </m:sub>
              <m:sup/>
              <m:e>
                <m:sSub>
                  <m:e>
                    <m:r>
                      <w:rPr>
                        <w:rFonts w:ascii="Cambria Math" w:hAnsi="Cambria Math"/>
                        <w:lang w:val="uk-UA"/>
                      </w:rPr>
                      <m:t xml:space="preserve">w</m:t>
                    </m:r>
                  </m:e>
                  <m:sub>
                    <m:r>
                      <w:rPr>
                        <w:rFonts w:ascii="Cambria Math" w:hAnsi="Cambria Math"/>
                        <w:lang w:val="uk-UA"/>
                      </w:rPr>
                      <m:t xml:space="preserve">g</m:t>
                    </m:r>
                  </m:sub>
                </m:sSub>
              </m:e>
            </m:nary>
          </m:den>
        </m:f>
      </m:oMath>
      <w:r>
        <w:rPr>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lang w:val="uk-UA"/>
          </w:rPr>
          <m:t xml:space="preserve">v</m:t>
        </m:r>
      </m:oMath>
      <w:r>
        <w:rPr>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lang w:val="uk-UA"/>
              </w:rPr>
              <m:t xml:space="preserve">c</m:t>
            </m:r>
          </m:e>
          <m:sub>
            <m:r>
              <w:rPr>
                <w:rFonts w:ascii="Cambria Math" w:hAnsi="Cambria Math"/>
                <w:lang w:val="uk-UA"/>
              </w:rPr>
              <m:t xml:space="preserve">f</m:t>
            </m:r>
          </m:sub>
        </m:sSub>
        <m:d>
          <m:dPr>
            <m:begChr m:val="("/>
            <m:endChr m:val=")"/>
          </m:dPr>
          <m:e>
            <m:r>
              <w:rPr>
                <w:rFonts w:ascii="Cambria Math" w:hAnsi="Cambria Math"/>
                <w:lang w:val="uk-UA"/>
              </w:rPr>
              <m:t xml:space="preserve">v</m:t>
            </m:r>
          </m:e>
        </m:d>
        <m:r>
          <w:rPr>
            <w:rFonts w:ascii="Cambria Math" w:hAnsi="Cambria Math"/>
            <w:lang w:val="uk-UA"/>
          </w:rPr>
          <m:t xml:space="preserve">=</m:t>
        </m:r>
        <m:d>
          <m:dPr>
            <m:begChr m:val="{"/>
            <m:endChr m:val=""/>
          </m:dPr>
          <m:e>
            <m:eqArr>
              <m:e>
                <m:func>
                  <m:fName>
                    <m:r>
                      <m:rPr>
                        <m:sty m:val="p"/>
                      </m:rPr>
                      <w:rPr>
                        <w:rFonts w:ascii="Cambria Math" w:hAnsi="Cambria Math"/>
                        <w:lang w:val="uk-UA"/>
                      </w:rPr>
                      <m:t xml:space="preserve">min</m:t>
                    </m:r>
                  </m:fName>
                  <m:e>
                    <m:d>
                      <m:dPr>
                        <m:begChr m:val="("/>
                        <m:endChr m:val=")"/>
                      </m:dPr>
                      <m:e>
                        <m:sSub>
                          <m:e>
                            <m:acc>
                              <m:accPr>
                                <m:chr m:val="̃"/>
                              </m:accPr>
                              <m:e>
                                <m:r>
                                  <w:rPr>
                                    <w:rFonts w:ascii="Cambria Math" w:hAnsi="Cambria Math"/>
                                    <w:lang w:val="uk-UA"/>
                                  </w:rPr>
                                  <m:t xml:space="preserve">w</m:t>
                                </m:r>
                              </m:e>
                            </m:acc>
                          </m:e>
                          <m:sub>
                            <m:r>
                              <w:rPr>
                                <w:rFonts w:ascii="Cambria Math" w:hAnsi="Cambria Math"/>
                                <w:lang w:val="uk-UA"/>
                              </w:rPr>
                              <m:t xml:space="preserve">f</m:t>
                            </m:r>
                          </m:sub>
                        </m:sSub>
                        <m:f>
                          <m:num>
                            <m:d>
                              <m:dPr>
                                <m:begChr m:val="|"/>
                                <m:endChr m:val="|"/>
                              </m:dPr>
                              <m:e>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m</m:t>
                                    </m:r>
                                  </m:e>
                                  <m:sub>
                                    <m:r>
                                      <w:rPr>
                                        <w:rFonts w:ascii="Cambria Math" w:hAnsi="Cambria Math"/>
                                        <w:lang w:val="uk-UA"/>
                                      </w:rPr>
                                      <m:t xml:space="preserve">f</m:t>
                                    </m:r>
                                  </m:sub>
                                </m:sSub>
                              </m:e>
                            </m:d>
                          </m:num>
                          <m:den>
                            <m:sSub>
                              <m:e>
                                <m:r>
                                  <w:rPr>
                                    <w:rFonts w:ascii="Cambria Math" w:hAnsi="Cambria Math"/>
                                    <w:lang w:val="uk-UA"/>
                                  </w:rPr>
                                  <m:t xml:space="preserve">Δ</m:t>
                                </m:r>
                              </m:e>
                              <m:sub>
                                <m:r>
                                  <w:rPr>
                                    <w:rFonts w:ascii="Cambria Math" w:hAnsi="Cambria Math"/>
                                    <w:lang w:val="uk-UA"/>
                                  </w:rPr>
                                  <m:t xml:space="preserve">f</m:t>
                                </m:r>
                              </m:sub>
                            </m:sSub>
                            <m:r>
                              <m:rPr>
                                <m:sty m:val="p"/>
                              </m:rPr>
                              <w:rPr>
                                <w:rFonts w:ascii="Cambria Math" w:hAnsi="Cambria Math"/>
                                <w:lang w:val="uk-UA"/>
                              </w:rPr>
                              <m:t xml:space="preserve">/2</m:t>
                            </m:r>
                          </m:den>
                        </m:f>
                        <m:r>
                          <w:rPr>
                            <w:rFonts w:ascii="Cambria Math" w:hAnsi="Cambria Math"/>
                            <w:lang w:val="uk-UA"/>
                          </w:rPr>
                          <m:t xml:space="preserve">; </m:t>
                        </m:r>
                        <m:sSub>
                          <m:e>
                            <m:acc>
                              <m:accPr>
                                <m:chr m:val="̃"/>
                              </m:accPr>
                              <m:e>
                                <m:r>
                                  <w:rPr>
                                    <w:rFonts w:ascii="Cambria Math" w:hAnsi="Cambria Math"/>
                                    <w:lang w:val="uk-UA"/>
                                  </w:rPr>
                                  <m:t xml:space="preserve">w</m:t>
                                </m:r>
                              </m:e>
                            </m:acc>
                          </m:e>
                          <m:sub>
                            <m:r>
                              <w:rPr>
                                <w:rFonts w:ascii="Cambria Math" w:hAnsi="Cambria Math"/>
                                <w:lang w:val="uk-UA"/>
                              </w:rPr>
                              <m:t xml:space="preserve">f</m:t>
                            </m:r>
                          </m:sub>
                        </m:sSub>
                      </m:e>
                    </m:d>
                  </m:e>
                </m:func>
                <m:r>
                  <m:rPr>
                    <m:sty m:val="p"/>
                  </m:rPr>
                  <w:rPr>
                    <w:rFonts w:ascii="Cambria Math" w:hAnsi="Cambria Math"/>
                    <w:lang w:val="uk-UA"/>
                  </w:rPr>
                  <m:t xml:space="preserve">,   якщо </m:t>
                </m:r>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b</m:t>
                    </m:r>
                  </m:e>
                  <m:sub>
                    <m:r>
                      <w:rPr>
                        <w:rFonts w:ascii="Cambria Math" w:hAnsi="Cambria Math"/>
                        <w:lang w:val="uk-UA"/>
                      </w:rPr>
                      <m:t xml:space="preserve">f</m:t>
                    </m:r>
                  </m:sub>
                </m:sSub>
              </m:e>
              <m:e>
                <m:r>
                  <m:rPr>
                    <m:sty m:val="p"/>
                  </m:rPr>
                  <w:rPr>
                    <w:rFonts w:ascii="Cambria Math" w:hAnsi="Cambria Math"/>
                    <w:lang w:val="uk-UA"/>
                  </w:rPr>
                  <m:t xml:space="preserve">1,0</m:t>
                </m:r>
                <m:r>
                  <m:rPr>
                    <m:sty m:val="p"/>
                  </m:rPr>
                  <w:rPr>
                    <w:rFonts w:ascii="Cambria Math" w:hAnsi="Cambria Math"/>
                    <w:lang w:val="uk-UA"/>
                  </w:rPr>
                  <m:t xml:space="preserve">,   якщо </m:t>
                </m:r>
                <m:r>
                  <w:rPr>
                    <w:rFonts w:ascii="Cambria Math" w:hAnsi="Cambria Math"/>
                    <w:lang w:val="uk-UA"/>
                  </w:rPr>
                  <m:t xml:space="preserve">v</m:t>
                </m:r>
                <m:r>
                  <w:rPr>
                    <w:rFonts w:ascii="Cambria Math" w:hAnsi="Cambria Math"/>
                    <w:lang w:val="uk-UA"/>
                  </w:rPr>
                  <m:t xml:space="preserve">∉</m:t>
                </m:r>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e>
            </m:eqArr>
          </m:e>
        </m:d>
      </m:oMath>
      <w:r>
        <w:tab/>
      </w:r>
      <w:r>
        <w:rPr>
          <w:lang w:val="uk-UA"/>
        </w:rPr>
        <w:t>(2)</w:t>
      </w:r>
    </w:p>
    <w:p>
      <w:pPr>
        <w:spacing w:after="0" w:line="280" w:lineRule="exact"/>
        <w:ind w:firstLine="567"/>
        <w:jc w:val="both"/>
      </w:pPr>
      <w:r>
        <w:rPr>
          <w:lang w:val="uk-UA"/>
        </w:rPr>
        <w:t xml:space="preserve">де </w:t>
      </w:r>
      <m:oMath>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oMath>
      <w:r>
        <w:rPr>
          <w:lang w:val="uk-UA"/>
        </w:rPr>
        <w:t xml:space="preserve"> – інтервал ознаки у вузлі концепту, </w:t>
      </w:r>
      <m:oMath>
        <m:sSub>
          <m:e>
            <m:r>
              <w:rPr>
                <w:rFonts w:ascii="Cambria Math" w:hAnsi="Cambria Math"/>
                <w:lang w:val="uk-UA"/>
              </w:rPr>
              <m:t xml:space="preserve">m</m:t>
            </m:r>
          </m:e>
          <m:sub>
            <m:r>
              <w:rPr>
                <w:rFonts w:ascii="Cambria Math" w:hAnsi="Cambria Math"/>
                <w:lang w:val="uk-UA"/>
              </w:rPr>
              <m:t xml:space="preserve">f</m:t>
            </m:r>
          </m:sub>
        </m:sSub>
      </m:oMath>
      <w:r>
        <w:rPr>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rPr/>
        <w:t xml:space="preserve"> за формулою </w:t>
      </w:r>
      <w:r>
        <w:rPr/>
        <w:t xml:space="preserve">(3):</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r>
      <w:r w:rsidR="00000000">
        <w:rPr/>
        <w:t xml:space="preserve">(3)</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rPr/>
        <w:t xml:space="preserve">Переможця обирають за правилом "переможець отримує все" (winner-take-all) з поправкою на складність концепту </w:t>
      </w:r>
      <w:r>
        <w:rPr/>
        <w:t xml:space="preserve">(4):</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r>
      <w:r w:rsidR="00000000">
        <w:rPr/>
        <w:t xml:space="preserve">(4)</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lang w:val="uk-UA"/>
              </w:rPr>
              <w:t xml:space="preserve">Етап</w:t>
            </w:r>
          </w:p>
        </w:tc>
        <w:tc>
          <w:tcPr>
            <w:tcW w:w="4638" w:type="dxa"/>
          </w:tcPr>
          <w:p>
            <w:pPr>
              <w:jc w:val="center"/>
            </w:pPr>
            <w:r>
              <w:rPr>
                <w:b/>
                <w:sz w:val="18"/>
                <w:lang w:val="uk-UA"/>
              </w:rPr>
              <w:t xml:space="preserve">Параметр</w:t>
            </w:r>
          </w:p>
        </w:tc>
        <w:tc>
          <w:tcPr>
            <w:tcW w:w="3000" w:type="dxa"/>
          </w:tcPr>
          <w:p>
            <w:pPr>
              <w:jc w:val="center"/>
            </w:pPr>
            <w:r>
              <w:rPr>
                <w:b/>
                <w:sz w:val="18"/>
                <w:lang w:val="uk-UA"/>
              </w:rPr>
              <w:t xml:space="preserve">Значення</w:t>
            </w:r>
          </w:p>
        </w:tc>
      </w:tr>
      <w:tr>
        <w:trPr>
          <w:jc w:val="center"/>
        </w:trPr>
        <w:tc>
          <w:tcPr>
            <w:tcW w:w="2000" w:type="dxa"/>
            <w:vMerge w:val="restart"/>
          </w:tcPr>
          <w:p>
            <w:r>
              <w:rPr>
                <w:sz w:val="18"/>
                <w:lang w:val="uk-UA"/>
              </w:rPr>
              <w:t xml:space="preserve">Підготовка</w:t>
            </w:r>
          </w:p>
        </w:tc>
        <w:tc>
          <w:tcPr>
            <w:tcW w:w="4638" w:type="dxa"/>
          </w:tcPr>
          <w:p>
            <w:pPr>
              <w:jc w:val="center"/>
            </w:pPr>
            <w:r>
              <w:rPr>
                <w:sz w:val="18"/>
                <w:lang w:val="uk-UA"/>
              </w:rPr>
              <w:t xml:space="preserve">Розмір зображення після збільшення</w:t>
            </w:r>
          </w:p>
        </w:tc>
        <w:tc>
          <w:tcPr>
            <w:tcW w:w="3000" w:type="dxa"/>
          </w:tcPr>
          <w:p>
            <w:pPr>
              <w:jc w:val="center"/>
            </w:pPr>
            <w:r>
              <w:rPr>
                <w:sz w:val="18"/>
                <w:lang w:val="uk-UA"/>
              </w:rPr>
              <w:t xml:space="preserve">100×100 пікселів</w:t>
            </w:r>
          </w:p>
        </w:tc>
      </w:tr>
      <w:tr>
        <w:trPr>
          <w:jc w:val="center"/>
        </w:trPr>
        <w:tc>
          <w:tcPr>
            <w:tcW w:w="2000" w:type="dxa"/>
            <w:vMerge w:val="restart"/>
          </w:tcPr>
          <w:p>
            <w:r>
              <w:rPr>
                <w:sz w:val="18"/>
                <w:lang w:val="uk-UA"/>
              </w:rPr>
              <w:t xml:space="preserve">Побудова графа</w:t>
            </w:r>
          </w:p>
        </w:tc>
        <w:tc>
          <w:tcPr>
            <w:tcW w:w="4638" w:type="dxa"/>
          </w:tcPr>
          <w:p>
            <w:pPr>
              <w:jc w:val="center"/>
            </w:pPr>
            <w:r>
              <w:rPr>
                <w:sz w:val="18"/>
                <w:lang w:val="uk-UA"/>
              </w:rPr>
              <w:t xml:space="preserve">Поріг бінаризації: початковий, крок, мінімум</w:t>
            </w:r>
          </w:p>
        </w:tc>
        <w:tc>
          <w:tcPr>
            <w:tcW w:w="3000" w:type="dxa"/>
          </w:tcPr>
          <w:p>
            <w:pPr>
              <w:jc w:val="center"/>
            </w:pPr>
            <w:r>
              <w:rPr>
                <w:sz w:val="18"/>
                <w:lang w:val="uk-UA"/>
              </w:rPr>
              <w:t xml:space="preserve">110; 5; 20</w:t>
            </w:r>
          </w:p>
        </w:tc>
      </w:tr>
      <w:tr>
        <w:trPr>
          <w:jc w:val="center"/>
        </w:trPr>
        <w:tc>
          <w:tcPr>
            <w:tcW w:w="2000" w:type="dxa"/>
            <w:vMerge/>
          </w:tcPr>
          <w:p/>
        </w:tc>
        <w:tc>
          <w:tcPr>
            <w:tcW w:w="4638" w:type="dxa"/>
          </w:tcPr>
          <w:p>
            <w:pPr>
              <w:jc w:val="center"/>
            </w:pPr>
            <w:r>
              <w:rPr>
                <w:sz w:val="18"/>
                <w:lang w:val="uk-UA"/>
              </w:rPr>
              <w:t xml:space="preserve">Вилучення малих компонентів; ядро замикання</w:t>
            </w:r>
          </w:p>
        </w:tc>
        <w:tc>
          <w:tcPr>
            <w:tcW w:w="3000" w:type="dxa"/>
          </w:tcPr>
          <w:p>
            <w:pPr>
              <w:jc w:val="center"/>
            </w:pPr>
            <w:r>
              <w:rPr>
                <w:sz w:val="18"/>
                <w:lang w:val="uk-UA"/>
              </w:rPr>
              <w:t xml:space="preserve">до 9 пікселів; 3×3</w:t>
            </w:r>
          </w:p>
        </w:tc>
      </w:tr>
      <w:tr>
        <w:trPr>
          <w:jc w:val="center"/>
        </w:trPr>
        <w:tc>
          <w:tcPr>
            <w:tcW w:w="2000" w:type="dxa"/>
            <w:vMerge/>
          </w:tcPr>
          <w:p/>
        </w:tc>
        <w:tc>
          <w:tcPr>
            <w:tcW w:w="4638" w:type="dxa"/>
          </w:tcPr>
          <w:p>
            <w:pPr>
              <w:jc w:val="center"/>
            </w:pPr>
            <w:r>
              <w:rPr>
                <w:sz w:val="18"/>
                <w:lang w:val="uk-UA"/>
              </w:rPr>
              <w:t xml:space="preserve">Обрізання кінцевих гілок, коротших за</w:t>
            </w:r>
          </w:p>
        </w:tc>
        <w:tc>
          <w:tcPr>
            <w:tcW w:w="3000" w:type="dxa"/>
          </w:tcPr>
          <w:p>
            <w:pPr>
              <w:jc w:val="center"/>
            </w:pPr>
            <w:r>
              <w:rPr>
                <w:sz w:val="18"/>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lang w:val="uk-UA"/>
              </w:rPr>
              <w:t xml:space="preserve">Допуск Рамера–Дугласа–Пекера</w:t>
            </w:r>
          </w:p>
        </w:tc>
        <w:tc>
          <w:tcPr>
            <w:tcW w:w="3000" w:type="dxa"/>
          </w:tcPr>
          <w:p>
            <w:pPr>
              <w:jc w:val="center"/>
            </w:pPr>
            <w:r>
              <w:rPr>
                <w:sz w:val="18"/>
                <w:lang w:val="uk-UA"/>
              </w:rPr>
              <w:t xml:space="preserve">4,55</w:t>
            </w:r>
          </w:p>
        </w:tc>
      </w:tr>
      <w:tr>
        <w:trPr>
          <w:jc w:val="center"/>
        </w:trPr>
        <w:tc>
          <w:tcPr>
            <w:tcW w:w="2000" w:type="dxa"/>
            <w:vMerge w:val="restart"/>
          </w:tcPr>
          <w:p>
            <w:r>
              <w:rPr>
                <w:sz w:val="18"/>
                <w:lang w:val="uk-UA"/>
              </w:rPr>
              <w:t xml:space="preserve">Класифікація</w:t>
            </w:r>
          </w:p>
        </w:tc>
        <w:tc>
          <w:tcPr>
            <w:tcW w:w="4638" w:type="dxa"/>
          </w:tcPr>
          <w:p>
            <w:pPr>
              <w:jc w:val="center"/>
            </w:pPr>
            <w:r>
              <w:rPr>
                <w:sz w:val="18"/>
                <w:lang w:val="uk-UA"/>
              </w:rPr>
              <w:t xml:space="preserve">Кількість ознак вузла</w:t>
            </w:r>
          </w:p>
        </w:tc>
        <w:tc>
          <w:tcPr>
            <w:tcW w:w="3000" w:type="dxa"/>
          </w:tcPr>
          <w:p>
            <w:pPr>
              <w:jc w:val="center"/>
            </w:pPr>
            <w:r>
              <w:rPr>
                <w:sz w:val="18"/>
                <w:lang w:val="uk-UA"/>
              </w:rPr>
              <w:t xml:space="preserve">13</w:t>
            </w:r>
          </w:p>
        </w:tc>
      </w:tr>
      <w:tr>
        <w:trPr>
          <w:jc w:val="center"/>
        </w:trPr>
        <w:tc>
          <w:tcPr>
            <w:tcW w:w="2000" w:type="dxa"/>
            <w:vMerge/>
          </w:tcPr>
          <w:p/>
        </w:tc>
        <w:tc>
          <w:tcPr>
            <w:tcW w:w="4638" w:type="dxa"/>
          </w:tcPr>
          <w:p>
            <w:pPr>
              <w:jc w:val="center"/>
            </w:pPr>
            <w:r>
              <w:rPr>
                <w:sz w:val="18"/>
                <w:lang w:val="uk-UA"/>
              </w:rPr>
              <w:t xml:space="preserve">Шкала вартостей заміщення</w:t>
            </w:r>
          </w:p>
        </w:tc>
        <w:tc>
          <w:tcPr>
            <w:tcW w:w="3000" w:type="dxa"/>
          </w:tcPr>
          <w:p>
            <w:pPr>
              <w:jc w:val="center"/>
            </w:pPr>
            <w:r>
              <w:rPr>
                <w:sz w:val="18"/>
                <w:lang w:val="uk-UA"/>
              </w:rPr>
              <w:t xml:space="preserve">0; 0,25; 0,5; 0,8; 1,0; 6,0</w:t>
            </w:r>
          </w:p>
        </w:tc>
      </w:tr>
      <w:tr>
        <w:trPr>
          <w:jc w:val="center"/>
        </w:trPr>
        <w:tc>
          <w:tcPr>
            <w:tcW w:w="2000" w:type="dxa"/>
            <w:vMerge/>
          </w:tcPr>
          <w:p/>
        </w:tc>
        <w:tc>
          <w:tcPr>
            <w:tcW w:w="4638" w:type="dxa"/>
          </w:tcPr>
          <w:p>
            <w:pPr>
              <w:jc w:val="center"/>
            </w:pPr>
            <w:r>
              <w:rPr>
                <w:sz w:val="18"/>
                <w:lang w:val="uk-UA"/>
              </w:rPr>
              <w:t xml:space="preserve">Вартість вилучення вузла й ребра</w:t>
            </w:r>
          </w:p>
        </w:tc>
        <w:tc>
          <w:tcPr>
            <w:tcW w:w="3000" w:type="dxa"/>
          </w:tcPr>
          <w:p>
            <w:pPr>
              <w:jc w:val="center"/>
            </w:pPr>
            <w:r>
              <w:rPr>
                <w:sz w:val="18"/>
                <w:lang w:val="uk-UA"/>
              </w:rPr>
              <w:t xml:space="preserve">0,25</w:t>
            </w:r>
          </w:p>
        </w:tc>
      </w:tr>
      <w:tr>
        <w:trPr>
          <w:jc w:val="center"/>
        </w:trPr>
        <w:tc>
          <w:tcPr>
            <w:tcW w:w="2000" w:type="dxa"/>
            <w:vMerge/>
          </w:tcPr>
          <w:p/>
        </w:tc>
        <w:tc>
          <w:tcPr>
            <w:tcW w:w="4638" w:type="dxa"/>
          </w:tcPr>
          <w:p>
            <w:pPr>
              <w:jc w:val="center"/>
            </w:pPr>
            <w:r>
              <w:rPr>
                <w:sz w:val="18"/>
                <w:lang w:val="uk-UA"/>
              </w:rPr>
              <w:t xml:space="preserve">Вартість вставлення вузла; ребра</w:t>
            </w:r>
          </w:p>
        </w:tc>
        <w:tc>
          <w:tcPr>
            <w:tcW w:w="3000" w:type="dxa"/>
          </w:tcPr>
          <w:p>
            <w:pPr>
              <w:jc w:val="center"/>
            </w:pPr>
            <w:r>
              <w:rPr>
                <w:sz w:val="18"/>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lang w:val="uk-UA"/>
                </w:rPr>
                <m:t xml:space="preserve">ε</m:t>
              </m:r>
            </m:oMath>
            <w:r>
              <w:rPr>
                <w:sz w:val="18"/>
                <w:lang w:val="uk-UA"/>
              </w:rPr>
              <w:t xml:space="preserve"> у формулі (1)</w:t>
            </w:r>
          </w:p>
        </w:tc>
        <w:tc>
          <w:tcPr>
            <w:tcW w:w="3000" w:type="dxa"/>
          </w:tcPr>
          <w:p>
            <w:pPr>
              <w:jc w:val="center"/>
            </w:pPr>
            <w:r>
              <w:rPr>
                <w:sz w:val="18"/>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lang w:val="uk-UA"/>
                    </w:rPr>
                    <m:t xml:space="preserve">s</m:t>
                  </m:r>
                </m:e>
                <m:sub>
                  <m:r>
                    <w:rPr>
                      <w:rFonts w:ascii="Cambria Math" w:hAnsi="Cambria Math"/>
                      <w:sz w:val="18"/>
                      <w:lang w:val="uk-UA"/>
                    </w:rPr>
                    <m:t xml:space="preserve">f</m:t>
                  </m:r>
                </m:sub>
              </m:sSub>
            </m:oMath>
            <w:r>
              <w:rPr>
                <w:sz w:val="18"/>
                <w:lang w:val="uk-UA"/>
              </w:rPr>
              <w:t xml:space="preserve">: інтервальні ознаки; напрямки; індикатори</w:t>
            </w:r>
          </w:p>
        </w:tc>
        <w:tc>
          <w:tcPr>
            <w:tcW w:w="3000" w:type="dxa"/>
          </w:tcPr>
          <w:p>
            <w:pPr>
              <w:jc w:val="center"/>
            </w:pPr>
            <w:r>
              <w:rPr>
                <w:sz w:val="18"/>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lang w:val="uk-UA"/>
                </w:rPr>
                <m:t xml:space="preserve">λ</m:t>
              </m:r>
            </m:oMath>
            <w:r>
              <w:rPr>
                <w:sz w:val="18"/>
                <w:lang w:val="uk-UA"/>
              </w:rPr>
              <w:t xml:space="preserve"> у формулі (4)</w:t>
            </w:r>
          </w:p>
        </w:tc>
        <w:tc>
          <w:tcPr>
            <w:tcW w:w="3000" w:type="dxa"/>
          </w:tcPr>
          <w:p>
            <w:pPr>
              <w:jc w:val="center"/>
            </w:pPr>
            <w:r>
              <w:rPr>
                <w:sz w:val="18"/>
                <w:lang w:val="uk-UA"/>
              </w:rPr>
              <w:t xml:space="preserve">0,10</w:t>
            </w:r>
          </w:p>
        </w:tc>
      </w:tr>
      <w:tr>
        <w:trPr>
          <w:jc w:val="center"/>
        </w:trPr>
        <w:tc>
          <w:tcPr>
            <w:tcW w:w="2000" w:type="dxa"/>
            <w:vMerge/>
          </w:tcPr>
          <w:p/>
        </w:tc>
        <w:tc>
          <w:tcPr>
            <w:tcW w:w="4638" w:type="dxa"/>
          </w:tcPr>
          <w:p>
            <w:pPr>
              <w:jc w:val="center"/>
            </w:pPr>
            <w:r>
              <w:rPr>
                <w:sz w:val="18"/>
                <w:lang w:val="uk-UA"/>
              </w:rPr>
              <w:t xml:space="preserve">Бюджет часу GED на одне порівняння</w:t>
            </w:r>
          </w:p>
        </w:tc>
        <w:tc>
          <w:tcPr>
            <w:tcW w:w="3000" w:type="dxa"/>
          </w:tcPr>
          <w:p>
            <w:pPr>
              <w:jc w:val="center"/>
            </w:pPr>
            <w:r>
              <w:rPr>
                <w:sz w:val="18"/>
                <w:lang w:val="uk-UA"/>
              </w:rPr>
              <w:t xml:space="preserve">5 с</w:t>
            </w:r>
          </w:p>
        </w:tc>
      </w:tr>
    </w:tbl>
    <w:p>
      <w:pPr>
        <w:spacing w:after="0" w:line="280" w:lineRule="exact"/>
        <w:jc w:val="both"/>
      </w:pPr>
    </w:p>
    <w:p>
      <w:pPr>
        <w:keepNext/>
        <w:spacing w:before="160" w:after="80" w:line="280" w:lineRule="exact"/>
        <w:jc w:val="both"/>
      </w:pPr>
      <w:r>
        <w:rPr>
          <w:b/>
          <w:lang w:val="uk-UA"/>
        </w:rPr>
        <w:t xml:space="preserve">2.4 Протокол оцінювання</w:t>
      </w:r>
    </w:p>
    <w:p>
      <w:pPr>
        <w:spacing w:after="0" w:line="280" w:lineRule="exact"/>
        <w:ind w:firstLine="567"/>
        <w:jc w:val="both"/>
      </w:pPr>
      <w:r>
        <w:rPr>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lang w:val="uk-UA"/>
        </w:rPr>
        <w:t xml:space="preserve">Помилкою вважають і віднесення зображення до хибного класу, і випадок, коли не активувався жоден концепт. Якщо конвеєр не побудував граф зображення, воно не потрапляє до класифікатора. Основну точність обчислено на класифікованих зображеннях, а точність, у якій такі збої зараховано до помилок, наведено окремо.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rPr/>
        <w:t xml:space="preserve">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Pr/>
        <w:t xml:space="preserve"> 2).</w:t>
      </w:r>
    </w:p>
    <w:p w14:paraId="6347B598" w14:textId="77777777" w:rsidR="002C74D4" w:rsidRDefault="00000000">
      <w:pPr>
        <w:spacing w:before="120" w:after="0" w:line="280" w:lineRule="exact"/>
        <w:jc w:val="center"/>
      </w:pPr>
      <w:r>
        <w:rPr>
          <w:b/>
          <w:i/>
          <w:sz w:val="18"/>
        </w:rPr>
        <w:t xml:space="preserve">Таблиця 2</w:t>
      </w:r>
      <w:r>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pPr>
        <w:spacing w:after="0" w:line="280" w:lineRule="exact"/>
        <w:ind w:firstLine="567"/>
        <w:jc w:val="both"/>
      </w:pPr>
      <w:r>
        <w:rPr>
          <w:lang w:val="uk-UA"/>
        </w:rPr>
        <w:t xml:space="preserve">Повноту контуру розмічено вручну за протоколом підрозділу 2.4; до оцінювання допустили лише повні зображення.</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 Для 22 із 8 707 допущених зображень конвеєр не побудував граф, тому класифіковано 8 685 зображень. Точність на них становить 91,13 % (підрозділ 3.3). Якщо зарахувати ці 22 зображення до помилок, точність становить 90,90 % (7 915 з 8 707; 95 % ДІ 90,28–91,49 %).</w:t>
      </w:r>
    </w:p>
    <w:p w14:paraId="445289D0" w14:textId="77777777" w:rsidR="002C74D4" w:rsidRDefault="00000000">
      <w:pPr>
        <w:spacing w:after="0" w:line="280" w:lineRule="exact"/>
        <w:ind w:firstLine="567"/>
        <w:jc w:val="both"/>
      </w:pPr>
      <w:r>
        <w:rPr/>
        <w:t xml:space="preserve">Частка збережених зображень нерівномірна за класами (табл. </w:t>
      </w:r>
      <w:r>
        <w:rPr/>
        <w:t xml:space="preserve">3)</w:t>
      </w:r>
      <w:r>
        <w:rPr/>
        <w:t xml:space="preserve">: від 582/974 = 59,75 % для цифри 8 до 1 129/1 135 = 99,47 % для цифри 1.</w:t>
      </w:r>
    </w:p>
    <w:p w14:paraId="2D7DC323" w14:textId="77777777" w:rsidR="002C74D4" w:rsidRDefault="00000000">
      <w:pPr>
        <w:spacing w:before="120" w:after="0" w:line="280" w:lineRule="exact"/>
        <w:jc w:val="center"/>
      </w:pPr>
      <w:r>
        <w:rPr>
          <w:b/>
          <w:i/>
          <w:sz w:val="18"/>
        </w:rPr>
        <w:t xml:space="preserve">Таблиця 3</w:t>
      </w:r>
      <w:r>
        <w:rPr>
          <w:b/>
          <w:i/>
          <w:sz w:val="18"/>
        </w:rPr>
        <w:t xml:space="preserve">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rPr/>
        <w:t xml:space="preserve">Точність класифікації становить 91,13 %</w:t>
      </w:r>
      <w:r>
        <w:rPr/>
        <w:t xml:space="preserve"> (95 % ДІ 90,52–91,71 %)</w:t>
      </w:r>
      <w:r>
        <w:rPr/>
        <w:t xml:space="preserve">.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rPr/>
        <w:t xml:space="preserve">Показники за класами мають значно більший розкид, ніж загальні (табл. </w:t>
      </w:r>
      <w:r>
        <w:rPr/>
        <w:t xml:space="preserve">4,</w:t>
      </w:r>
      <w:r>
        <w:rPr/>
        <w:t xml:space="preserve">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 xml:space="preserve">Таблиця 4</w:t>
      </w:r>
      <w:r>
        <w:rPr>
          <w:b/>
          <w:i/>
          <w:sz w:val="18"/>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lang w:val="uk-UA"/>
              </w:rPr>
              <w:t xml:space="preserve">90,18–94,05</w:t>
            </w:r>
          </w:p>
        </w:tc>
        <w:tc>
          <w:tcPr>
            <w:tcW w:w="1438" w:type="dxa"/>
          </w:tcPr>
          <w:p>
            <w:pPr>
              <w:jc w:val="center"/>
            </w:pPr>
            <w:r>
              <w:rPr>
                <w:sz w:val="18"/>
                <w:lang w:val="uk-UA"/>
              </w:rPr>
              <w:t xml:space="preserve">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rPr/>
        <w:t xml:space="preserve">Зображення mnist_test_2_00766 має справжній клас 2, а система віднесла його до класу 7. Рис. 5 показує граф і концепти. Числа в табл. </w:t>
      </w:r>
      <w:r>
        <w:rPr/>
        <w:t xml:space="preserve">5</w:t>
      </w:r>
      <w:r>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 xml:space="preserve">Таблиця 5</w:t>
      </w:r>
      <w:r>
        <w:rPr>
          <w:b/>
          <w:i/>
          <w:sz w:val="18"/>
        </w:rPr>
        <w:t xml:space="preserve">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pPr>
        <w:spacing w:after="0" w:line="280" w:lineRule="exact"/>
        <w:ind w:firstLine="567"/>
        <w:jc w:val="both"/>
      </w:pPr>
      <w:r>
        <w:rPr>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lang w:val="uk-UA"/>
              </w:rPr>
              <w:t xml:space="preserve">Етап</w:t>
            </w:r>
          </w:p>
        </w:tc>
        <w:tc>
          <w:tcPr>
            <w:tcW w:w="4638" w:type="dxa"/>
          </w:tcPr>
          <w:p>
            <w:pPr>
              <w:jc w:val="center"/>
            </w:pPr>
            <w:r>
              <w:rPr>
                <w:b/>
                <w:sz w:val="18"/>
                <w:lang w:val="uk-UA"/>
              </w:rPr>
              <w:t xml:space="preserve">Зафіксовано</w:t>
            </w:r>
          </w:p>
        </w:tc>
        <w:tc>
          <w:tcPr>
            <w:tcW w:w="2000" w:type="dxa"/>
          </w:tcPr>
          <w:p>
            <w:pPr>
              <w:jc w:val="center"/>
            </w:pPr>
            <w:r>
              <w:rPr>
                <w:b/>
                <w:sz w:val="18"/>
                <w:lang w:val="uk-UA"/>
              </w:rPr>
              <w:t xml:space="preserve">Випадків</w:t>
            </w:r>
          </w:p>
        </w:tc>
      </w:tr>
      <w:tr>
        <w:trPr>
          <w:jc w:val="center"/>
        </w:trPr>
        <w:tc>
          <w:tcPr>
            <w:tcW w:w="3000" w:type="dxa"/>
          </w:tcPr>
          <w:p>
            <w:r>
              <w:rPr>
                <w:sz w:val="18"/>
                <w:lang w:val="uk-UA"/>
              </w:rPr>
              <w:t xml:space="preserve">Бінаризація</w:t>
            </w:r>
          </w:p>
        </w:tc>
        <w:tc>
          <w:tcPr>
            <w:tcW w:w="4638" w:type="dxa"/>
          </w:tcPr>
          <w:p>
            <w:pPr>
              <w:jc w:val="center"/>
            </w:pPr>
            <w:r>
              <w:rPr>
                <w:sz w:val="18"/>
                <w:lang w:val="uk-UA"/>
              </w:rPr>
              <w:t xml:space="preserve">бінарна маска не містить замкненої петлі</w:t>
            </w:r>
          </w:p>
        </w:tc>
        <w:tc>
          <w:tcPr>
            <w:tcW w:w="2000" w:type="dxa"/>
          </w:tcPr>
          <w:p>
            <w:pPr>
              <w:jc w:val="center"/>
            </w:pPr>
            <w:r>
              <w:rPr>
                <w:sz w:val="18"/>
                <w:lang w:val="uk-UA"/>
              </w:rPr>
              <w:t xml:space="preserve">110 / 111</w:t>
            </w:r>
          </w:p>
        </w:tc>
      </w:tr>
      <w:tr>
        <w:trPr>
          <w:jc w:val="center"/>
        </w:trPr>
        <w:tc>
          <w:tcPr>
            <w:tcW w:w="3000" w:type="dxa"/>
          </w:tcPr>
          <w:p>
            <w:r>
              <w:rPr>
                <w:sz w:val="18"/>
                <w:lang w:val="uk-UA"/>
              </w:rPr>
              <w:t xml:space="preserve">Побудова графа</w:t>
            </w:r>
          </w:p>
        </w:tc>
        <w:tc>
          <w:tcPr>
            <w:tcW w:w="4638" w:type="dxa"/>
          </w:tcPr>
          <w:p>
            <w:pPr>
              <w:jc w:val="center"/>
            </w:pPr>
            <w:r>
              <w:rPr>
                <w:sz w:val="18"/>
                <w:lang w:val="uk-UA"/>
              </w:rPr>
              <w:t xml:space="preserve">граф зображення ациклічний</w:t>
            </w:r>
          </w:p>
        </w:tc>
        <w:tc>
          <w:tcPr>
            <w:tcW w:w="2000" w:type="dxa"/>
          </w:tcPr>
          <w:p>
            <w:pPr>
              <w:jc w:val="center"/>
            </w:pPr>
            <w:r>
              <w:rPr>
                <w:sz w:val="18"/>
                <w:lang w:val="uk-UA"/>
              </w:rPr>
              <w:t xml:space="preserve">111 / 111</w:t>
            </w:r>
          </w:p>
        </w:tc>
      </w:tr>
      <w:tr>
        <w:trPr>
          <w:jc w:val="center"/>
        </w:trPr>
        <w:tc>
          <w:tcPr>
            <w:tcW w:w="3000" w:type="dxa"/>
          </w:tcPr>
          <w:p>
            <w:r>
              <w:rPr>
                <w:sz w:val="18"/>
                <w:lang w:val="uk-UA"/>
              </w:rPr>
              <w:t xml:space="preserve">Фільтр складності</w:t>
            </w:r>
          </w:p>
        </w:tc>
        <w:tc>
          <w:tcPr>
            <w:tcW w:w="4638" w:type="dxa"/>
          </w:tcPr>
          <w:p>
            <w:pPr>
              <w:jc w:val="center"/>
            </w:pPr>
            <w:r>
              <w:rPr>
                <w:sz w:val="18"/>
                <w:lang w:val="uk-UA"/>
              </w:rPr>
              <w:t xml:space="preserve">концепт 2_2 відсічено</w:t>
            </w:r>
          </w:p>
        </w:tc>
        <w:tc>
          <w:tcPr>
            <w:tcW w:w="2000" w:type="dxa"/>
          </w:tcPr>
          <w:p>
            <w:pPr>
              <w:jc w:val="center"/>
            </w:pPr>
            <w:r>
              <w:rPr>
                <w:sz w:val="18"/>
                <w:lang w:val="uk-UA"/>
              </w:rPr>
              <w:t xml:space="preserve">86 / 111</w:t>
            </w:r>
          </w:p>
        </w:tc>
      </w:tr>
      <w:tr>
        <w:trPr>
          <w:jc w:val="center"/>
        </w:trPr>
        <w:tc>
          <w:tcPr>
            <w:tcW w:w="3000" w:type="dxa"/>
          </w:tcPr>
          <w:p>
            <w:r>
              <w:rPr>
                <w:sz w:val="18"/>
                <w:lang w:val="uk-UA"/>
              </w:rPr>
              <w:t xml:space="preserve">Структурна перевірка без фільтра</w:t>
            </w:r>
          </w:p>
        </w:tc>
        <w:tc>
          <w:tcPr>
            <w:tcW w:w="4638" w:type="dxa"/>
          </w:tcPr>
          <w:p>
            <w:pPr>
              <w:jc w:val="center"/>
            </w:pPr>
            <w:r>
              <w:rPr>
                <w:sz w:val="18"/>
                <w:lang w:val="uk-UA"/>
              </w:rPr>
              <w:t xml:space="preserve">2_2 недопустимий; 2_1 відхилено; 7_1 допущено</w:t>
            </w:r>
          </w:p>
        </w:tc>
        <w:tc>
          <w:tcPr>
            <w:tcW w:w="2000" w:type="dxa"/>
          </w:tcPr>
          <w:p>
            <w:pPr>
              <w:jc w:val="center"/>
            </w:pPr>
            <w:r>
              <w:rPr>
                <w:sz w:val="18"/>
                <w:lang w:val="uk-UA"/>
              </w:rPr>
              <w:t xml:space="preserve">111 / 111; 5 / 111; 111 / 111</w:t>
            </w:r>
          </w:p>
        </w:tc>
      </w:tr>
      <w:tr>
        <w:trPr>
          <w:jc w:val="center"/>
        </w:trPr>
        <w:tc>
          <w:tcPr>
            <w:tcW w:w="3000" w:type="dxa"/>
          </w:tcPr>
          <w:p>
            <w:r>
              <w:rPr>
                <w:sz w:val="18"/>
                <w:lang w:val="uk-UA"/>
              </w:rPr>
              <w:t xml:space="preserve">Подібність</w:t>
            </w:r>
          </w:p>
        </w:tc>
        <w:tc>
          <w:tcPr>
            <w:tcW w:w="4638" w:type="dxa"/>
          </w:tcPr>
          <w:p>
            <w:pPr>
              <w:jc w:val="center"/>
            </w:pPr>
            <w:r>
              <w:rPr>
                <w:sz w:val="18"/>
                <w:lang w:val="uk-UA"/>
              </w:rPr>
              <w:t xml:space="preserve">2_1 нижча за 7_1; розрив 0,053–0,318, у середньому 0,113</w:t>
            </w:r>
          </w:p>
        </w:tc>
        <w:tc>
          <w:tcPr>
            <w:tcW w:w="2000" w:type="dxa"/>
          </w:tcPr>
          <w:p>
            <w:pPr>
              <w:jc w:val="center"/>
            </w:pPr>
            <w:r>
              <w:rPr>
                <w:sz w:val="18"/>
                <w:lang w:val="uk-UA"/>
              </w:rPr>
              <w:t xml:space="preserve">106 / 106</w:t>
            </w:r>
          </w:p>
        </w:tc>
      </w:tr>
      <w:tr>
        <w:trPr>
          <w:jc w:val="center"/>
        </w:trPr>
        <w:tc>
          <w:tcPr>
            <w:tcW w:w="3000" w:type="dxa"/>
          </w:tcPr>
          <w:p>
            <w:r>
              <w:rPr>
                <w:sz w:val="18"/>
                <w:lang w:val="uk-UA"/>
              </w:rPr>
              <w:t xml:space="preserve">Оцінка з поправкою на складність</w:t>
            </w:r>
          </w:p>
        </w:tc>
        <w:tc>
          <w:tcPr>
            <w:tcW w:w="4638" w:type="dxa"/>
          </w:tcPr>
          <w:p>
            <w:pPr>
              <w:jc w:val="center"/>
            </w:pPr>
            <w:r>
              <w:rPr>
                <w:sz w:val="18"/>
                <w:lang w:val="uk-UA"/>
              </w:rPr>
              <w:t xml:space="preserve">7_1 перемагає 2_1; розрив у середньому 0,060</w:t>
            </w:r>
          </w:p>
        </w:tc>
        <w:tc>
          <w:tcPr>
            <w:tcW w:w="2000" w:type="dxa"/>
          </w:tcPr>
          <w:p>
            <w:pPr>
              <w:jc w:val="center"/>
            </w:pPr>
            <w:r>
              <w:rPr>
                <w:sz w:val="18"/>
                <w:lang w:val="uk-UA"/>
              </w:rPr>
              <w:t xml:space="preserve">106 / 106</w:t>
            </w:r>
          </w:p>
        </w:tc>
      </w:tr>
    </w:tbl>
    <w:p>
      <w:pPr>
        <w:spacing w:after="0" w:line="280" w:lineRule="exact"/>
        <w:jc w:val="both"/>
      </w:pPr>
    </w:p>
    <w:p>
      <w:pPr>
        <w:spacing w:before="160" w:after="80" w:line="280" w:lineRule="exact"/>
        <w:jc w:val="both"/>
      </w:pPr>
      <w:r>
        <w:rPr>
          <w:b/>
        </w:rPr>
        <w:t xml:space="preserve">3.5 Порівняння з базовими методами</w:t>
      </w:r>
    </w:p>
    <w:p>
      <w:pPr>
        <w:spacing w:after="0" w:line="280" w:lineRule="exact"/>
        <w:ind w:firstLine="567"/>
        <w:jc w:val="both"/>
      </w:pPr>
      <w:r>
        <w:rPr>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pPr>
      <w:r>
        <w:rPr>
          <w:lang w:val="uk-UA"/>
        </w:rPr>
        <w:t xml:space="preserve">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pPr>
        <w:keepNext/>
        <w:spacing w:before="120" w:after="0" w:line="280" w:lineRule="exact"/>
        <w:jc w:val="center"/>
      </w:pPr>
      <w:r>
        <w:rPr>
          <w:b/>
          <w:i/>
          <w:sz w:val="18"/>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lang w:val="uk-UA"/>
              </w:rPr>
              <w:t xml:space="preserve">Модель</w:t>
            </w:r>
          </w:p>
        </w:tc>
        <w:tc>
          <w:tcPr>
            <w:tcW w:w="2338" w:type="dxa"/>
          </w:tcPr>
          <w:p>
            <w:pPr>
              <w:jc w:val="center"/>
            </w:pPr>
            <w:r>
              <w:rPr>
                <w:b/>
                <w:sz w:val="18"/>
                <w:lang w:val="uk-UA"/>
              </w:rPr>
              <w:t xml:space="preserve">Навчання</w:t>
            </w:r>
          </w:p>
        </w:tc>
        <w:tc>
          <w:tcPr>
            <w:tcW w:w="2300" w:type="dxa"/>
          </w:tcPr>
          <w:p>
            <w:pPr>
              <w:jc w:val="center"/>
            </w:pPr>
            <w:r>
              <w:rPr>
                <w:b/>
                <w:sz w:val="18"/>
                <w:lang w:val="uk-UA"/>
              </w:rPr>
              <w:t xml:space="preserve">Точність, %</w:t>
            </w:r>
          </w:p>
        </w:tc>
        <w:tc>
          <w:tcPr>
            <w:tcW w:w="2300" w:type="dxa"/>
          </w:tcPr>
          <w:p>
            <w:pPr>
              <w:jc w:val="center"/>
            </w:pPr>
            <w:r>
              <w:rPr>
                <w:b/>
                <w:sz w:val="18"/>
                <w:lang w:val="uk-UA"/>
              </w:rPr>
              <w:t xml:space="preserve">Повнота за класами, %</w:t>
            </w:r>
          </w:p>
        </w:tc>
      </w:tr>
      <w:tr>
        <w:trPr>
          <w:jc w:val="center"/>
        </w:trPr>
        <w:tc>
          <w:tcPr>
            <w:tcW w:w="2700" w:type="dxa"/>
          </w:tcPr>
          <w:p>
            <w:r>
              <w:rPr>
                <w:sz w:val="18"/>
                <w:lang w:val="uk-UA"/>
              </w:rPr>
              <w:t xml:space="preserve">Система (ця робота)</w:t>
            </w:r>
          </w:p>
        </w:tc>
        <w:tc>
          <w:tcPr>
            <w:tcW w:w="2338" w:type="dxa"/>
          </w:tcPr>
          <w:p>
            <w:pPr>
              <w:jc w:val="center"/>
            </w:pPr>
            <w:r>
              <w:rPr>
                <w:sz w:val="18"/>
                <w:lang w:val="uk-UA"/>
              </w:rPr>
              <w:t xml:space="preserve">один прохід формування</w:t>
            </w:r>
          </w:p>
        </w:tc>
        <w:tc>
          <w:tcPr>
            <w:tcW w:w="2300" w:type="dxa"/>
          </w:tcPr>
          <w:p>
            <w:pPr>
              <w:jc w:val="center"/>
            </w:pPr>
            <w:r>
              <w:rPr>
                <w:sz w:val="18"/>
                <w:lang w:val="uk-UA"/>
              </w:rPr>
              <w:t xml:space="preserve">90,90</w:t>
            </w:r>
          </w:p>
        </w:tc>
        <w:tc>
          <w:tcPr>
            <w:tcW w:w="2300" w:type="dxa"/>
          </w:tcPr>
          <w:p>
            <w:pPr>
              <w:jc w:val="center"/>
            </w:pPr>
            <w:r>
              <w:rPr>
                <w:sz w:val="18"/>
                <w:lang w:val="uk-UA"/>
              </w:rPr>
              <w:t xml:space="preserve">77,51–95,93</w:t>
            </w:r>
          </w:p>
        </w:tc>
      </w:tr>
      <w:tr>
        <w:trPr>
          <w:jc w:val="center"/>
        </w:trPr>
        <w:tc>
          <w:tcPr>
            <w:tcW w:w="2700" w:type="dxa"/>
          </w:tcPr>
          <w:p>
            <w:r>
              <w:rPr>
                <w:sz w:val="18"/>
                <w:lang w:val="uk-UA"/>
              </w:rPr>
              <w:t xml:space="preserve">SVM, RBF-ядро</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79,69</w:t>
            </w:r>
          </w:p>
        </w:tc>
        <w:tc>
          <w:tcPr>
            <w:tcW w:w="2300" w:type="dxa"/>
          </w:tcPr>
          <w:p>
            <w:pPr>
              <w:jc w:val="center"/>
            </w:pPr>
            <w:r>
              <w:rPr>
                <w:sz w:val="18"/>
                <w:lang w:val="uk-UA"/>
              </w:rPr>
              <w:t xml:space="preserve">48,09–97,34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75,70 ± 3,22</w:t>
            </w:r>
          </w:p>
        </w:tc>
        <w:tc>
          <w:tcPr>
            <w:tcW w:w="2300" w:type="dxa"/>
          </w:tcPr>
          <w:p>
            <w:pPr>
              <w:jc w:val="center"/>
            </w:pPr>
            <w:r>
              <w:rPr>
                <w:sz w:val="18"/>
                <w:lang w:val="uk-UA"/>
              </w:rPr>
              <w:t xml:space="preserve">53,16–97,25</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75,32 ± 1,66</w:t>
            </w:r>
          </w:p>
        </w:tc>
        <w:tc>
          <w:tcPr>
            <w:tcW w:w="2300" w:type="dxa"/>
          </w:tcPr>
          <w:p>
            <w:pPr>
              <w:jc w:val="center"/>
            </w:pPr>
            <w:r>
              <w:rPr>
                <w:sz w:val="18"/>
                <w:lang w:val="uk-UA"/>
              </w:rPr>
              <w:t xml:space="preserve">45,26–96,85</w:t>
            </w:r>
          </w:p>
        </w:tc>
      </w:tr>
      <w:tr>
        <w:trPr>
          <w:jc w:val="center"/>
        </w:trPr>
        <w:tc>
          <w:tcPr>
            <w:tcW w:w="2700" w:type="dxa"/>
          </w:tcPr>
          <w:p>
            <w:r>
              <w:rPr>
                <w:sz w:val="18"/>
                <w:lang w:val="uk-UA"/>
              </w:rPr>
              <w:t xml:space="preserve">Найближчий центроїд</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75,17</w:t>
            </w:r>
          </w:p>
        </w:tc>
        <w:tc>
          <w:tcPr>
            <w:tcW w:w="2300" w:type="dxa"/>
          </w:tcPr>
          <w:p>
            <w:pPr>
              <w:jc w:val="center"/>
            </w:pPr>
            <w:r>
              <w:rPr>
                <w:sz w:val="18"/>
                <w:lang w:val="uk-UA"/>
              </w:rPr>
              <w:t xml:space="preserve">60,55–89,11</w:t>
            </w:r>
          </w:p>
        </w:tc>
      </w:tr>
      <w:tr>
        <w:trPr>
          <w:jc w:val="center"/>
        </w:trPr>
        <w:tc>
          <w:tcPr>
            <w:tcW w:w="2700" w:type="dxa"/>
          </w:tcPr>
          <w:p>
            <w:r>
              <w:rPr>
                <w:sz w:val="18"/>
                <w:lang w:val="uk-UA"/>
              </w:rPr>
              <w:t xml:space="preserve">k-NN, k = 1</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73,08</w:t>
            </w:r>
          </w:p>
        </w:tc>
        <w:tc>
          <w:tcPr>
            <w:tcW w:w="2300" w:type="dxa"/>
          </w:tcPr>
          <w:p>
            <w:pPr>
              <w:jc w:val="center"/>
            </w:pPr>
            <w:r>
              <w:rPr>
                <w:sz w:val="18"/>
                <w:lang w:val="uk-UA"/>
              </w:rPr>
              <w:t xml:space="preserve">48,97–93,94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67,13 ± 5,44</w:t>
            </w:r>
          </w:p>
        </w:tc>
        <w:tc>
          <w:tcPr>
            <w:tcW w:w="2300" w:type="dxa"/>
          </w:tcPr>
          <w:p>
            <w:pPr>
              <w:jc w:val="center"/>
            </w:pPr>
            <w:r>
              <w:rPr>
                <w:sz w:val="18"/>
                <w:lang w:val="uk-UA"/>
              </w:rPr>
              <w:t xml:space="preserve">29,91–97,43</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59,00 ± 6,47</w:t>
            </w:r>
          </w:p>
        </w:tc>
        <w:tc>
          <w:tcPr>
            <w:tcW w:w="2300" w:type="dxa"/>
          </w:tcPr>
          <w:p>
            <w:pPr>
              <w:jc w:val="center"/>
            </w:pPr>
            <w:r>
              <w:rPr>
                <w:sz w:val="18"/>
                <w:lang w:val="uk-UA"/>
              </w:rPr>
              <w:t xml:space="preserve">18,27–89,85</w:t>
            </w:r>
          </w:p>
        </w:tc>
      </w:tr>
    </w:tbl>
    <w:p>
      <w:pPr>
        <w:spacing w:after="0" w:line="280" w:lineRule="exact"/>
        <w:jc w:val="both"/>
      </w:pP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pPr>
      <w:r>
        <w:rPr>
          <w:lang w:val="uk-UA"/>
        </w:rPr>
        <w:t xml:space="preserve">Для mnist_test_2_00766 зафіксовано ациклічний розгалужений граф і три виходи за інтервали 2_1. </w:t>
      </w:r>
      <w:r>
        <w:rPr>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lang w:val="uk-UA"/>
        </w:rPr>
        <w:t xml:space="preserve">Код системи, конфігурацію експерименту,</w:t>
      </w:r>
      <w:r>
        <w:rPr>
          <w:lang w:val="uk-UA"/>
        </w:rPr>
        <w:t xml:space="preserve"> ручну розмітку повноти контуру (архів datasets.zip),</w:t>
      </w:r>
      <w:r>
        <w:rPr>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3BC82BB8" w14:textId="77777777" w:rsidR="002C74D4" w:rsidRDefault="00000000">
      <w:pPr>
        <w:spacing w:before="160" w:after="80" w:line="280" w:lineRule="exact"/>
        <w:jc w:val="both"/>
      </w:pPr>
      <w:r>
        <w:rPr>
          <w:b/>
        </w:rPr>
        <w:t>5 Висновки</w:t>
      </w:r>
    </w:p>
    <w:p>
      <w:pPr>
        <w:spacing w:after="0" w:line="280" w:lineRule="exact"/>
        <w:ind w:firstLine="567"/>
        <w:jc w:val="both"/>
      </w:pPr>
      <w:r>
        <w:rPr>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CC72931" w14:textId="77777777" w:rsidR="002C74D4" w:rsidRDefault="00000000">
      <w:pPr>
        <w:spacing w:after="0" w:line="280" w:lineRule="exact"/>
        <w:ind w:firstLine="567"/>
        <w:jc w:val="both"/>
      </w:pPr>
      <w:r>
        <w:rPr/>
        <w:t xml:space="preserve">4. Ручний фільтр допустив 8 707 із 10 000 зображень MNIST; частка збережених зображень класу коливається від 59,75 % до 99,47 %. Точність становить 91,13 %</w:t>
      </w:r>
      <w:r>
        <w:rPr/>
        <w:t xml:space="preserve"> (95 % ДІ 90,52–91,71 %)</w:t>
      </w:r>
      <w:r>
        <w:rPr/>
        <w:t xml:space="preserve">; зважені влучність, повнота і F1 дорівнюють 91,92 %, 91,13 % і 91,34 %.</w:t>
      </w:r>
      <w:r>
        <w:rPr>
          <w:lang w:val="uk-UA"/>
        </w:rPr>
        <w:t xml:space="preserve"> Найнижча повнота в класу 2 (77,59 %).</w:t>
      </w:r>
    </w:p>
    <w:p>
      <w:pPr>
        <w:spacing w:after="0" w:line="280" w:lineRule="exact"/>
        <w:ind w:firstLine="567"/>
        <w:jc w:val="both"/>
      </w:pPr>
      <w:r>
        <w:rPr>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lang w:val="uk-UA"/>
        </w:rPr>
        <w:t xml:space="preserve">Робота має фундаментальний характер: метод спершу перевіряють на простих структурах, а потім переносять на складніші. Попередню версію системи перевірено на шести класах цифр MNIST [32], у цій статті — на всіх десяти,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pPr>
        <w:spacing w:after="0" w:line="280" w:lineRule="exact"/>
        <w:ind w:firstLine="567"/>
        <w:jc w:val="both"/>
      </w:pPr>
      <w:r>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Pr/>
        <w:t xml:space="preserve">поознакове</w:t>
      </w:r>
      <w:r>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lang w:val="uk-UA"/>
        </w:rPr>
        <w:t xml:space="preserve">41. Wilson, E. (1927), "Probable inference, the law of succession, and statistical inference", </w:t>
      </w:r>
      <w:r>
        <w:rPr>
          <w:i/>
          <w:lang w:val="uk-UA"/>
        </w:rPr>
        <w:t xml:space="preserve">Journal of the American Statistical Association</w:t>
      </w:r>
      <w:r>
        <w:rPr>
          <w:lang w:val="uk-UA"/>
        </w:rPr>
        <w:t xml:space="preserve">, Vol. 22, No. 158, pp. 209–212. DOI: https://doi.org/10.1080/01621459.1927.10502953</w:t>
      </w:r>
    </w:p>
    <w:p>
      <w:pPr>
        <w:spacing w:after="0" w:line="280" w:lineRule="exact"/>
        <w:ind w:left="567" w:hanging="567"/>
        <w:jc w:val="both"/>
      </w:pPr>
      <w:r>
        <w:rPr>
          <w:lang w:val="uk-UA"/>
        </w:rPr>
        <w:t xml:space="preserve">42. Belongie, S., Malik, J., Puzicha, J. (2002), "Shape matching and object recognition using shape contexts", </w:t>
      </w:r>
      <w:r>
        <w:rPr>
          <w:i/>
          <w:lang w:val="uk-UA"/>
        </w:rPr>
        <w:t xml:space="preserve">IEEE Transactions on Pattern Analysis and Machine Intelligence</w:t>
      </w:r>
      <w:r>
        <w:rPr>
          <w:lang w:val="uk-UA"/>
        </w:rPr>
        <w:t xml:space="preserve">, Vol. 24, No. 4, pp. 509–522. DOI: https://doi.org/10.1109/34.993558</w:t>
      </w:r>
    </w:p>
    <w:p>
      <w:pPr>
        <w:spacing w:after="0" w:line="280" w:lineRule="exact"/>
        <w:ind w:left="567" w:hanging="567"/>
        <w:jc w:val="both"/>
      </w:pPr>
      <w:r>
        <w:rPr>
          <w:lang w:val="uk-UA"/>
        </w:rPr>
        <w:t xml:space="preserve">43. Dutta, A., Sahbi, H. (2019), "Stochastic graphlet embedding", </w:t>
      </w:r>
      <w:r>
        <w:rPr>
          <w:i/>
          <w:lang w:val="uk-UA"/>
        </w:rPr>
        <w:t xml:space="preserve">IEEE Transactions on Neural Networks and Learning Systems</w:t>
      </w:r>
      <w:r>
        <w:rPr>
          <w:lang w:val="uk-UA"/>
        </w:rPr>
        <w:t xml:space="preserve">, Vol. 30, No. 8, pp. 2369–2382. DOI: https://doi.org/10.1109/TNNLS.2018.2884700</w:t>
      </w:r>
    </w:p>
    <w:p>
      <w:pPr>
        <w:spacing w:after="0" w:line="280" w:lineRule="exact"/>
        <w:ind w:left="567" w:hanging="567"/>
        <w:jc w:val="both"/>
      </w:pPr>
      <w:r>
        <w:rPr>
          <w:lang w:val="uk-UA"/>
        </w:rPr>
        <w:t xml:space="preserve">44. Xu, M., Mestetskiy, L. (2025), "An approach to searching for hieroglyphs in Chinese manuscript archives based on morphological analysis", </w:t>
      </w:r>
      <w:r>
        <w:rPr>
          <w:i/>
          <w:lang w:val="uk-UA"/>
        </w:rPr>
        <w:t xml:space="preserve">The International Archives of the Photogrammetry, Remote Sensing and Spatial Information Sciences</w:t>
      </w:r>
      <w:r>
        <w:rPr>
          <w:lang w:val="uk-UA"/>
        </w:rPr>
        <w:t xml:space="preserve">, Vol. XLVIII-2/W9-2025, pp. 283–288. DOI: https://doi.org/10.5194/isprs-archives-XLVIII-2-W9-2025-283-2025</w:t>
      </w:r>
    </w:p>
    <w:p>
      <w:pPr>
        <w:spacing w:after="0" w:line="280" w:lineRule="exact"/>
        <w:ind w:left="567" w:hanging="567"/>
        <w:jc w:val="both"/>
      </w:pPr>
      <w:r>
        <w:rPr>
          <w:lang w:val="uk-UA"/>
        </w:rPr>
        <w:t xml:space="preserve">45. Li, O., Liu, H., Chen, C., Rudin, C. (2018), "Deep learning for case-based reasoning through prototypes: a neural network that explains its predictions", </w:t>
      </w:r>
      <w:r>
        <w:rPr>
          <w:i/>
          <w:lang w:val="uk-UA"/>
        </w:rPr>
        <w:t xml:space="preserve">Proceedings of the AAAI Conference on Artificial Intelligence</w:t>
      </w:r>
      <w:r>
        <w:rPr>
          <w:lang w:val="uk-UA"/>
        </w:rPr>
        <w:t xml:space="preserve">, Vol. 32, No. 1. DOI: https://doi.org/10.1609/aaai.v32i1.11771</w:t>
      </w:r>
    </w:p>
    <w:p>
      <w:pPr>
        <w:spacing w:after="0" w:line="280" w:lineRule="exact"/>
        <w:ind w:left="567" w:hanging="567"/>
        <w:jc w:val="both"/>
      </w:pPr>
      <w:r>
        <w:rPr>
          <w:lang w:val="uk-UA"/>
        </w:rPr>
        <w:t xml:space="preserve">46. Nauta, M., Schlötterer, J., van Keulen, M., Seifert, C. (2023), "PIP-Net: patch-based intuitive prototypes for interpretable image classification", </w:t>
      </w:r>
      <w:r>
        <w:rPr>
          <w:i/>
          <w:lang w:val="uk-UA"/>
        </w:rPr>
        <w:t xml:space="preserve">2023 IEEE/CVF Conference on Computer Vision and Pattern Recognition (CVPR)</w:t>
      </w:r>
      <w:r>
        <w:rPr>
          <w:lang w:val="uk-UA"/>
        </w:rPr>
        <w:t xml:space="preserve">, pp. 2744–2753. DOI: https://doi.org/10.1109/CVPR52729.2023.00269</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rPr/>
        <w:t xml:space="preserve"> з явним описом фільтра повноти контуру; продемонструвати пояснюваність трасуванням </w:t>
      </w:r>
      <w:r>
        <w:rPr/>
        <w:t xml:space="preserve">рішень.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rPr/>
        <w:t xml:space="preserve">Зображення подано графами з вузлами двох типів, точками й векторами, і 13 ознаками. Із 76 вручну відібраних оригіналів, розширених до 805 зразків, одним проходом структурної редукції сформовано 13 концептів-атракторів для 10 класів, по 3–12 вузлів кожний. У класифікації за відстанню редагування графів вузькі інтервали ознак важать більше. Фільтр повноти контуру допустив 8 707 із 10 000 зображень; частка збережених зображень класу коливається від 59,75 % до 99,47 %. Точність становить 91,13 %</w:t>
      </w:r>
      <w:r>
        <w:rPr/>
        <w:t xml:space="preserve"> (95 % довірчий інтервал 90,52–91,71 %)</w:t>
      </w:r>
      <w:r>
        <w:rPr/>
        <w:t xml:space="preserve">; зважені влучність, повнота і F-міра дорівнюють 91,92 %, 91,13 % і 91,34 %. Найчастіше система сплутує цифру 2 з цифрою 7: 111 випадків із 770 помилкових рішень. </w:t>
      </w:r>
      <w:r>
        <w:rPr/>
        <w:t xml:space="preserve">Відтворення одного рішення за збереженими даними дає числовий ланцюг від операцій редагування до оцінки</w:t>
      </w:r>
      <w:r>
        <w:rPr/>
        <w:t xml:space="preserve">, а трасування всіх цих 111 випадків показало, що у 110 з них петлі немає вже в бінарному зображенні</w:t>
      </w:r>
      <w:r>
        <w:rPr/>
        <w:t xml:space="preserve">.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