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280" w:before="0" w:after="0"/>
        <w:jc w:val="both"/>
      </w:pPr>
      <w:r>
        <w:rPr>
          <w:rFonts w:ascii="Times New Roman" w:hAnsi="Times New Roman"/>
          <w:b/>
          <w:i w:val="0"/>
          <w:sz w:val="20"/>
        </w:rPr>
        <w:t>УДК 004.93</w:t>
      </w:r>
    </w:p>
    <w:p>
      <w:pPr>
        <w:spacing w:lineRule="exact" w:line="280" w:before="0" w:after="0"/>
        <w:jc w:val="both"/>
      </w:pPr>
      <w:r>
        <w:rPr>
          <w:rFonts w:ascii="Times New Roman" w:hAnsi="Times New Roman"/>
          <w:b/>
          <w:i w:val="0"/>
          <w:sz w:val="20"/>
        </w:rPr>
        <w:t>Mykyta Lapin</w:t>
      </w:r>
    </w:p>
    <w:p>
      <w:pPr>
        <w:spacing w:lineRule="exact" w:line="280" w:before="120" w:after="120"/>
        <w:jc w:val="center"/>
      </w:pPr>
      <w:r>
        <w:rPr>
          <w:rFonts w:ascii="Times New Roman" w:hAnsi="Times New Roman"/>
          <w:b/>
          <w:i w:val="0"/>
          <w:sz w:val="20"/>
        </w:rPr>
        <w:t>EXPLAINABLE HANDWRITTEN DIGIT RECOGNITION BASED ON GRAPH CONCEPT ATTRACTORS FORMED FROM A SMALL NUMBER OF EXAMPLES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Subject of study. </w:t>
      </w:r>
      <w:r>
        <w:rPr>
          <w:rFonts w:ascii="Times New Roman" w:hAnsi="Times New Roman"/>
          <w:b w:val="0"/>
          <w:i w:val="0"/>
          <w:sz w:val="20"/>
        </w:rPr>
        <w:t>Explainable handwritten digit recognition based on a graph representation of contour images and concept attractors formed by structural reduction without backpropagation.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Purpose. </w:t>
      </w:r>
      <w:r>
        <w:rPr>
          <w:rFonts w:ascii="Times New Roman" w:hAnsi="Times New Roman"/>
          <w:b w:val="0"/>
          <w:i w:val="0"/>
          <w:sz w:val="20"/>
        </w:rPr>
        <w:t>To show that concept attractors formed from a small number of examples yield recognition with a fully traceable decision, and to document the conditions under which the result is valid.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Objectives. </w:t>
      </w:r>
      <w:r>
        <w:rPr>
          <w:rFonts w:ascii="Times New Roman" w:hAnsi="Times New Roman"/>
          <w:b w:val="0"/>
          <w:i w:val="0"/>
          <w:sz w:val="20"/>
        </w:rPr>
        <w:t>To represent contour images as bipartite graphs; to form an alphabet of concepts by structural reduction with interval generalization of parameters; to build classification on graph edit distance with diagnostic feature weighting; to evaluate the system on the complete-contour subset of MNIST with the filter disclosed; to demonstrate explainability by tracing a decision and to measure inference cost.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Methods. </w:t>
      </w:r>
      <w:r>
        <w:rPr>
          <w:rFonts w:ascii="Times New Roman" w:hAnsi="Times New Roman"/>
          <w:b w:val="0"/>
          <w:i w:val="0"/>
          <w:sz w:val="20"/>
        </w:rPr>
        <w:t>Image skeletonization, growing neural gas, Ramer–Douglas–Peucker simplification, structural graph reduction, graph edit distance, interval generalization of parameters.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Results. </w:t>
      </w:r>
      <w:r>
        <w:rPr>
          <w:rFonts w:ascii="Times New Roman" w:hAnsi="Times New Roman"/>
          <w:b w:val="0"/>
          <w:i w:val="0"/>
          <w:sz w:val="20"/>
        </w:rPr>
        <w:t>13 concept attractors formed from 76 unique samples (3–9 per concept) classify 8,685 complete-contour MNIST images with 91.13 % accuracy, 91.92 % precision, 91.13 % recall and 91.34 % F1 score. The completeness filter excludes 12.9 % of the test set and is class-skewed; this is disclosed with its rationale. A trace shows how a decision decomposes into an attractor, node substitutions and per-feature costs. The classification stage has a median of 167 ms and a maximum of 1.4 s.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Conclusions. </w:t>
      </w:r>
      <w:r>
        <w:rPr>
          <w:rFonts w:ascii="Times New Roman" w:hAnsi="Times New Roman"/>
          <w:b w:val="0"/>
          <w:i w:val="0"/>
          <w:sz w:val="20"/>
        </w:rPr>
        <w:t>Recognition without backpropagation from a small number of examples is feasible, and the graph structure of the representation makes every decision verifiable. The headline metric is conditional on the completeness filter; transferring it to the full dataset requires associative recognition of broken contours.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Keywords: </w:t>
      </w:r>
      <w:r>
        <w:rPr>
          <w:rFonts w:ascii="Times New Roman" w:hAnsi="Times New Roman"/>
          <w:b w:val="0"/>
          <w:i w:val="0"/>
          <w:sz w:val="20"/>
        </w:rPr>
        <w:t>explainable artificial intelligence; graph image representation; concept attractor; structural reduction; graph edit distance; skeletonization; handwritten digit recognition; learning from few examples.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 Вступ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1.1 Актуальність дослідження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Сучасні системи розпізнавання зображень дають високу точність, але їхній внутрішній стан лишається закритим для людини. Модель повертає відповідь і не показує ознак, за якими цю відповідь отримано. Там, де рішення треба обґрунтувати перед оператором, лікарем або аудитором, така закритість стає самостійною проблемою, окремою від якості класифікації.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Найпоширеніший спосіб її подолання — апостеріорні (post-hoc) пояснення. Метод LIME [1] будує локальну лінійну апроксимацію поведінки навченої моделі в околі окремого прикладу. Метод SHAP [2] розподіляє внески ознак за схемою кооперативних ігор. Обидва методи працюють ззовні щодо моделі й трактують її як чорну скриньку, тому пояснення лишається наближенням зовнішньої щодо моделі функції, а не описом самого обчислення.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Надійність такого наближення має документовані обмеження. Slack et al. [3] показали, що LIME і SHAP піддаються цілеспрямованій маніпуляції: класифікатор з явним упередженням можна побудувати так, щоб згенеровані пояснення це упередження приховали. Hooshyar and Yang [4] виявили нестійкість пояснень до вибору гіперпараметрів і до корельованості ознак. Rudin [5] робить із цього висновок щодо проєктування: у задачах з високою ціною помилки доцільно будувати модель, пояснювану за побудовою, а не додавати зовнішні пояснення до непрозорої; ця робота стає на таку позицію.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Підхід, викладений у статті, робить носієм пояснення структуру подання. Контур зображення кодується атрибутованим графом: вузли відповідають характерним точкам і векторам між ними, а геометричні й семантичні характеристики зберігаються безпосередньо в елементах графа. Пояснення тоді перетворюється на об'єкт, який можна оглянути й перевірити. Цикл у графі відповідає замкненому контуру, степінь вузла описує розгалуження, інтервал значення атрибута задає допустимий діапазон варіації цієї ознаки в межах концепту. Окремий пояснювальний модуль над класифікатором не будується.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Статус отриманого результату варто окреслити відверто. Система перебуває на дослідницькій стадії й не є готовим продуктом. Вона не претендує на рівень точності нейромережевих класифікаторів на еталонних наборах і не порівнюється з ними за цим показником. Орієнтиром є рівень розпізнавання людини. Наукове питання формулюється інакше, ніж у порівняльних дослідженнях точності: чи можливе розпізнавання без зворотного поширення помилки, з малої кількості навчальних прикладів і з повністю простежуваним шляхом ухвалення рішення. Практична цінність такої постановки з'являється там, де навчальних даних мало, а рішення має бути придатним до перевірки вручну.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У статті викладено подання зображень атрибутованими двочастковими графами, процедуру формування концептів-атракторів структурною редукцією, класифікацію за подібністю графів і результати оцінювання на MNIST з повністю розкритим фільтром повноти контуру. На підмножині повних контурів отримано точність 91,13 % за 13 концептів, сформованих із 76 унікальних навчальних зразків. Окремо наведено повне трасування одного рішення разом з механізмом домінантної помилки та виміряну обчислювальну вартість виведення.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Отже, дослідження, присвячене пояснюваному розпізнаванню рукописних цифр на основі графових концептів-атракторів, сформованих з малої кількості прикладів, є актуальним.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1.2 Аналіз останніх досліджень і публікацій та постановка проблеми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Апостеріорні методи, названі в підрозділі 1.1, лишаються фактичним стандартом пояснюваності, тому дослідження останніх п'яти років зосередилися на тому, наскільки їхнім поясненням можна довіряти.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Baniecki and Biecek [6] зводять у спільну систему позначень роботи двох галузей — змагального машинного навчання та пояснюваного інтелекту — і систематизують атаки на пояснення разом зі способами захисту від них. Автори показують, що маніпуляція поясненням, його підміна та приховування ознак упередженості моделі (fairwashing) можливі для більшості поширених методів, і формулюють вимоги до протоколів оцінювання пояснень. Предметом огляду є захист апостеріорних пояснювачів; питання про подання, у якому пояснення неможливо відокремити від обчислення, у ньому не порушено.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Bello et al. [7] звертаються до головної труднощі кількісного оцінювання пояснень: для пояснення немає еталона, з яким його можна звірити. Автори пропонують міру LSE (Level of Strength of an Explanation), побудовану за аналогією з відношенням правдоподібності в судовій експертизі, яка показує, наскільки пояснення підтримує саме той клас, що його передбачив класифікатор. Нерозв'язаним лишається те, що якість апостеріорного пояснення доводиться встановлювати опосередковано, окремою процедурою поверх пояснювача, а не читати із самого обчислення.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Альтернативний напрям проєктування — моделі, пояснювані за побудовою, на потребі в яких наполягає Rudin [5]. Огляд методів пояснюваності на основі графів знань [8] систематизує способи, якими явні структурні подання входять до систем пояснюваного інтелекту — від видобування ознак і відношень до міркування над графом.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Forest et al. [9] застосовують моделі з концептним вузьким місцем (concept bottleneck models) до прогнозування залишкового ресурсу обладнання, обравши проміжними концептами режими деградації вузлів. Прогноз завдяки цьому розкладається за станом кожного компонента, а експерт може втрутитися в активації концептів під час випробування без перенавчання моделі. Робота показує практичну користь проміжного шару зрозумілих понять порівняно з методами приписування важливості вхідним ознакам. Відображення "вхід — концепт" у цій схемі лишається навченою нейронною мережею, тому простежити його елементами подання неможливо.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Sovatzidi et al. [10] будують класифікацію зображень на інтуїціоністських нечітких когнітивних картах, структуру графа яких визначає алгоритм навчання за даними. Ступінь вагання (hesitancy) слугує мірою невпевненості віднесення зображення до класу, а рішення подаються лінгвістичними термінами, зрозумілими без додаткового тлумачення. Це один з небагатьох сучасних прикладів, де носієм пояснення є граф, а не надбудова над навченою мережею. Вузли графа відповідають ознакам областей зображення, тому геометрія контуру та топологія його зв'язності в подання не входять.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García-Cuesta et al. [11] перевіряють на міцність прототипні мережі — архітектури, які заведено вважати пояснюваними за побудовою. Емпірично показано, що подання прототипів можна змінити навмисно або ненавмисно так, що зовнішня правдоподібність пояснення збережеться, а зв'язок із засвоєними ознаками зникне. Робота переносить на пояснювані за побудовою моделі ту саму претензію, яку Slack et al. [3] висунули до апостеріорних методів, і тим окреслює умову, за якої пояснюваність за побудовою справді щось гарантує. Такою умовою є подання, елементи якого мають самостійну геометричну інтерпретацію поза навченим простором вкладень.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Структурні подання форми мають довгу історію в комп'ютерному зорі. Vision GNN [12] трактує зображення як граф вузлів-фрагментів і будує на ньому мережу передавання повідомлень, і тим повертає графове подання в основний напрям глибокого навчання. Chatbri et al. [13] досліджують контури та скелети як подання форми для зіставлення бінарних зображень. Shen et al. [14] будують розпізнавання форми на наборі контурних частин, асоційованих зі скелетом, тобто поєднують обидва описи в одному поданні. Ці роботи підтверджують доцільність структурного опису, але зупиняються на рівні ознак і не роблять структуру носієм самого пояснення.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Elsharkawi et al. [15] розвивають напрям Vision GNN. Автори зауважують, що наявні моделі будують граф кожного шару непараметричними статистичними правилами — k найближчих сусідів, поріг подібності, гіперграф — і пропонують натомість схему LRGC: увагу "ключ — запит" між усіма парами вузлів з м'яким пороговим репараметруванням, завдяки чому вибір сусідства стає диференційовним і навчаним. На наборі ImageNet-1k підхід переважає моделі ViG порівнянного розміру. Граф тут є проміжним поданням усередині мережі, тому його вузли та ребра не мають значення, яке можна прочитати окремо від ваг.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Senior et al. [16] оглядають застосування графових нейронних мереж до розуміння двовимірних зображень і подають систематику типів графів, які використовують у підписуванні зображень, візуальному запитуванні та пошуку. Огляд фіксує, що граф став типовим складником таких конвеєрів як спосіб описати взаємне розташування об'єктів сцени. Роль графа в оглянутих роботах зводиться до постачання структурованих ознак для подальшого навченого модуля; питання про те, чи може сам граф бути записом ухваленого рішення, в огляді не поставлено.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Задачу зіставлення графів досліджують давно. Оглядова праця Conte et al. [17] систематизує точні й наближені алгоритми зіставлення за тридцять років. Відстань редагування графів (Graph Edit Distance, GED) дає міру подібності з прозорою семантикою: вартість перетворення одного графа на інший розкладається на елементарні операції над вузлами та ребрами. Riesen and Bunke [18] запропонували наближення GED за двочастковим призначенням, яке зробило міру придатною для практичних розмірів графів. Wang et al. [19] розвивають гібридні схеми обчислення GED, де частину вартості визначає нейронна мережа. Саме розклад на операції редагування робить GED зручною основою для пояснення: кожен доданок вартості прив'язаний до конкретної пари елементів.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Piao et al. [20] розв'язують обчислення GED двоступеневою схемою: мережа GEDGNN передбачає значення відстані та матрицю відповідності, а подальша обробка відновлює з неї власне шлях редагування. Мотивом роботи є пряме зауваження авторів: моделі, які зводять GED до регресії подібності, дають вищу числову влучність, проте не породжують послідовності операцій, а без неї пояснюваність і практична придатність розв'язку втрачаються. Це формулювання збігається з тим, як GED використано в цій статті, — цінність міри саме в розкладі на елементарні операції. Відмінність у тому, що GEDGNN відновлює шлях редагування засобами навченої мережі, тоді як тут він є прямим результатом самої процедури зіставлення.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Ще два напрями розвитку GED пришвидшують саме обчислення: Tang et al. [21] зводять задачу до відстані Fused Gromov-Wasserstein і будують алгоритм FGWAlign складності </w:t>
      </w:r>
      <m:oMath>
        <m:r>
          <w:rPr>
            <w:sz w:val="20"/>
            <w:szCs w:val="20"/>
          </w:rPr>
          <m:t>O</m:t>
        </m:r>
        <m:r>
          <m:rPr>
            <m:sty m:val="p"/>
          </m:rPr>
          <w:rPr>
            <w:sz w:val="20"/>
            <w:szCs w:val="20"/>
          </w:rPr>
          <m:t>(</m:t>
        </m:r>
        <m:r>
          <m:rPr>
            <m:sty m:val="p"/>
          </m:rPr>
          <w:rPr>
            <w:sz w:val="20"/>
            <w:szCs w:val="20"/>
          </w:rPr>
          <m:t>|</m:t>
        </m:r>
        <m:r>
          <w:rPr>
            <w:sz w:val="20"/>
            <w:szCs w:val="20"/>
          </w:rPr>
          <m:t>V</m:t>
        </m:r>
        <m:r>
          <m:rPr>
            <m:sty m:val="p"/>
          </m:rPr>
          <w:rPr>
            <w:sz w:val="20"/>
            <w:szCs w:val="20"/>
          </w:rPr>
          <m:t>|</m:t>
        </m:r>
        <m:r>
          <m:rPr>
            <m:sty m:val="p"/>
          </m:rPr>
          <w:rPr>
            <w:sz w:val="20"/>
            <w:szCs w:val="20"/>
          </w:rPr>
          <m:t>|</m:t>
        </m:r>
        <m:r>
          <w:rPr>
            <w:sz w:val="20"/>
            <w:szCs w:val="20"/>
          </w:rPr>
          <m:t>E</m:t>
        </m:r>
        <m:r>
          <m:rPr>
            <m:sty m:val="p"/>
          </m:rPr>
          <w:rPr>
            <w:sz w:val="20"/>
            <w:szCs w:val="20"/>
          </w:rPr>
          <m:t>|</m:t>
        </m:r>
        <m:r>
          <m:rPr>
            <m:sty m:val="p"/>
          </m:rPr>
          <w:rPr>
            <w:sz w:val="20"/>
            <w:szCs w:val="20"/>
          </w:rPr>
          <m:t>)</m:t>
        </m:r>
      </m:oMath>
      <w:r>
        <w:rPr>
          <w:rFonts w:ascii="Times New Roman" w:hAnsi="Times New Roman"/>
          <w:b w:val="0"/>
          <w:i w:val="0"/>
          <w:sz w:val="20"/>
        </w:rPr>
        <w:t>, який на чотирьох наборах даних зменшує похибку понад 80 % і прискорює обчислення в 15–60 разів, а Moscatelli et al. [22] переформульовують квадратичну задачу про призначення як передбачення ребер на графі екземпляра й наскрізно отримують м'яку матрицю відповідності графовою мережею з виразністю рівня 3-WL. В обох роботах предметом дослідження є швидкість і точність обчислення, а вартість елементарної операції не має наперед заданого змісту, тому окремий доданок не пояснює, якою характеристикою відрізняються зіставлені вузли.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Gan et al. [23] подають рукописні китайські ієрогліфи скелетними графами, а не растровими зображеннями чи часовими траєкторіями, і будують над таким поданням Pyramid Graph Transformer. Вибір мотивовано прямо: растр і траєкторія втрачають геометричну семантику знака, властиву його структурі. За вибором подання це найближча до цієї статті робота — скелет знака як граф. Різниця в тому, що там граф є входом трансформера й рішення визначають його ваги, тоді як тут граф зіставляється з графом концепту, а відповідь складається з переліку заміщень із їхніми вартостями.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Dong et al. [24] для розпізнавання ієрогліфів без навчальних прикладів класу будують низхідне орієнтоване дерево радикалів, яке кодує графова нейронна мережа; спрямоване позиційне кодування розрізняє просторові відношення вузлів у межах одного піддерева. Підхід перевірено на рукописних, сценових, художніх і давніх написаннях. Робота показує, що явний структурний опис знака дає змогу впізнавати класи, яких не було в навчальній вибірці. Сам опис, однак, задано наперед словником радикалів, а не виведено із зображень процедурою узагальнення, як алфавіт концептів у цій статті.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Навчання з малої кількості прикладів розвивається переважно в парадигмі метанавчання. Прототипні мережі [25] будують прототип класу як центроїд опорних прикладів у навченому просторі вкладень. MAML [26] шукає початкові ваги, з яких кілька кроків градієнтного спуску дають придатну модель для нової задачі. Lake et al. [27] демонструють породжувальну програмну модель, яка засвоює рукописний символ з одного прикладу. Ці роботи наведено як контекст постановки задачі; стаття не проводить з ними порівняння за точністю й не претендує на такий порівняльний результат.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Ji et al. [28] поєднують самопояснювані моделі з навчанням за малою кількістю прикладів. Автори формулюють дві перешкоди режиму нестачі даних — параметричний дисбаланс і розлад подань — і долають їх сумішшю LoRA-експертів, узгодженням ознак кістяка мережі з активаціями прототипних концептів та втратою, яка змушує концепти бути взаємно ортогональними. На шести еталонних наборах підхід переважає порівнювані методи. Дослідження підтверджує, що пояснюваність і мала навчальна вибірка сумісні; концепти при цьому лишаються векторами в навченому просторі, а не структурами, придатними до огляду.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Окремий напрям становлять альтернативи зворотному поширенню помилки. Алгоритм Forward-Forward [29] замінює зворотний прохід двома прямими проходами з локальним критерієм і засвідчує стійкий інтерес до навчання без глобального градієнта. Огляд нейросимвольної інтеграції [30] описує спроби поєднати підсимвольне навчання з явними символьними структурами, де символьна частина відповідає за перевірність висновку.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Ghader et al. [31] навчають імпульсні нейронні мережі алгоритмом Forward-Forward: двома прямими проходами з локальним пошаровим критерієм замість зворотного проходу. На статичних наборах MNIST, Fashion-MNIST і Kuzushiji-MNIST модель переважає попередні мережі цього класу за значно легшої архітектури, а на складніших імпульсних завданнях лишається порівнянною з мережами, навченими зворотним поширенням. Робота засвідчує, що відмова від глобального градієнта не є принциповою перешкодою для точності на задачах рівня MNIST. Локальність критерію стосується процедури навчання; подання, з яким працює мережа, лишається розподіленим за вагами й поелементному прочитанню не піддається.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Ця стаття продовжує попередні роботи дослідницької групи. Формалізм енергетичної моделі та прототип на шести класах, який дав 82,44 % точності за 5–6 зразків на клас і один прохід формування, викладено в [32]. Векторизацію бінарних контурів як основу подання описано в [33], а теоретичну рамку архітектури інформації — в [34]. Графову модель навчання з малої кількості прикладів без зворотного поширення помилки подано в [35].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Розглянуті роботи різняться тим, де в них перебуває пояснення щодо обчислення. Огляди та методи оцінювання апостеріорних пояснень [6, 7] працюють ззовні щодо навченої моделі, тому їхні висновки стосуються надійності сурогату, а не самого рішення. Моделі, пояснювані за побудовою [9, 10, 11], переносять пояснення всередину архітектури, проте зберігають навчене відображення від входу до проміжних понять, і саме воно лишається непрозорим, а подання прототипів піддається підміні без втрати зовнішньої правдоподібності. Роботи, які будують подання зображення графом [15, 16, 23, 24], використовують структуру як джерело ознак для подальшого навченого модуля, тому вузли та ребра не мають значення, яке можна прочитати окремо від ваг. Дослідження відстані редагування графів [20, 21, 22] підтверджують цінність розкладу на елементарні операції та водночас засвідчують зсув до навчання вартостей, після якого окремий доданок перестає вказувати на конкретну характеристику. Навчання за малою кількістю прикладів [28] і навчання без зворотного поширення помилки [31] знімають окремо взяті обмеження — потребу у великій вибірці та потребу в глобальному градієнті, — але подання в обох випадках лишається розподіленим за вагами.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Звідси випливає проблема, яку розв'язує ця стаття. Незакритою лишається сукупність чотирьох умов: структура подання є одночасно носієм рішення й носієм пояснення; вартості зіставлення прив'язані до наперед визначених геометричних характеристик, а не засвоєні з даних; результат отримано за десятками навчальних зразків без зворотного поширення помилки; умови оцінювання — фільтр даних, вартість виведення та політика відбору навчальних зразків — розкриті явно й перевірні за артефактами виконання. Жодна з розглянутих робіт не забезпечує цих умов одночасно.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1.3 Мета та завдання дослідження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Мета дослідження — показати, що формування графових концептів-атракторів шляхом структурної редукції без зворотного поширення помилки забезпечує пояснюване розпізнавання рукописних цифр за малої кількості навчальних прикладів, і задокументувати умови, за яких отриманий результат є чинним.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Для досягнення мети розв'язано такі завдання: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1) подати контурні зображення атрибутованими двочастковими графами, у яких вузли-точки та вузли-вектори несуть геометричні й семантичні характеристики;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2) сформувати алфавіт концептів-атракторів ітеративною структурною редукцією навчальних графів з інтервальним узагальненням параметрів;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3) побудувати процедуру класифікації на основі GED з діагностичним зважуванням ознак, за якого вузькі інтервали важать більше у вартості зіставлення;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4) оцінити систему на підмножині повних контурів MNIST з явним описом фільтра повноти та його перекосу за класами;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5) продемонструвати пояснюваність повним трасуванням одного рішення — від зіставлення вузлів і вартостей за окремими ознаками до механізму домінантної помилки — і виміряти обчислювальну вартість виведення за артефактами виконання, а не за оцінками складності алгоритму.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 Матеріали та методи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2.1 Графове подання зображення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Зображення цифри подано атрибутованим двочастковим графом. Вузли двох типів чергуються: вузол-точка (Point) описує характерну точку контуру, вузол-вектор (Vector) описує прямолінійний відрізок між двома сусідніми точками. Зв'язки двонаправлені, тому будь-який обхід графа має вигляд Point → Vector → Point. Двочастковість зберігається на всіх етапах обробки: жодна точка не з'єднана з іншою точкою безпосередньо. Після побудови графа зображення описане лише вузлами, їхніми типами та атрибутами; значення пікселів далі не використовуються.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Відрізок контуру подано окремим вузлом, а не ребром графа. Завдяки цьому відрізок має власні атрибути — довжину, напрямок і орієнтацію — і бере участь у порівнянні нарівні з точками.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Точки поділено на чотири типи. EndPoint позначає кінець відкритого контуру. CornerPoint позначає різку зміну напрямку і зберігає значення кута. IntersectionPoint позначає перетин ліній. StartPoint задає початок обходу графа. Один вузол може мати кілька міток одночасно.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Вузол-точка зберігає координати x та y і їхні нормалізовані значення. Вузол-вектор зберігає координати обох кінців, довжину, квадрант (I–IV), горизонтальний напрямок (LEFT, RIGHT або NONE) і вертикальний напрямок (TOP, BOTTOM або NONE). Квадрант і два напрямки описують орієнтацію відрізка без прив'язки до абсолютних координат.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Координати нормалізовано до центрованого діапазону від −1 до 1 за формулою (1):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sSub>
            <m:e>
              <m:r>
                <w:rPr>
                  <w:sz w:val="20"/>
                  <w:szCs w:val="20"/>
                </w:rPr>
                <m:t>x</m:t>
              </m:r>
            </m:e>
            <m:sub>
              <m:r>
                <w:rPr>
                  <w:sz w:val="20"/>
                  <w:szCs w:val="20"/>
                </w:rPr>
                <m:t>n</m:t>
              </m:r>
              <m:r>
                <w:rPr>
                  <w:sz w:val="20"/>
                  <w:szCs w:val="20"/>
                </w:rPr>
                <m:t>o</m:t>
              </m:r>
              <m:r>
                <w:rPr>
                  <w:sz w:val="20"/>
                  <w:szCs w:val="20"/>
                </w:rPr>
                <m:t>r</m:t>
              </m:r>
              <m:r>
                <w:rPr>
                  <w:sz w:val="20"/>
                  <w:szCs w:val="20"/>
                </w:rPr>
                <m:t>m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=</m:t>
          </m:r>
          <m:f>
            <m:fPr>
              <m:type m:val="bar"/>
            </m:fPr>
            <m:num>
              <m:r>
                <w:rPr>
                  <w:sz w:val="20"/>
                  <w:szCs w:val="20"/>
                </w:rPr>
                <m:t>x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−</m:t>
              </m:r>
              <m:sSub>
                <m:e>
                  <m:r>
                    <w:rPr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sz w:val="20"/>
                      <w:szCs w:val="20"/>
                    </w:rPr>
                    <m:t>x</m:t>
                  </m:r>
                </m:sub>
              </m:sSub>
            </m:num>
            <m:den>
              <m:sSub>
                <m:e>
                  <m:r>
                    <w:rPr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sz w:val="20"/>
                      <w:szCs w:val="20"/>
                    </w:rPr>
                    <m:t>x</m:t>
                  </m:r>
                </m:sub>
              </m:sSub>
            </m:den>
          </m:f>
        </m:oMath>
      </m:oMathPara>
      <w:r>
        <w:rPr>
          <w:rFonts w:ascii="Times New Roman" w:hAnsi="Times New Roman"/>
          <w:b w:val="0"/>
          <w:i w:val="0"/>
          <w:sz w:val="20"/>
        </w:rPr>
        <w:tab/>
        <w:t>(1)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sSub>
          <m:e>
            <m:r>
              <w:rPr>
                <w:sz w:val="20"/>
                <w:szCs w:val="20"/>
              </w:rPr>
              <m:t>c</m:t>
            </m:r>
          </m:e>
          <m:sub>
            <m:r>
              <w:rPr>
                <w:sz w:val="20"/>
                <w:szCs w:val="20"/>
              </w:rPr>
              <m:t>x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— координата центра зображення за віссю абсцис; для осі ординат перетворення аналогічне. Нормалізація робить подання інваріантним до масштабу та зсуву.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2.2 Конвеєр побудови графа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Вхідні зображення — напівтонові, розміром 100×100 пікселів. Граф будують у шість етапів (рис. 1). Зображення бінаризують з фіксованим порогом </w:t>
      </w:r>
      <m:oMath>
        <m:r>
          <w:rPr>
            <w:sz w:val="20"/>
            <w:szCs w:val="20"/>
          </w:rPr>
          <m:t>θ</m:t>
        </m:r>
      </m:oMath>
      <w:r>
        <w:rPr>
          <w:rFonts w:ascii="Times New Roman" w:hAnsi="Times New Roman"/>
          <w:b w:val="0"/>
          <w:i w:val="0"/>
          <w:sz w:val="20"/>
        </w:rPr>
        <w:t xml:space="preserve"> = 110. Бінарну маску стоншують до товщини один піксель [36]. Скелет апроксимують зростаючим нейронним газом (Growing Neural Gas, GNG) [37]: мережа вузлів газу відтворює топологію ліній скелета. Мережу спрощують алгоритмом Рамера—Дугласа—Пекера з </w:t>
      </w:r>
      <m:oMath>
        <m:r>
          <w:rPr>
            <w:sz w:val="20"/>
            <w:szCs w:val="20"/>
          </w:rPr>
          <m:t>ε</m:t>
        </m:r>
      </m:oMath>
      <w:r>
        <w:rPr>
          <w:rFonts w:ascii="Times New Roman" w:hAnsi="Times New Roman"/>
          <w:b w:val="0"/>
          <w:i w:val="0"/>
          <w:sz w:val="20"/>
        </w:rPr>
        <w:t xml:space="preserve"> = 4,55 [38], який вилучає вузли, що лежать майже на прямій. На спрощеній мережі будують двочастковий граф з точок і векторів. На останньому етапі обчислюють атрибути вузлів і нормалізують координати.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16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 1 – Конвеєр побудови графового подання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Кожен наступний етап зменшує обсяг даних: растрове зображення, скелет завтовшки в один піксель, мережа вузлів, граф з точок і векторів. Обидва параметри конвеєра — поріг бінаризації та </w:t>
      </w:r>
      <m:oMath>
        <m:r>
          <w:rPr>
            <w:sz w:val="20"/>
            <w:szCs w:val="20"/>
          </w:rPr>
          <m:t>ε</m:t>
        </m:r>
      </m:oMath>
      <w:r>
        <w:rPr>
          <w:rFonts w:ascii="Times New Roman" w:hAnsi="Times New Roman"/>
          <w:b w:val="0"/>
          <w:i w:val="0"/>
          <w:sz w:val="20"/>
        </w:rPr>
        <w:t xml:space="preserve"> спрощення — фіксовані й однакові для всіх зображень. Той самий конвеєр застосовують і до навчальних зображень під час формування концептів, і до тестових під час класифікації.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2.3 Формування концептів-атракторів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Концепт-атрактор класу формують ітеративно, додаючи навчальні зразки по одному. Початковим значенням концепту є граф першого зразка, тобто </w:t>
      </w:r>
      <m:oMath>
        <m:sSub>
          <m:e>
            <m:r>
              <w:rPr>
                <w:sz w:val="20"/>
                <w:szCs w:val="20"/>
              </w:rPr>
              <m:t>C</m:t>
            </m:r>
          </m:e>
          <m:sub>
            <m:r>
              <w:rPr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sz w:val="20"/>
            <w:szCs w:val="20"/>
          </w:rPr>
          <m:t>=</m:t>
        </m:r>
        <m:sSub>
          <m:e>
            <m:r>
              <w:rPr>
                <w:sz w:val="20"/>
                <w:szCs w:val="20"/>
              </w:rPr>
              <m:t>G</m:t>
            </m:r>
          </m:e>
          <m:sub>
            <m:r>
              <w:rPr>
                <w:sz w:val="20"/>
                <w:szCs w:val="20"/>
              </w:rPr>
              <m:t>1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>. Кожен наступний зразок уточнює концепт операцією редукції (custom reduction operation, CRO) за формулою (2):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sSub>
            <m:e>
              <m:r>
                <w:rPr>
                  <w:sz w:val="20"/>
                  <w:szCs w:val="20"/>
                </w:rPr>
                <m:t>C</m:t>
              </m:r>
            </m:e>
            <m:sub>
              <m:r>
                <w:rPr>
                  <w:sz w:val="20"/>
                  <w:szCs w:val="20"/>
                </w:rPr>
                <m:t>i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w:rPr>
                  <w:sz w:val="20"/>
                  <w:szCs w:val="20"/>
                </w:rPr>
                <m:t>1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=</m:t>
          </m:r>
          <m:r>
            <m:rPr>
              <m:sty m:val="p"/>
            </m:rPr>
            <w:rPr>
              <w:sz w:val="20"/>
              <w:szCs w:val="20"/>
            </w:rPr>
            <m:t>C</m:t>
          </m:r>
          <m:r>
            <m:rPr>
              <m:sty m:val="p"/>
            </m:rPr>
            <w:rPr>
              <w:sz w:val="20"/>
              <w:szCs w:val="20"/>
            </w:rPr>
            <m:t>R</m:t>
          </m:r>
          <m:r>
            <m:rPr>
              <m:sty m:val="p"/>
            </m:rPr>
            <w:rPr>
              <w:sz w:val="20"/>
              <w:szCs w:val="20"/>
            </w:rPr>
            <m:t>O</m:t>
          </m:r>
          <m:r>
            <m:rPr>
              <m:sty m:val="p"/>
            </m:rPr>
            <w:rPr>
              <w:sz w:val="20"/>
              <w:szCs w:val="20"/>
            </w:rPr>
            <m:t>(</m:t>
          </m:r>
          <m:sSub>
            <m:e>
              <m:r>
                <w:rPr>
                  <w:sz w:val="20"/>
                  <w:szCs w:val="20"/>
                </w:rPr>
                <m:t>C</m:t>
              </m:r>
            </m:e>
            <m:sub>
              <m:r>
                <w:rPr>
                  <w:sz w:val="20"/>
                  <w:szCs w:val="20"/>
                </w:rPr>
                <m:t>i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,</m:t>
          </m:r>
          <m:r>
            <w:rPr>
              <w:sz w:val="20"/>
              <w:szCs w:val="20"/>
            </w:rPr>
            <m:t> </m:t>
          </m:r>
          <m:sSub>
            <m:e>
              <m:r>
                <w:rPr>
                  <w:sz w:val="20"/>
                  <w:szCs w:val="20"/>
                </w:rPr>
                <m:t>G</m:t>
              </m:r>
            </m:e>
            <m:sub>
              <m:r>
                <w:rPr>
                  <w:sz w:val="20"/>
                  <w:szCs w:val="20"/>
                </w:rPr>
                <m:t>i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w:rPr>
                  <w:sz w:val="20"/>
                  <w:szCs w:val="20"/>
                </w:rPr>
                <m:t>1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)</m:t>
          </m:r>
          <m:r>
            <m:rPr>
              <m:sty m:val="p"/>
            </m:rPr>
            <w:rPr>
              <w:sz w:val="20"/>
              <w:szCs w:val="20"/>
            </w:rPr>
            <m:t>,</m:t>
          </m:r>
          <m:r>
            <w:rPr>
              <w:sz w:val="20"/>
              <w:szCs w:val="20"/>
            </w:rPr>
            <m:t> </m:t>
          </m:r>
          <m:r>
            <w:rPr>
              <w:sz w:val="20"/>
              <w:szCs w:val="20"/>
            </w:rPr>
            <m:t>i</m:t>
          </m:r>
          <m:r>
            <m:rPr>
              <m:sty m:val="p"/>
            </m:rPr>
            <w:rPr>
              <w:sz w:val="20"/>
              <w:szCs w:val="20"/>
            </w:rPr>
            <m:t>=</m:t>
          </m:r>
          <m:r>
            <w:rPr>
              <w:sz w:val="20"/>
              <w:szCs w:val="20"/>
            </w:rPr>
            <m:t>1</m:t>
          </m:r>
          <m:r>
            <m:rPr>
              <m:sty m:val="p"/>
            </m:rPr>
            <w:rPr>
              <w:sz w:val="20"/>
              <w:szCs w:val="20"/>
            </w:rPr>
            <m:t>,</m:t>
          </m:r>
          <m:r>
            <m:rPr>
              <m:sty m:val="p"/>
            </m:rPr>
            <w:rPr>
              <w:sz w:val="20"/>
              <w:szCs w:val="20"/>
            </w:rPr>
            <m:t>…</m:t>
          </m:r>
          <m:r>
            <m:rPr>
              <m:sty m:val="p"/>
            </m:rPr>
            <w:rPr>
              <w:sz w:val="20"/>
              <w:szCs w:val="20"/>
            </w:rPr>
            <m:t>,</m:t>
          </m:r>
          <m:r>
            <w:rPr>
              <w:sz w:val="20"/>
              <w:szCs w:val="20"/>
            </w:rPr>
            <m:t>n</m:t>
          </m:r>
          <m:r>
            <m:rPr>
              <m:sty m:val="p"/>
            </m:rPr>
            <w:rPr>
              <w:sz w:val="20"/>
              <w:szCs w:val="20"/>
            </w:rPr>
            <m:t>−</m:t>
          </m:r>
          <m:r>
            <w:rPr>
              <w:sz w:val="20"/>
              <w:szCs w:val="20"/>
            </w:rPr>
            <m:t>1</m:t>
          </m:r>
        </m:oMath>
      </m:oMathPara>
      <w:r>
        <w:rPr>
          <w:rFonts w:ascii="Times New Roman" w:hAnsi="Times New Roman"/>
          <w:b w:val="0"/>
          <w:i w:val="0"/>
          <w:sz w:val="20"/>
        </w:rPr>
        <w:tab/>
        <w:t>(2)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sSub>
          <m:e>
            <m:r>
              <w:rPr>
                <w:sz w:val="20"/>
                <w:szCs w:val="20"/>
              </w:rPr>
              <m:t>C</m:t>
            </m:r>
          </m:e>
          <m:sub>
            <m:r>
              <w:rPr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— поточний стан концепту, </w:t>
      </w:r>
      <m:oMath>
        <m:sSub>
          <m:e>
            <m:r>
              <w:rPr>
                <w:sz w:val="20"/>
                <w:szCs w:val="20"/>
              </w:rPr>
              <m:t>G</m:t>
            </m:r>
          </m:e>
          <m:sub>
            <m:r>
              <w:rPr>
                <w:sz w:val="20"/>
                <w:szCs w:val="20"/>
              </w:rPr>
              <m:t>i</m:t>
            </m:r>
            <m:r>
              <m:rPr>
                <m:sty m:val="p"/>
              </m:rPr>
              <w:rPr>
                <w:sz w:val="20"/>
                <w:szCs w:val="20"/>
              </w:rPr>
              <m:t>+</m:t>
            </m:r>
            <m:r>
              <w:rPr>
                <w:sz w:val="20"/>
                <w:szCs w:val="20"/>
              </w:rPr>
              <m:t>1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— граф наступного зразка, n — кількість зразків.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Обробка одного зразка складається з п'яти кроків. Спершу суміщають початкові точки концепту й нового графа, щоб обидва обходи стартували з відповідних місць контуру. Потім виконують попередню обробку критичних точок стратегіями редукції. Далі обидва графи обходять синхронно, на зіставлених шляхах визначають спільну структуру, і наприкінці зливають властивості відповідних вузлів. У концепті лишається та частина структури, яка повторюється в усіх опрацьованих зразках класу.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Застосовано три стратегії редукції. Перша вилучає кінцеві точки, які не мають відповідника в другому графі: за матрицею подібності знаходять точку без відповідника і вилучають її разом зі шляхом до найближчої критичної точки. Друга зливає точки перетину: IntersectionPoint зі степенем не більше двох перекласифіковують у CornerPoint або EndPoint, а надлишкові перетини вилучають, починаючи з тих, що мають найнижчу подібність. Третя нормалізує шляхи між критичними точками: серед простих шляхів обирають пару з найвищою подібністю вузлів, і коротший шлях стає шаблоном для довшого.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Редукція типів вузлів відбувається за ієрархією IntersectionPoint → CornerPoint → Point. Вузол може втратити тип, але не набути складнішого. StartPoint і EndPoint не редукуються: вони задають межі структури і точку входу в обхід.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Разом зі структурою узагальнюють і атрибути. Числові атрибути перетворюють на інтервали з трьома значеннями: min, max і center. Категорійні атрибути зберігають лише тоді, коли вони збігаються в усіх зразках; розбіжність призводить до вилучення атрибута. Списки міток замінюють перетином множин. Концепт зберігає діапазон допустимої варіації ознаки, а не її точкове значення.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Формування зупиняють, коли додавання наступного зразка вже не змінює концепт. Такий концепт є нерухомою точкою операції CRO щодо решти зразків класу. Кількість зразків до зупинки залежить від класу і наперед не задана.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2.4 Навчальні дані та політика відбору зразків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Алфавіт складається з 13 концептів для 10 класів цифр. Класи 1, 2 і 4 мають по два структурні підконцепти — 1_1 і 1_3, 2_1 і 2_2, 4_1 і 4_2, — бо ці цифри пишуть у двох топологічно різних стилях, які не зводяться один до одного редукцією. Решта класів мають по одному концепту. Розміри концептів і кількість навчальних зразків наведено в підрозділі 3.1.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Кількість зразків, потрібних для одного концепту, визначає правило зупинки з підрозділу 2.3; наперед заданої квоти немає. Кожен зразок доповнено приблизно десятьма аугментованими варіантами: випадковий поворот у межах ±10° і зсув до 10 % розміру зображення. Разом навчальна вибірка містить 805 зображень.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Зразки відібрано вручну, а не випадково з навчальної частини набору. Критерій відбору — найменш спотворені написання без розривів контуру. В основі такого відбору лежить припущення, що правильно розпізнаний представник класу вже містить усі структурні й топологічні ознаки цього класу. Тоді формування концепту потребує не репрезентативної вибірки розподілу, а невеликої кількості структурно повних написань. Розподіл варіацій вносить аугментація: структуру концепту задають самі зразки, а межі інтервалів параметрів формують їхні аугментовані варіанти.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Межі цього припущення відомі лише частково. Чутливість підсумкової точності до конкретного вибору зразків у цій роботі не вимірювали, тому невідомо, наскільки інший добір змінив би результат. Це обмеження зазначено в розділі 4.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2.5 Класифікація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Класифікація зіставляє граф вхідного зображення з кожним концептом алфавіту. Перед обчисленням відстані працює попередній фільтр складності. Складність графа визначено як </w:t>
      </w:r>
      <m:oMath>
        <m:r>
          <w:rPr>
            <w:sz w:val="20"/>
            <w:szCs w:val="20"/>
          </w:rPr>
          <m:t>C</m:t>
        </m:r>
        <m:r>
          <m:rPr>
            <m:sty m:val="p"/>
          </m:rPr>
          <w:rPr>
            <w:sz w:val="20"/>
            <w:szCs w:val="20"/>
          </w:rPr>
          <m:t>=</m:t>
        </m:r>
        <m:r>
          <m:rPr>
            <m:sty m:val="p"/>
          </m:rPr>
          <w:rPr>
            <w:sz w:val="20"/>
            <w:szCs w:val="20"/>
          </w:rPr>
          <m:t>|</m:t>
        </m:r>
        <m:r>
          <w:rPr>
            <w:sz w:val="20"/>
            <w:szCs w:val="20"/>
          </w:rPr>
          <m:t>V</m:t>
        </m:r>
        <m:r>
          <m:rPr>
            <m:sty m:val="p"/>
          </m:rPr>
          <w:rPr>
            <w:sz w:val="20"/>
            <w:szCs w:val="20"/>
          </w:rPr>
          <m:t>|</m:t>
        </m:r>
        <m:r>
          <m:rPr>
            <m:sty m:val="p"/>
          </m:rPr>
          <w:rPr>
            <w:sz w:val="20"/>
            <w:szCs w:val="20"/>
          </w:rPr>
          <m:t>+</m:t>
        </m:r>
        <m:r>
          <m:rPr>
            <m:sty m:val="p"/>
          </m:rPr>
          <w:rPr>
            <w:sz w:val="20"/>
            <w:szCs w:val="20"/>
          </w:rPr>
          <m:t>|</m:t>
        </m:r>
        <m:r>
          <w:rPr>
            <w:sz w:val="20"/>
            <w:szCs w:val="20"/>
          </w:rPr>
          <m:t>E</m:t>
        </m:r>
        <m:r>
          <m:rPr>
            <m:sty m:val="p"/>
          </m:rPr>
          <w:rPr>
            <w:sz w:val="20"/>
            <w:szCs w:val="20"/>
          </w:rPr>
          <m:t>|</m:t>
        </m:r>
      </m:oMath>
      <w:r>
        <w:rPr>
          <w:rFonts w:ascii="Times New Roman" w:hAnsi="Times New Roman"/>
          <w:b w:val="0"/>
          <w:i w:val="0"/>
          <w:sz w:val="20"/>
        </w:rPr>
        <w:t>, тобто суму кількості вузлів і кількості ребер. Концепти, складність яких перевищує складність вхідного графа, відкидаються ще до порівняння.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Міру відмінності двох графів дає GED — мінімальна сумарна вартість послідовності операцій, яка перетворює один граф на інший. Операціями редагування є вставлення, вилучення та заміщення вузлів і ребер. Точне обчислення GED є NP-складною задачею, тому практичні системи спираються на наближені алгоритми [18]. У цій роботі відстань обчислює anytime-розв'язувач, який шукає оптимальні шляхи редагування з обмеженням часу 5 с на одне порівняння "зображення — концепт" і повертає найкращий знайдений на цей момент результат.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Вартості заміщення задано монотонною шкалою: NO_COST = 0, MINOR = 0,25, GENERAL = 0,5, SEVERE = 0,8, NO_MATCH = 1,0 та IMPOSSIBLE = 6,0. Рівень IMPOSSIBLE призначено несумісним типам вузлів; його вартість фактично блокує таке заміщення.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Порівняння вузлів спирається на 13 ознак: нормалізовані координати, відстань до центроїда, горизонтальний і вертикальний напрямки, кут з віссю абсцис, мінімальний кут у вузлі розгалуження, індикатор кінцевої точки, індикатор кутової точки, відношення довжини до максимальної, середню довжину сусідніх векторів, кількість сусідніх кінцевих точок і кількість сусідніх розгалужень.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Внесок ознаки у вартість заміщення зважено діагностично: вага обернено пропорційна ширині інтервалу цієї ознаки у вузлі концепту (3):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sSub>
            <m:e>
              <m:r>
                <w:rPr>
                  <w:sz w:val="20"/>
                  <w:szCs w:val="20"/>
                </w:rPr>
                <m:t>w</m:t>
              </m:r>
            </m:e>
            <m:sub>
              <m:r>
                <w:rPr>
                  <w:sz w:val="20"/>
                  <w:szCs w:val="20"/>
                </w:rPr>
                <m:t>f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=</m:t>
          </m:r>
          <m:f>
            <m:fPr>
              <m:type m:val="bar"/>
            </m:fPr>
            <m:num>
              <m:r>
                <w:rPr>
                  <w:sz w:val="20"/>
                  <w:szCs w:val="20"/>
                </w:rPr>
                <m:t>1</m:t>
              </m:r>
            </m:num>
            <m:den>
              <m:sSub>
                <m:e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Δ</m:t>
                  </m:r>
                </m:e>
                <m:sub>
                  <m:r>
                    <w:rPr>
                      <w:sz w:val="20"/>
                      <w:szCs w:val="20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w:rPr>
                  <w:sz w:val="20"/>
                  <w:szCs w:val="20"/>
                </w:rPr>
                <m:t>ε</m:t>
              </m:r>
            </m:den>
          </m:f>
        </m:oMath>
      </m:oMathPara>
      <w:r>
        <w:rPr>
          <w:rFonts w:ascii="Times New Roman" w:hAnsi="Times New Roman"/>
          <w:b w:val="0"/>
          <w:i w:val="0"/>
          <w:sz w:val="20"/>
        </w:rPr>
        <w:tab/>
        <w:t>(3)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sSub>
          <m:e>
            <m:r>
              <m:rPr>
                <m:sty m:val="p"/>
              </m:rPr>
              <w:rPr>
                <w:sz w:val="20"/>
                <w:szCs w:val="20"/>
              </w:rPr>
              <m:t>Δ</m:t>
            </m:r>
          </m:e>
          <m:sub>
            <m:r>
              <w:rPr>
                <w:sz w:val="20"/>
                <w:szCs w:val="20"/>
              </w:rPr>
              <m:t>f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— ширина інтервалу ознаки </w:t>
      </w:r>
      <m:oMath>
        <m:r>
          <w:rPr>
            <w:sz w:val="20"/>
            <w:szCs w:val="20"/>
          </w:rPr>
          <m:t>f</m:t>
        </m:r>
      </m:oMath>
      <w:r>
        <w:rPr>
          <w:rFonts w:ascii="Times New Roman" w:hAnsi="Times New Roman"/>
          <w:b w:val="0"/>
          <w:i w:val="0"/>
          <w:sz w:val="20"/>
        </w:rPr>
        <w:t xml:space="preserve"> у вузлі концепту, </w:t>
      </w:r>
      <m:oMath>
        <m:r>
          <w:rPr>
            <w:sz w:val="20"/>
            <w:szCs w:val="20"/>
          </w:rPr>
          <m:t>ε</m:t>
        </m:r>
      </m:oMath>
      <w:r>
        <w:rPr>
          <w:rFonts w:ascii="Times New Roman" w:hAnsi="Times New Roman"/>
          <w:b w:val="0"/>
          <w:i w:val="0"/>
          <w:sz w:val="20"/>
        </w:rPr>
        <w:t xml:space="preserve"> = 0,1 — згладжувальний доданок. Вузький інтервал значень означає, що ознака стабільна в усіх навчальних зразках, тому вона несе сильніший діагностичний сигнал і важить більше. Широкий інтервал майже не впливає на вартість. Значення поза інтервалом концепту отримує повний штраф NO_MATCH.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Сумарну вартість редагування </w:t>
      </w:r>
      <m:oMath>
        <m:r>
          <w:rPr>
            <w:sz w:val="20"/>
            <w:szCs w:val="20"/>
          </w:rPr>
          <m:t>c</m:t>
        </m:r>
      </m:oMath>
      <w:r>
        <w:rPr>
          <w:rFonts w:ascii="Times New Roman" w:hAnsi="Times New Roman"/>
          <w:b w:val="0"/>
          <w:i w:val="0"/>
          <w:sz w:val="20"/>
        </w:rPr>
        <w:t xml:space="preserve"> переводять у подібність за формулою (4):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i</m:t>
          </m:r>
          <m:r>
            <m:rPr>
              <m:sty m:val="p"/>
            </m:rPr>
            <w:rPr>
              <w:sz w:val="20"/>
              <w:szCs w:val="20"/>
            </w:rPr>
            <m:t>m</m:t>
          </m:r>
          <m:r>
            <m:rPr>
              <m:sty m:val="p"/>
            </m:rPr>
            <w:rPr>
              <w:sz w:val="20"/>
              <w:szCs w:val="20"/>
            </w:rPr>
            <m:t>(</m:t>
          </m:r>
          <m:sSub>
            <m:e>
              <m:r>
                <w:rPr>
                  <w:sz w:val="20"/>
                  <w:szCs w:val="20"/>
                </w:rPr>
                <m:t>G</m:t>
              </m:r>
            </m:e>
            <m:sub>
              <m:r>
                <w:rPr>
                  <w:sz w:val="20"/>
                  <w:szCs w:val="20"/>
                </w:rPr>
                <m:t>1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,</m:t>
          </m:r>
          <m:sSub>
            <m:e>
              <m:r>
                <w:rPr>
                  <w:sz w:val="20"/>
                  <w:szCs w:val="20"/>
                </w:rPr>
                <m:t>G</m:t>
              </m:r>
            </m:e>
            <m:sub>
              <m:r>
                <w:rPr>
                  <w:sz w:val="20"/>
                  <w:szCs w:val="20"/>
                </w:rPr>
                <m:t>2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)</m:t>
          </m:r>
          <m:r>
            <m:rPr>
              <m:sty m:val="p"/>
            </m:rPr>
            <w:rPr>
              <w:sz w:val="20"/>
              <w:szCs w:val="20"/>
            </w:rPr>
            <m:t>=</m:t>
          </m:r>
          <m:r>
            <w:rPr>
              <w:sz w:val="20"/>
              <w:szCs w:val="20"/>
            </w:rPr>
            <m:t>1</m:t>
          </m:r>
          <m:r>
            <m:rPr>
              <m:sty m:val="p"/>
            </m:rPr>
            <w:rPr>
              <w:sz w:val="20"/>
              <w:szCs w:val="20"/>
            </w:rPr>
            <m:t>−</m:t>
          </m:r>
          <m:f>
            <m:fPr>
              <m:type m:val="bar"/>
            </m:fPr>
            <m:num>
              <m:r>
                <w:rPr>
                  <w:sz w:val="20"/>
                  <w:szCs w:val="20"/>
                </w:rPr>
                <m:t>c</m:t>
              </m:r>
            </m:num>
            <m:den>
              <m:r>
                <w:rPr>
                  <w:sz w:val="20"/>
                  <w:szCs w:val="20"/>
                </w:rPr>
                <m:t>c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max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sSub>
                <m:e>
                  <m:r>
                    <w:rPr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r>
                <w:rPr>
                  <w:sz w:val="20"/>
                  <w:szCs w:val="20"/>
                </w:rPr>
                <m:t> </m:t>
              </m:r>
              <m:sSub>
                <m:e>
                  <m:r>
                    <w:rPr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sz w:val="20"/>
                      <w:szCs w:val="20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</m:den>
          </m:f>
        </m:oMath>
      </m:oMathPara>
      <w:r>
        <w:rPr>
          <w:rFonts w:ascii="Times New Roman" w:hAnsi="Times New Roman"/>
          <w:b w:val="0"/>
          <w:i w:val="0"/>
          <w:sz w:val="20"/>
        </w:rPr>
        <w:tab/>
        <w:t>(4)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sSub>
          <m:e>
            <m:r>
              <w:rPr>
                <w:sz w:val="20"/>
                <w:szCs w:val="20"/>
              </w:rPr>
              <m:t>n</m:t>
            </m:r>
          </m:e>
          <m:sub>
            <m:r>
              <w:rPr>
                <w:sz w:val="20"/>
                <w:szCs w:val="20"/>
              </w:rPr>
              <m:t>1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і </w:t>
      </w:r>
      <m:oMath>
        <m:sSub>
          <m:e>
            <m:r>
              <w:rPr>
                <w:sz w:val="20"/>
                <w:szCs w:val="20"/>
              </w:rPr>
              <m:t>n</m:t>
            </m:r>
          </m:e>
          <m:sub>
            <m:r>
              <w:rPr>
                <w:sz w:val="20"/>
                <w:szCs w:val="20"/>
              </w:rPr>
              <m:t>2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— кількості вузлів двох графів. Подібність лежить у діапазоні від 0 до 1, а нормування на більший граф робить її порівнянною для концептів різного розміру.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Переможця обирають за правилом "переможець отримує все" (winner-take-all) з поправкою на складність концепту (5):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c</m:t>
          </m:r>
          <m:r>
            <m:rPr>
              <m:sty m:val="p"/>
            </m:rPr>
            <w:rPr>
              <w:sz w:val="20"/>
              <w:szCs w:val="20"/>
            </w:rPr>
            <m:t>o</m:t>
          </m:r>
          <m:r>
            <m:rPr>
              <m:sty m:val="p"/>
            </m:rPr>
            <w:rPr>
              <w:sz w:val="20"/>
              <w:szCs w:val="20"/>
            </w:rPr>
            <m:t>r</m:t>
          </m:r>
          <m:r>
            <m:rPr>
              <m:sty m:val="p"/>
            </m:rPr>
            <w:rPr>
              <w:sz w:val="20"/>
              <w:szCs w:val="20"/>
            </w:rPr>
            <m:t>e</m:t>
          </m:r>
          <m:r>
            <m:rPr>
              <m:sty m:val="p"/>
            </m:rPr>
            <w:rPr>
              <w:sz w:val="20"/>
              <w:szCs w:val="20"/>
            </w:rPr>
            <m:t>=</m:t>
          </m:r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i</m:t>
          </m:r>
          <m:r>
            <m:rPr>
              <m:sty m:val="p"/>
            </m:rPr>
            <w:rPr>
              <w:sz w:val="20"/>
              <w:szCs w:val="20"/>
            </w:rPr>
            <m:t>m</m:t>
          </m:r>
          <m:r>
            <m:rPr>
              <m:sty m:val="p"/>
            </m:rPr>
            <w:rPr>
              <w:sz w:val="20"/>
              <w:szCs w:val="20"/>
            </w:rPr>
            <m:t>+</m:t>
          </m:r>
          <m:r>
            <w:rPr>
              <w:sz w:val="20"/>
              <w:szCs w:val="20"/>
            </w:rPr>
            <m:t>λ</m:t>
          </m:r>
          <m:sSub>
            <m:e>
              <m:r>
                <m:rPr>
                  <m:sty m:val="p"/>
                </m:rPr>
                <w:rPr>
                  <w:sz w:val="20"/>
                  <w:szCs w:val="20"/>
                </w:rPr>
                <m:t>log</m:t>
              </m:r>
            </m:e>
            <m:sub>
              <m:r>
                <w:rPr>
                  <w:sz w:val="20"/>
                  <w:szCs w:val="20"/>
                </w:rPr>
                <m:t>2</m:t>
              </m:r>
            </m:sub>
          </m:sSub>
          <m:r>
            <w:rPr>
              <w:sz w:val="20"/>
              <w:szCs w:val="20"/>
            </w:rPr>
            <m:t>C</m:t>
          </m:r>
        </m:oMath>
      </m:oMathPara>
      <w:r>
        <w:rPr>
          <w:rFonts w:ascii="Times New Roman" w:hAnsi="Times New Roman"/>
          <w:b w:val="0"/>
          <w:i w:val="0"/>
          <w:sz w:val="20"/>
        </w:rPr>
        <w:tab/>
        <w:t>(5)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r>
          <w:rPr>
            <w:sz w:val="20"/>
            <w:szCs w:val="20"/>
          </w:rPr>
          <m:t>λ</m:t>
        </m:r>
      </m:oMath>
      <w:r>
        <w:rPr>
          <w:rFonts w:ascii="Times New Roman" w:hAnsi="Times New Roman"/>
          <w:b w:val="0"/>
          <w:i w:val="0"/>
          <w:sz w:val="20"/>
        </w:rPr>
        <w:t xml:space="preserve"> = 0,10 — коефіцієнт м'якої переваги складніших концептів за близьких подібностей. Оцінку обчислюють для кожного концепту, який пройшов фільтр складності; перемагає концепт з найбільшою оцінкою. Якщо жоден концепт не активується, зображення позначають як нерозпізнане. Усі параметри порівняння фіксовані, а вся інформація про класи міститься в концептах.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 Результати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3.1 Алфавіт концептів-атракторів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Результати за першим і другим завданнями подано разом: графове подання, побудоване за першим завданням, не має числового результату окремо від структур, сформованих на ньому, тому його викладено у складі сформованого алфавіту.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Структурною редукцією з 76 унікальних навчальних зразків сформовано алфавіт з 13 концептів-атракторів для 10 класів цифр. Готові концепти містять від 3 до 12 вузлів, а на формування одного концепту пішло від 3 до 9 зразків. Розміри концептів і кількість зразків наведено в табл. 1.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1 – Алфавіт концептів: кількість вузлів і навчальних зразків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Концепт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Кількість вузлів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Унікальних зразків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1_3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3.2 Дані оцінювання і фільтр повноти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Стандартний тестовий набір MNIST містить 10 000 зображень [39]. До оцінювання допускалися лише ті з них, контурна структура яких повна, тобто не має розривів штриха. Таких зображень 8 707. Фільтр повноти відсіяв 1 293 зображення, або 12,9 % набору.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Підстава цього обмеження така. Розірваний контур порушує структурні припущення, на яких побудоване подання, і граф такого зображення описує вже іншу фігуру. Розпізнавання розірваних структур потребує окремого механізму — асоціативного розпізнавання, яке в цій роботі не реалізоване. Тому оцінювання обмежене повними структурами. Звідси прямий наслідок: головна метрика є умовною щодо фільтра повноти, і наведені нижче числа не переносяться автоматично на повний тестовий набір MNIST.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Фільтр діє нерівномірно за класами (табл. 2). Найбільше зображень зберігає клас 1 — 1 129, найменше клас 8 — 582, тобто 51,6 % від найбільшого класу. Такий перекіс означає, що покласові показники спираються на різні за обсягом вибірки, і для класу 8 підстава вужча.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2 – Розподіл тестових зображень за класами після фільтра повноти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Клас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Допущено зображень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Частка від найбільшого класу, %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830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73,5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1 129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100,0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956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85,8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796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70,5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742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65,7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1 014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89,8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582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51,6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736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65,2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Разом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8 707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Ще 22 зображення (0,25 %) не пройшли конвеєр побудови графа: скелетизація дала незв'язний граф. Ці випадки зараховано як помилки конвеєра. Класифікаційне рішення ухвалено для 8 685 зображень.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3.3 Точність класифікації загалом і за класами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Підрозділ подає результат за третім і четвертим завданнями разом: якість побудованої процедури класифікації виміряно на даних, описаних у підрозділі 3.2.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 8 685 класифікованих зображеннях точність становить 91,13 %, влучність — 91,92 %, повнота — 91,13 %, F1 — 91,34 %.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Показники за класами мають значно більший розкид, ніж загальні (табл. 3). Найвищу влучність дають класи 0 (99,87 %) і 8 (98,74 %): концепти цих цифр майже не притягують зображень інших класів. Найнижча влучність у класів 7 (82,01 %) і 6 (84,88 %) — вони, навпаки, перебирають на себе зображення сусідніх класів. За повнотою картина інша: найгірше розпізнаються класи 2 (77,59 %) і 4 (84,00 %).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3 – Покласові показники класифікації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Клас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Влучність, %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Повнота, %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F1, %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99,87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91,93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95,73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93,69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96,52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95,08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92,28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77,59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84,30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91,78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95,76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93,73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92,15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84,00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87,89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93,97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91,96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92,95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84,88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92,44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88,50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82,01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95,15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88,10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98,74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94,49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96,57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92,85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92,34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92,59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Система ухвалила 770 помилкових рішень. З них 726 — віднесення до хибного класу, ще 44 — нерозпізнані зображення, для яких жоден концепт не активувався.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Помилки зосереджені на невеликій кількості пар (рис. 2). Найбільші пари сплутування (справжній клас → передбачений): 2→7 — 111 випадків, 4→7 — 62, 2→6 — 57, 4→1 — 52, 9→4 — 46, 5→3 — 43, 0→6 — 42, 1→7 — 26, 7→2 — 26, 2→3 — 25. На перші десять пар припадає понад дві третини всіх хибних віднесень. Два класи дають більшість помилок: клас 2 — 215, клас 4 — 155. Нерозпізнані зображення концентруються в класах 6 (16) і 8 (14).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38676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6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 2 – Матриця сплутування (8 685 класифікованих зображень)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3.4 Трасування рішення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Цей підрозділ і наступний разом відповідають п'ятому завданню: тут показано пояснюваність рішення, у підрозділі 3.5 — вартість виведення.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Структурне подання дає змогу простежити кожне рішення до конкретних величин. Це показано на зображенні mnist_test_2_00766, справжній клас якого 2, а передбачений — 7. Випадок узято навмисно помилковий: пояснення має працювати й тоді, коли рішення хибне. Побудову графа і концепти-конкуренти показано на рис. 3, хід рішення — у табл. 4.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42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2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 3 – Побудова графа та конкурентні концепти для зображення mnist_test_2_00766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Граф зображення має складність 21. Перший крок — фільтр складності. Багатший концепт двійки 2_2 має 12 вузлів і складність 24, тож умова 24 &gt; 21 відкидає його ще до порівняння. Причину збіднення входу видно з самого зображення: нижня петля двійки втрачена ще під час бінаризації, замкнена структура перетворилася на незамкнений відросток, і в графі немає ні циклу, ні точки перетину.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Далі конкурують два концепти. У концепту 7_1 п'ять вузлів, усі вони заміщені в межах інтервалів концепту, вартості заміщень лежать у діапазоні 0,04–0,39, подібність — 0,8317. Концепт 2_1 має сім вузлів і структурно відповідає входу, проте три ознаки виходять за інтервали концепту й отримують повний штраф: distance_to_centroid — 1,01, normalized_x — 1,10, length_ratio_to_max — 1,30. Його подібність — 0,7300. Перемагає 7_1 з розривом 0,10 за подібністю.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4 – Хід ухвалення рішення для зображення mnist_test_2_00766 (складність вхідного графа 21)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Концепт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Вузлів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Результат зіставлення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Подібність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2_2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складність 24 &gt; 21 — відсічений пре-фільтром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7_1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усі 5 вузлів у межах інтервалів, вартості 0,04–0,39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0,8317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три ознаки поза інтервалами: distance_to_centroid (1,01), normalized_x (1,10), length_ratio_to_max (1,30)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0,7300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Рішення розкладається на три складники: іменований концепт-атрактор, перелік заміщень вузлів і вартості за окремими ознаками. Кожну з цих величин можна перевірити за даними прогону.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Описаний механізм не обмежується одним прикладом. Серед усіх 111 помилок 2→7 концепт 2_2 відсічено фільтром складності у 86 випадках (77,5 %). Сам фільтр, однак, не є причиною помилки: у контрольному прогоні зі знятим фільтром складності 2_2 не виграв жодного з 111 випадків, бо його зупиняє структурна умова щодо точок перетину, а не порівняння складності. Концепт 2_1 конкурував у всіх 111 випадках і в усіх програв за подібністю, середній розрив — 0,14. Випадків, де концепт двійки вигравав за подібністю і програвав уже через поправку на складність, немає жодного. Отже, домінантна помилка виникає на двох етапах: втрата топології під час бінаризації та повні штрафи інтервального зважування. Поправка на складність на неї не впливає.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3.5 Обчислювальна вартість виведення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Теоретична верхня межа часу на одне зображення — 65 с (13 концептів за обмеження 5 с на кожне порівняння). Вимірювання показують, що ця межа не досягається.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Усі вимірювання виконано на одній робочій станції; конвеєр розгорнуто у 24 контейнерах Docker: чотири екземпляри скелетизації, чотири — контурного аналізу і шістнадцять — класифікації. Тривалості прогону загалом система не фіксує, тому наскрізної пропускної здатності тут не наведено: далі йдуть лише поетапні вимірювання, взяті безпосередньо із записів профілювання.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Вимірювання за етапами конвеєра взято із записів профілювання. Профілювалися лише неправильно класифіковані зображення — 770 записів. Це зміщена підмножина: правильно класифіковані зображення до неї не потрапляють, тому наведені величини характеризують саме помилкові випадки. Напрям зміщення за наявними даними не визначений: кількість порівнянь GED задають фільтр складності та гейтинг, а не правильність підсумкового рішення, тому наведені величини не можна вважати ані верхньою, ані нижньою оцінкою типового випадку. Медіана скелетизації становить 52,8 мс за максимуму 533 мс. Медіана контурного аналізу — 211,5 мс за максимуму 1 905 мс. Стадія класифікації, тобто всі порівняння GED для одного зображення разом, має медіану 167,1 мс, 99-й процентиль 835 мс і максимум 1 414 мс.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Жодне з профільованих зображень не наблизилося до п'ятисекундного обмеження часу одного порівняння. Хронометраж окремого порівняння GED система поки що не зберігає. Його систематичне вимірювання, яке охопить і правильно класифіковані зображення, лишається предметом подальшої роботи.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4 Обговорення результатів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Пояснення у цій системі збігається з самим рішенням. Немає окремої моделі, яка наближала б поведінку класифікатора ззовні: щоб зрозуміти вибір, достатньо відкрити граф зображення, подивитися на навчені інтервали концепту-атрактора і на вартість кожної ознаки. Трасування з підрозділу 3.4 показує весь ланцюг — від фільтра складності до конкретного числа 1,10 за ознакою normalized_x. Цим виконано дві з умов, перелічених у підрозділі 1.2: структура подання є носієм і рішення, і пояснення, а вартості зіставлення прив'язані до наперед визначених геометричних характеристик, а не засвоєні з даних.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Те саме стосується помилок. Механізм домінантної пари 2→7 локалізовано на двох етапах: втрата петлі під час бінаризації та повні штрафи за трьома ознаками. Помилку можна назвати поіменно і перевірити її поширеність на всіх 111 випадках. Самі помилки концентруються на структурно близьких парах цифр, що узгоджується з природою подання: якщо контури двох цифр після редукції дають схожі графи, різницю має забезпечити інтервальне зважування ознак, і саме воно іноді не спрацьовує. Покласові показники це підтверджують: найвищу влучність мають класи 0 (99,87 %) і 8 (98,74 %), написання яких зберігає замкнену петлю як стійку топологічну ознаку, тоді як помилки зосереджені на парах, де така ознака втрачається ще на бінаризації.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Практична ніша методу визначається простежуваністю рішення. Це задачі, де відповідь має бути придатною до аудиту: верифікація рукописних позначень у документообігу, промислове розпізнавання маркування, навчальні системи, які мають показати учневі причину оцінки. У ширшому плані метод придатний як дослідницька платформа для структурного розпізнавання з малими навчальними вибірками, оскільки один концепт формується з 3–9 зразків. Зв'язок із промисловістю визначають ті самі властивості: у названих задачах кожне спірне рішення розбирає людина, тому запис рішення у вигляді концепту, переліку заміщень і повартісного розкладу можна долучити до протоколу розбору без окремого пояснювального модуля. Мала навчальна вибірка знижує й вартість запуску на новому наборі позначень: розмічувати десятки тисяч прикладів не потрібно.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Раніше опублікований результат прототипу на шести класах становив 82,44 % за 5–6 зразків на клас і один прохід формування [32]. Поточна робота розширює оцінювання до десяти класів і до повного тестового розподілу зображень з повними контурами. Пряме зіставлення цих чисел обмежене: набір класів, обсяг тестової вибірки та процедура формування концептів різні, тому різниця між 82,44 % і 91,13 % не вимірює ефекту окремої зміни в методі.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Обмеження роботи такі. По-перше, головна метрика умовна щодо фільтра повноти: 12,9 % тестових зображень виключено, а перекіс за класами робить підставу для класу 8 найвужчою. По-друге, точне обчислення GED є NP-складною задачею; вартість виведення виміряна, але профільована підмножина охоплює лише помилкові зображення, а хронометражу окремих порівнянь немає. По-третє, інваріантність до повороту обмежена діапазоном аугментації ±10° і поза ним не гарантується. По-четверте, контурне подання відкидає текстуру і градієнти, тому його застосування обмежене силуетними та штриховими зображеннями. По-п'яте, чутливість результату до ручного відбору 76 навчальних зразків не вимірювалася, і частина точності може походити з вдалого відбору. По-шосте, розпізнавання розірваних контурів потребує окремого механізму асоціативного розпізнавання, якого в системі поки немає.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Подальша робота передбачає чотири напрями: асоціативне розпізнавання розірваних контурів, вимірювання чутливості точності до відбору навчальних зразків, хронометраж окремих порівнянь GED на всьому тестовому наборі та розширення методу на інші алфавіти символів.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5 Висновки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1. Контурні зображення подано атрибутованими двочастковими графами, у яких вузли-точки й вузли-вектори чергуються, а геометричні та семантичні характеристики зберігаються безпосередньо в елементах графа. Подання дає 13 ознак вузла, на яких далі будується порівняння, тому рішення класифікатора спирається на вимірювані величини, а не на приховані ваги.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2. Структурною редукцією без зворотного поширення помилки сформовано алфавіт з 13 концептів-атракторів для 10 класів. На один концепт пішло від 3 до 9 унікальних зразків, разом 76, а готові концепти містять від 3 до 12 вузлів. Класи 1, 2 і 4 потребували по два підконцепти, бо їхні написання топологічно не зводяться одне до одного редукцією.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3. Класифікація за відстанню редагування графів з діагностичним зважуванням ознак розпізнає 8 685 повноконтурних зображень MNIST з точністю 91,13 % за влучності 91,92 %, повноти 91,13 % і F1 91,34 %. Покласові показники мають значно більший розкид: влучність змінюється від 82,01 % у класу 7 до 99,87 % у класу 0, а повнота — від 77,59 % у класу 2 до 96,52 % у класу 1.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4. Оцінювання проведено на підмножині повних контурів з явним розкриттям фільтра. З тестового набору MNIST виключено 12,9 % зображень, причому фільтр діє нерівномірно за класами — клас 8 зберігає 51,6 % від обсягу найбільшого класу. Головна метрика є умовною щодо цього фільтра, а її перенесення на повний набір потребує механізму асоціативного розпізнавання.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5. Пояснюваність продемонстровано трасуванням окремого рішення: воно розкладається на іменований концепт-атрактор, перелік заміщень вузлів і вартості за окремими ознаками. Механізм домінантної помилки 2→7 локалізовано на 111 випадках: у 77,5 % з них багатший концепт двійки відсікається фільтром складності після втрати топології на етапі бінаризації. Вартість виведення виміряно поетапно — медіана етапу класифікації 167,1 мс, 99-й процентиль 835 мс, максимум 1 414 мс, — і п'ятисекундний дедлайн одного порівняння не досягається на жодному зображенні.</w:t>
      </w:r>
    </w:p>
    <w:p>
      <w:pPr>
        <w:spacing w:lineRule="exact" w:line="280" w:before="0" w:after="0"/>
        <w:jc w:val="both"/>
      </w:pP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Конфлікт інтересів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Автор заявляє про відсутність конфлікту інтересів, зокрема фінансового, особистого, професійного чи іншого характеру, який міг би вплинути на проведення дослідження, інтерпретацію або публікацію його результатів.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Фінансування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Дослідження виконано без фінансової підтримки.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Доступність даних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Дані, що підтверджують результати цього дослідження, доступні у відкритому репозиторії проєкту NaturalAGI за посиланням https://github.com/kbokh/NaturalAGI (артефакти прогону наведено в каталозі experiments/run_20260630_235356/).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Використання інструментів штучного інтелекту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[TODO — заповнює автор. Обрати варіант за вимогами редакції та подати заяву тут; факти для декларації наведено в коментарі перед цим полем у content.py.]</w:t>
      </w:r>
    </w:p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References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1. Ribeiro, M., Singh, S., Guestrin, C. (2016), "Why should I trust you?: explaining the predictions of any classifier", </w:t>
      </w:r>
      <w:r>
        <w:rPr>
          <w:rFonts w:ascii="Times New Roman" w:hAnsi="Times New Roman"/>
          <w:b w:val="0"/>
          <w:i/>
          <w:sz w:val="20"/>
        </w:rPr>
        <w:t>Proceedings of the 22nd ACM SIGKDD International Conference on Knowledge Discovery and Data Mining</w:t>
      </w:r>
      <w:r>
        <w:rPr>
          <w:rFonts w:ascii="Times New Roman" w:hAnsi="Times New Roman"/>
          <w:b w:val="0"/>
          <w:i w:val="0"/>
          <w:sz w:val="20"/>
        </w:rPr>
        <w:t>, pp. 1135–1144. DOI: https://doi.org/10.1145/2939672.2939778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Lundberg, S., Lee, S. (2017), "A unified approach to interpreting model predictions",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30, pp. 4765–4774. DOI: https://doi.org/10.48550/arXiv.1705.07874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Slack, D., Hilgard, S., Jia, E., Singh, S., Lakkaraju, H. (2020), "Fooling LIME and SHAP: adversarial attacks on post-hoc explanation methods", </w:t>
      </w:r>
      <w:r>
        <w:rPr>
          <w:rFonts w:ascii="Times New Roman" w:hAnsi="Times New Roman"/>
          <w:b w:val="0"/>
          <w:i/>
          <w:sz w:val="20"/>
        </w:rPr>
        <w:t>Proceedings of the AAAI/ACM Conference on AI, Ethics, and Society</w:t>
      </w:r>
      <w:r>
        <w:rPr>
          <w:rFonts w:ascii="Times New Roman" w:hAnsi="Times New Roman"/>
          <w:b w:val="0"/>
          <w:i w:val="0"/>
          <w:sz w:val="20"/>
        </w:rPr>
        <w:t>, pp. 180–186. DOI: https://doi.org/10.1145/3375627.3375830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Hooshyar, D., Yang, Y. (2024), "Problems with SHAP and LIME in interpretable AI for education: a comparative study of post-hoc explanations and neural-symbolic rule extraction", </w:t>
      </w:r>
      <w:r>
        <w:rPr>
          <w:rFonts w:ascii="Times New Roman" w:hAnsi="Times New Roman"/>
          <w:b w:val="0"/>
          <w:i/>
          <w:sz w:val="20"/>
        </w:rPr>
        <w:t>IEEE Access</w:t>
      </w:r>
      <w:r>
        <w:rPr>
          <w:rFonts w:ascii="Times New Roman" w:hAnsi="Times New Roman"/>
          <w:b w:val="0"/>
          <w:i w:val="0"/>
          <w:sz w:val="20"/>
        </w:rPr>
        <w:t>, Vol. 12, pp. 137472–137490. DOI: https://doi.org/10.1109/ACCESS.2024.3463948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Rudin, C. (2019), "Stop explaining black box machine learning models for high stakes decisions and use interpretable models instead", </w:t>
      </w:r>
      <w:r>
        <w:rPr>
          <w:rFonts w:ascii="Times New Roman" w:hAnsi="Times New Roman"/>
          <w:b w:val="0"/>
          <w:i/>
          <w:sz w:val="20"/>
        </w:rPr>
        <w:t>Nature Machine Intelligence</w:t>
      </w:r>
      <w:r>
        <w:rPr>
          <w:rFonts w:ascii="Times New Roman" w:hAnsi="Times New Roman"/>
          <w:b w:val="0"/>
          <w:i w:val="0"/>
          <w:sz w:val="20"/>
        </w:rPr>
        <w:t>, Vol. 1, No. 5, pp. 206–215. DOI: https://doi.org/10.1038/s42256-019-0048-x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Baniecki, H., Biecek, P. (2024), "Adversarial attacks and defenses in explainable artificial intelligence: a survey", </w:t>
      </w:r>
      <w:r>
        <w:rPr>
          <w:rFonts w:ascii="Times New Roman" w:hAnsi="Times New Roman"/>
          <w:b w:val="0"/>
          <w:i/>
          <w:sz w:val="20"/>
        </w:rPr>
        <w:t>Information Fusion</w:t>
      </w:r>
      <w:r>
        <w:rPr>
          <w:rFonts w:ascii="Times New Roman" w:hAnsi="Times New Roman"/>
          <w:b w:val="0"/>
          <w:i w:val="0"/>
          <w:sz w:val="20"/>
        </w:rPr>
        <w:t>, Vol. 107, 102303. DOI: https://doi.org/10.1016/j.inffus.2024.102303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Bello, M., Amador, R., García, M., Del Ser, J., Mesejo, P., Cordón, Ó. (2025), "The level of strength of an explanation: a quantitative evaluation technique for post-hoc XAI methods",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161, 111221. DOI: https://doi.org/10.1016/j.patcog.2024.111221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Rajabi, E., Etminani, K. (2024), "Knowledge-graph-based explainable AI: a systematic review", </w:t>
      </w:r>
      <w:r>
        <w:rPr>
          <w:rFonts w:ascii="Times New Roman" w:hAnsi="Times New Roman"/>
          <w:b w:val="0"/>
          <w:i/>
          <w:sz w:val="20"/>
        </w:rPr>
        <w:t>Journal of Information Science</w:t>
      </w:r>
      <w:r>
        <w:rPr>
          <w:rFonts w:ascii="Times New Roman" w:hAnsi="Times New Roman"/>
          <w:b w:val="0"/>
          <w:i w:val="0"/>
          <w:sz w:val="20"/>
        </w:rPr>
        <w:t>, Vol. 50, No. 4, pp. 1019–1029. DOI: https://doi.org/10.1177/01655515221112844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Forest, F., Rombach, K., Fink, O. (2025), "Interpretable prognostics with concept bottleneck models", </w:t>
      </w:r>
      <w:r>
        <w:rPr>
          <w:rFonts w:ascii="Times New Roman" w:hAnsi="Times New Roman"/>
          <w:b w:val="0"/>
          <w:i/>
          <w:sz w:val="20"/>
        </w:rPr>
        <w:t>Information Fusion</w:t>
      </w:r>
      <w:r>
        <w:rPr>
          <w:rFonts w:ascii="Times New Roman" w:hAnsi="Times New Roman"/>
          <w:b w:val="0"/>
          <w:i w:val="0"/>
          <w:sz w:val="20"/>
        </w:rPr>
        <w:t>, Vol. 124, 103427. DOI: https://doi.org/10.1016/j.inffus.2025.103427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10. Sovatzidi, G., Vasilakakis, M., Iakovidis, D. (2026), "Intuitionistic fuzzy cognitive maps for interpretable image classification", </w:t>
      </w:r>
      <w:r>
        <w:rPr>
          <w:rFonts w:ascii="Times New Roman" w:hAnsi="Times New Roman"/>
          <w:b w:val="0"/>
          <w:i/>
          <w:sz w:val="20"/>
        </w:rPr>
        <w:t>Knowledge-Based Systems</w:t>
      </w:r>
      <w:r>
        <w:rPr>
          <w:rFonts w:ascii="Times New Roman" w:hAnsi="Times New Roman"/>
          <w:b w:val="0"/>
          <w:i w:val="0"/>
          <w:sz w:val="20"/>
        </w:rPr>
        <w:t>, Vol. 346, 116130. DOI: https://doi.org/10.1016/j.knosys.2026.116130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11. García-Cuesta, E., Manrique, D., Ionescu, R. (2025), "Interpretable deep prototype-based neural networks: can a 1 look like a 0?", </w:t>
      </w:r>
      <w:r>
        <w:rPr>
          <w:rFonts w:ascii="Times New Roman" w:hAnsi="Times New Roman"/>
          <w:b w:val="0"/>
          <w:i/>
          <w:sz w:val="20"/>
        </w:rPr>
        <w:t>Electronics</w:t>
      </w:r>
      <w:r>
        <w:rPr>
          <w:rFonts w:ascii="Times New Roman" w:hAnsi="Times New Roman"/>
          <w:b w:val="0"/>
          <w:i w:val="0"/>
          <w:sz w:val="20"/>
        </w:rPr>
        <w:t>, Vol. 14, No. 18, 3584. DOI: https://doi.org/10.3390/electronics14183584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12. Han, K., Wang, Y., Guo, J., Tang, Y., Wu, E. (2022), "Vision GNN: an image is worth graph of nodes",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35, pp. 8291–8303. DOI: https://doi.org/10.52202/068431-0603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13. Chatbri, H., Kameyama, K., Kwan, P. (2016), "A comparative study using contours and skeletons as shape representations for binary image matching",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76, pp. 59–66. DOI: https://doi.org/10.1016/j.patrec.2015.04.007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14. Shen, W., Jiang, Y., Gao, W., Zeng, D., Wang, X. (2016), "Shape recognition by bag of skeleton-associated contour parts",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83, pp. 321–329. DOI: https://doi.org/10.1016/j.patrec.2016.02.002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15. Elsharkawi, I., Sharara, H., Rafea, A. (2026), "ViG-LRGC: vision graph neural networks with learnable reparameterized graph construction",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207, pp. 36–41. DOI: https://doi.org/10.1016/j.patrec.2026.06.001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16. Senior, H., Slabaugh, G., Yuan, S., Rossi, L. (2025), "Graph neural networks in vision-language image understanding: a survey", </w:t>
      </w:r>
      <w:r>
        <w:rPr>
          <w:rFonts w:ascii="Times New Roman" w:hAnsi="Times New Roman"/>
          <w:b w:val="0"/>
          <w:i/>
          <w:sz w:val="20"/>
        </w:rPr>
        <w:t>The Visual Computer</w:t>
      </w:r>
      <w:r>
        <w:rPr>
          <w:rFonts w:ascii="Times New Roman" w:hAnsi="Times New Roman"/>
          <w:b w:val="0"/>
          <w:i w:val="0"/>
          <w:sz w:val="20"/>
        </w:rPr>
        <w:t>, Vol. 41, No. 1, pp. 491–516. DOI: https://doi.org/10.1007/s00371-024-03343-0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17. Conte, D., Foggia, P., Sansone, C., Vento, M. (2004), "Thirty years of graph matching in pattern recognition", </w:t>
      </w:r>
      <w:r>
        <w:rPr>
          <w:rFonts w:ascii="Times New Roman" w:hAnsi="Times New Roman"/>
          <w:b w:val="0"/>
          <w:i/>
          <w:sz w:val="20"/>
        </w:rPr>
        <w:t>International Journal of Pattern Recognition and Artificial Intelligence</w:t>
      </w:r>
      <w:r>
        <w:rPr>
          <w:rFonts w:ascii="Times New Roman" w:hAnsi="Times New Roman"/>
          <w:b w:val="0"/>
          <w:i w:val="0"/>
          <w:sz w:val="20"/>
        </w:rPr>
        <w:t>, Vol. 18, No. 3, pp. 265–298. DOI: https://doi.org/10.1142/S0218001404003228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18. Riesen, K., Bunke, H. (2009), "Approximate graph edit distance computation by means of bipartite graph matching", </w:t>
      </w:r>
      <w:r>
        <w:rPr>
          <w:rFonts w:ascii="Times New Roman" w:hAnsi="Times New Roman"/>
          <w:b w:val="0"/>
          <w:i/>
          <w:sz w:val="20"/>
        </w:rPr>
        <w:t>Image and Vision Computing</w:t>
      </w:r>
      <w:r>
        <w:rPr>
          <w:rFonts w:ascii="Times New Roman" w:hAnsi="Times New Roman"/>
          <w:b w:val="0"/>
          <w:i w:val="0"/>
          <w:sz w:val="20"/>
        </w:rPr>
        <w:t>, Vol. 27, No. 7, pp. 950–959. DOI: https://doi.org/10.1016/j.imavis.2008.04.004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19. Wang, R., Zhang, T., Yu, T., Yan, J., Yang, X. (2021), "Combinatorial learning of graph edit distance via dynamic embedding", </w:t>
      </w:r>
      <w:r>
        <w:rPr>
          <w:rFonts w:ascii="Times New Roman" w:hAnsi="Times New Roman"/>
          <w:b w:val="0"/>
          <w:i/>
          <w:sz w:val="20"/>
        </w:rPr>
        <w:t>2021 IEEE/CVF Conference on Computer Vision and Pattern Recognition (CVPR)</w:t>
      </w:r>
      <w:r>
        <w:rPr>
          <w:rFonts w:ascii="Times New Roman" w:hAnsi="Times New Roman"/>
          <w:b w:val="0"/>
          <w:i w:val="0"/>
          <w:sz w:val="20"/>
        </w:rPr>
        <w:t>, pp. 5237–5246. DOI: https://doi.org/10.1109/CVPR46437.2021.00520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20. Piao, C., Xu, T., Sun, X., Rong, Y., Zhao, K., Cheng, H. (2023), "Computing graph edit distance via neural graph matching", </w:t>
      </w:r>
      <w:r>
        <w:rPr>
          <w:rFonts w:ascii="Times New Roman" w:hAnsi="Times New Roman"/>
          <w:b w:val="0"/>
          <w:i/>
          <w:sz w:val="20"/>
        </w:rPr>
        <w:t>Proceedings of the VLDB Endowment</w:t>
      </w:r>
      <w:r>
        <w:rPr>
          <w:rFonts w:ascii="Times New Roman" w:hAnsi="Times New Roman"/>
          <w:b w:val="0"/>
          <w:i w:val="0"/>
          <w:sz w:val="20"/>
        </w:rPr>
        <w:t>, Vol. 16, No. 8, pp. 1817–1829. DOI: https://doi.org/10.14778/3594512.3594514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21. Tang, J., Zhao, X., Kong, L., Zhou, X., Li, J. (2025), "Fused Gromov-Wasserstein alignment for graph edit distance computation and beyond", </w:t>
      </w:r>
      <w:r>
        <w:rPr>
          <w:rFonts w:ascii="Times New Roman" w:hAnsi="Times New Roman"/>
          <w:b w:val="0"/>
          <w:i/>
          <w:sz w:val="20"/>
        </w:rPr>
        <w:t>Proceedings of the VLDB Endowment</w:t>
      </w:r>
      <w:r>
        <w:rPr>
          <w:rFonts w:ascii="Times New Roman" w:hAnsi="Times New Roman"/>
          <w:b w:val="0"/>
          <w:i w:val="0"/>
          <w:sz w:val="20"/>
        </w:rPr>
        <w:t>, Vol. 18, No. 10, pp. 3641–3654. DOI: https://doi.org/10.14778/3748191.3748221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22. Moscatelli, A., Bérar, M., Héroux, P., Yger, F., Adam, S. (2026), "Edges: an expressive and efficient model for learning graph edit distance",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179, 113764. DOI: https://doi.org/10.1016/j.patcog.2026.113764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23. Gan, J., Chen, Y., Hu, B., Leng, J., Wang, W., Gao, X. (2023), "Characters as graphs: interpretable handwritten Chinese character recognition via Pyramid Graph Transformer",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137, 109317. DOI: https://doi.org/10.1016/j.patcog.2023.109317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24. Dong, Y., Wu, B., Ma, J., Li, X. (2026), "Graph-based radical structure tree representation for zero-shot Chinese character recognition",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177, 113314. DOI: https://doi.org/10.1016/j.patcog.2026.113314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25. Snell, J., Swersky, K., Zemel, R. (2017), "Prototypical networks for few-shot learning",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30, pp. 4077–4087. DOI: https://doi.org/10.48550/arXiv.1703.05175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26. Finn, C., Abbeel, P., Levine, S. (2017), "Model-agnostic meta-learning for fast adaptation of deep networks", </w:t>
      </w:r>
      <w:r>
        <w:rPr>
          <w:rFonts w:ascii="Times New Roman" w:hAnsi="Times New Roman"/>
          <w:b w:val="0"/>
          <w:i/>
          <w:sz w:val="20"/>
        </w:rPr>
        <w:t>Proceedings of the 34th International Conference on Machine Learning</w:t>
      </w:r>
      <w:r>
        <w:rPr>
          <w:rFonts w:ascii="Times New Roman" w:hAnsi="Times New Roman"/>
          <w:b w:val="0"/>
          <w:i w:val="0"/>
          <w:sz w:val="20"/>
        </w:rPr>
        <w:t>, PMLR, Vol. 70, pp. 1126–1135. DOI: https://doi.org/10.48550/arXiv.1703.03400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27. Lake, B., Salakhutdinov, R., Tenenbaum, J. (2015), "Human-level concept learning through probabilistic program induction", </w:t>
      </w:r>
      <w:r>
        <w:rPr>
          <w:rFonts w:ascii="Times New Roman" w:hAnsi="Times New Roman"/>
          <w:b w:val="0"/>
          <w:i/>
          <w:sz w:val="20"/>
        </w:rPr>
        <w:t>Science</w:t>
      </w:r>
      <w:r>
        <w:rPr>
          <w:rFonts w:ascii="Times New Roman" w:hAnsi="Times New Roman"/>
          <w:b w:val="0"/>
          <w:i w:val="0"/>
          <w:sz w:val="20"/>
        </w:rPr>
        <w:t>, Vol. 350, No. 6266, pp. 1332–1338. DOI: https://doi.org/10.1126/science.aab3050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28. Ji, Z., Wei, R., Liu, J., Pang, Y., Han, J. (2026), "Interpretable few-shot image classification via prototypical concept-guided mixture of LoRA experts", </w:t>
      </w:r>
      <w:r>
        <w:rPr>
          <w:rFonts w:ascii="Times New Roman" w:hAnsi="Times New Roman"/>
          <w:b w:val="0"/>
          <w:i/>
          <w:sz w:val="20"/>
        </w:rPr>
        <w:t>IEEE Transactions on Image Processing</w:t>
      </w:r>
      <w:r>
        <w:rPr>
          <w:rFonts w:ascii="Times New Roman" w:hAnsi="Times New Roman"/>
          <w:b w:val="0"/>
          <w:i w:val="0"/>
          <w:sz w:val="20"/>
        </w:rPr>
        <w:t>, Vol. 35, pp. 930–942. DOI: https://doi.org/10.1109/TIP.2026.3654473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29. Hinton, G. (2022), "The forward-forward algorithm: some preliminary investigations", </w:t>
      </w:r>
      <w:r>
        <w:rPr>
          <w:rFonts w:ascii="Times New Roman" w:hAnsi="Times New Roman"/>
          <w:b w:val="0"/>
          <w:i/>
          <w:sz w:val="20"/>
        </w:rPr>
        <w:t>arXiv preprint</w:t>
      </w:r>
      <w:r>
        <w:rPr>
          <w:rFonts w:ascii="Times New Roman" w:hAnsi="Times New Roman"/>
          <w:b w:val="0"/>
          <w:i w:val="0"/>
          <w:sz w:val="20"/>
        </w:rPr>
        <w:t xml:space="preserve"> arXiv:2212.13345. DOI: https://doi.org/10.48550/arXiv.2212.13345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30. Nawaz, U., Anees-ur-Rahaman, M., Saeed, Z. (2025), "A review of neuro-symbolic AI integrating reasoning and learning for advanced cognitive systems", </w:t>
      </w:r>
      <w:r>
        <w:rPr>
          <w:rFonts w:ascii="Times New Roman" w:hAnsi="Times New Roman"/>
          <w:b w:val="0"/>
          <w:i/>
          <w:sz w:val="20"/>
        </w:rPr>
        <w:t>Intelligent Systems with Applications</w:t>
      </w:r>
      <w:r>
        <w:rPr>
          <w:rFonts w:ascii="Times New Roman" w:hAnsi="Times New Roman"/>
          <w:b w:val="0"/>
          <w:i w:val="0"/>
          <w:sz w:val="20"/>
        </w:rPr>
        <w:t>, Vol. 26, 200541. DOI: https://doi.org/10.1016/j.iswa.2025.200541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31. Ghader, M., Kheradpisheh, S., Farahani, B., Fazlali, M. (2026), "Backpropagation-free spiking neural networks with the forward–forward algorithm", </w:t>
      </w:r>
      <w:r>
        <w:rPr>
          <w:rFonts w:ascii="Times New Roman" w:hAnsi="Times New Roman"/>
          <w:b w:val="0"/>
          <w:i/>
          <w:sz w:val="20"/>
        </w:rPr>
        <w:t>Scientific Reports</w:t>
      </w:r>
      <w:r>
        <w:rPr>
          <w:rFonts w:ascii="Times New Roman" w:hAnsi="Times New Roman"/>
          <w:b w:val="0"/>
          <w:i w:val="0"/>
          <w:sz w:val="20"/>
        </w:rPr>
        <w:t>, Vol. 16, No. 1, 14294. DOI: https://doi.org/10.1038/s41598-026-41671-4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32. Parzhyn, Y., Lapin, M., Bokhan, K. (2025), "A new approach to building energy models of neural networks", </w:t>
      </w:r>
      <w:r>
        <w:rPr>
          <w:rFonts w:ascii="Times New Roman" w:hAnsi="Times New Roman"/>
          <w:b w:val="0"/>
          <w:i/>
          <w:sz w:val="20"/>
        </w:rPr>
        <w:t>Advanced Information Systems</w:t>
      </w:r>
      <w:r>
        <w:rPr>
          <w:rFonts w:ascii="Times New Roman" w:hAnsi="Times New Roman"/>
          <w:b w:val="0"/>
          <w:i w:val="0"/>
          <w:sz w:val="20"/>
        </w:rPr>
        <w:t>, Vol. 9, No. 4, pp. 100–119. DOI: https://doi.org/10.20998/2522-9052.2025.4.13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33. Parzhyn, Y., Galkyn, S., Sobol, M. (2022), "Method for binary contour images vectorization of handwritten characters for recognition by detector neural networks", </w:t>
      </w:r>
      <w:r>
        <w:rPr>
          <w:rFonts w:ascii="Times New Roman" w:hAnsi="Times New Roman"/>
          <w:b w:val="0"/>
          <w:i/>
          <w:sz w:val="20"/>
        </w:rPr>
        <w:t>2022 IEEE 3rd KhPI Week on Advanced Technology (KhPIWeek)</w:t>
      </w:r>
      <w:r>
        <w:rPr>
          <w:rFonts w:ascii="Times New Roman" w:hAnsi="Times New Roman"/>
          <w:b w:val="0"/>
          <w:i w:val="0"/>
          <w:sz w:val="20"/>
        </w:rPr>
        <w:t>, Kharkiv, Ukraine, pp. 1–6. DOI: https://doi.org/10.1109/KhPIWeek57572.2022.9916331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34. Parzhyn, Y. (2025), "Architecture of information", </w:t>
      </w:r>
      <w:r>
        <w:rPr>
          <w:rFonts w:ascii="Times New Roman" w:hAnsi="Times New Roman"/>
          <w:b w:val="0"/>
          <w:i/>
          <w:sz w:val="20"/>
        </w:rPr>
        <w:t>arXiv preprint</w:t>
      </w:r>
      <w:r>
        <w:rPr>
          <w:rFonts w:ascii="Times New Roman" w:hAnsi="Times New Roman"/>
          <w:b w:val="0"/>
          <w:i w:val="0"/>
          <w:sz w:val="20"/>
        </w:rPr>
        <w:t xml:space="preserve"> arXiv:2503.21794. DOI: https://doi.org/10.48550/arXiv.2503.21794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35. Lapin, M., Bokhan, K. (2025), "Few-shot learning of a graph-based neural network model without backpropagation", </w:t>
      </w:r>
      <w:r>
        <w:rPr>
          <w:rFonts w:ascii="Times New Roman" w:hAnsi="Times New Roman"/>
          <w:b w:val="0"/>
          <w:i/>
          <w:sz w:val="20"/>
        </w:rPr>
        <w:t>Management Information System and Devices</w:t>
      </w:r>
      <w:r>
        <w:rPr>
          <w:rFonts w:ascii="Times New Roman" w:hAnsi="Times New Roman"/>
          <w:b w:val="0"/>
          <w:i w:val="0"/>
          <w:sz w:val="20"/>
        </w:rPr>
        <w:t>, No. 187, pp. 103–122. DOI: https://doi.org/10.30837/0135-1710.2025.187.103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36. Zhang, T., Suen, C. (1984), "A fast parallel algorithm for thinning digital patterns", </w:t>
      </w:r>
      <w:r>
        <w:rPr>
          <w:rFonts w:ascii="Times New Roman" w:hAnsi="Times New Roman"/>
          <w:b w:val="0"/>
          <w:i/>
          <w:sz w:val="20"/>
        </w:rPr>
        <w:t>Communications of the ACM</w:t>
      </w:r>
      <w:r>
        <w:rPr>
          <w:rFonts w:ascii="Times New Roman" w:hAnsi="Times New Roman"/>
          <w:b w:val="0"/>
          <w:i w:val="0"/>
          <w:sz w:val="20"/>
        </w:rPr>
        <w:t>, Vol. 27, No. 3, pp. 236–239. DOI: https://doi.org/10.1145/357994.358023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37. Fritzke, B. (1995), "A growing neural gas network learns topologies", </w:t>
      </w:r>
      <w:r>
        <w:rPr>
          <w:rFonts w:ascii="Times New Roman" w:hAnsi="Times New Roman"/>
          <w:b w:val="0"/>
          <w:i/>
          <w:sz w:val="20"/>
        </w:rPr>
        <w:t>Advances in Neural Information Processing Systems 7</w:t>
      </w:r>
      <w:r>
        <w:rPr>
          <w:rFonts w:ascii="Times New Roman" w:hAnsi="Times New Roman"/>
          <w:b w:val="0"/>
          <w:i w:val="0"/>
          <w:sz w:val="20"/>
        </w:rPr>
        <w:t>, MIT Press, Cambridge, pp. 625–632.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38. Douglas, D., Peucker, T. (1973), "Algorithms for the reduction of the number of points required to represent a digitized line or its caricature", </w:t>
      </w:r>
      <w:r>
        <w:rPr>
          <w:rFonts w:ascii="Times New Roman" w:hAnsi="Times New Roman"/>
          <w:b w:val="0"/>
          <w:i/>
          <w:sz w:val="20"/>
        </w:rPr>
        <w:t>Cartographica: The International Journal for Geographic Information and Geovisualization</w:t>
      </w:r>
      <w:r>
        <w:rPr>
          <w:rFonts w:ascii="Times New Roman" w:hAnsi="Times New Roman"/>
          <w:b w:val="0"/>
          <w:i w:val="0"/>
          <w:sz w:val="20"/>
        </w:rPr>
        <w:t>, Vol. 10, No. 2, pp. 112–122. DOI: https://doi.org/10.3138/FM57-6770-U75U-7727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39. LeCun, Y., Bottou, L., Bengio, Y., Haffner, P. (1998), "Gradient-based learning applied to document recognition", </w:t>
      </w:r>
      <w:r>
        <w:rPr>
          <w:rFonts w:ascii="Times New Roman" w:hAnsi="Times New Roman"/>
          <w:b w:val="0"/>
          <w:i/>
          <w:sz w:val="20"/>
        </w:rPr>
        <w:t>Proceedings of the IEEE</w:t>
      </w:r>
      <w:r>
        <w:rPr>
          <w:rFonts w:ascii="Times New Roman" w:hAnsi="Times New Roman"/>
          <w:b w:val="0"/>
          <w:i w:val="0"/>
          <w:sz w:val="20"/>
        </w:rPr>
        <w:t>, Vol. 86, No. 11, pp. 2278–2324. DOI: https://doi.org/10.1109/5.726791</w:t>
      </w:r>
    </w:p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center"/>
      </w:pPr>
      <w:r>
        <w:rPr>
          <w:rFonts w:ascii="Times New Roman" w:hAnsi="Times New Roman"/>
          <w:b w:val="0"/>
          <w:i/>
          <w:sz w:val="20"/>
        </w:rPr>
        <w:t>Відомості про автора / About the Author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/>
          <w:i w:val="0"/>
          <w:sz w:val="20"/>
        </w:rPr>
        <w:t>Лапін Микита Олексійович (автор-кореспондент)</w:t>
      </w:r>
      <w:r>
        <w:rPr>
          <w:rFonts w:ascii="Times New Roman" w:hAnsi="Times New Roman"/>
          <w:b w:val="0"/>
          <w:i w:val="0"/>
          <w:sz w:val="20"/>
        </w:rPr>
        <w:t xml:space="preserve"> – аспірант кафедри системного аналізу та інформаційно-аналітичних технологій, Національний технічний університет "Харківський політехнічний інститут", Харків, Україна.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/>
          <w:i w:val="0"/>
          <w:sz w:val="20"/>
        </w:rPr>
        <w:t>Mykyta Lapin (corresponding author)</w:t>
      </w:r>
      <w:r>
        <w:rPr>
          <w:rFonts w:ascii="Times New Roman" w:hAnsi="Times New Roman"/>
          <w:b w:val="0"/>
          <w:i w:val="0"/>
          <w:sz w:val="20"/>
        </w:rPr>
        <w:t xml:space="preserve"> – PhD student at the Department of Systems Analysis and Information-Analytical Technologies, National Technical University "Kharkiv Polytechnic Institute", Kharkiv, Ukraine;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e-mail: Mykyta.Lapin@cit.khpi.edu.ua; </w:t>
      </w:r>
      <w:r>
        <w:rPr>
          <w:rFonts w:ascii="Times New Roman" w:hAnsi="Times New Roman"/>
          <w:b w:val="0"/>
          <w:i w:val="0"/>
          <w:sz w:val="20"/>
        </w:rPr>
        <w:t xml:space="preserve">ORCID Author ID: https://orcid.org/0009-0003-6307-1172; </w:t>
      </w:r>
      <w:r>
        <w:rPr>
          <w:rFonts w:ascii="Times New Roman" w:hAnsi="Times New Roman"/>
          <w:b w:val="0"/>
          <w:i w:val="0"/>
          <w:sz w:val="20"/>
        </w:rPr>
        <w:t>Scopus Author ID: https://www.scopus.com/authid/detail.uri?authorId=60171161300.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 w:val="0"/>
          <w:i w:val="0"/>
          <w:sz w:val="20"/>
        </w:rPr>
        <w:t>моб. +38(0XX)XXX-XX-XX</w:t>
      </w:r>
    </w:p>
    <w:p>
      <w:pPr>
        <w:spacing w:lineRule="exact" w:line="280" w:before="0" w:after="0"/>
        <w:jc w:val="both"/>
      </w:pPr>
    </w:p>
    <w:p>
      <w:pPr>
        <w:spacing w:lineRule="exact" w:line="280" w:before="120" w:after="120"/>
        <w:jc w:val="center"/>
      </w:pPr>
      <w:r>
        <w:rPr>
          <w:rFonts w:ascii="Times New Roman" w:hAnsi="Times New Roman"/>
          <w:b/>
          <w:i w:val="0"/>
          <w:sz w:val="20"/>
        </w:rPr>
        <w:t>ПОЯСНЮВАНЕ РОЗПІЗНАВАННЯ РУКОПИСНИХ ЦИФР НА ОСНОВІ ГРАФОВИХ КОНЦЕПТІВ-АТРАКТОРІВ, СФОРМОВАНИХ З МАЛОЇ КІЛЬКОСТІ ПРИКЛАДІВ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Предмет дослідження. </w:t>
      </w:r>
      <w:r>
        <w:rPr>
          <w:rFonts w:ascii="Times New Roman" w:hAnsi="Times New Roman"/>
          <w:b w:val="0"/>
          <w:i w:val="0"/>
          <w:sz w:val="20"/>
        </w:rPr>
        <w:t>Процес пояснюваного розпізнавання рукописних цифр на основі графового подання контурних зображень і концептів-атракторів, сформованих структурною редукцією без зворотного поширення помилки.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Мета. </w:t>
      </w:r>
      <w:r>
        <w:rPr>
          <w:rFonts w:ascii="Times New Roman" w:hAnsi="Times New Roman"/>
          <w:b w:val="0"/>
          <w:i w:val="0"/>
          <w:sz w:val="20"/>
        </w:rPr>
        <w:t>Показати, що концепти-атрактори, сформовані з малої кількості прикладів, дають розпізнавання з повністю простежуваним рішенням, і задокументувати умови чинності результату.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Завдання. </w:t>
      </w:r>
      <w:r>
        <w:rPr>
          <w:rFonts w:ascii="Times New Roman" w:hAnsi="Times New Roman"/>
          <w:b w:val="0"/>
          <w:i w:val="0"/>
          <w:sz w:val="20"/>
        </w:rPr>
        <w:t>Подати контурні зображення двочастковими графами; сформувати алфавіт концептів структурною редукцією з інтервальним узагальненням параметрів; побудувати класифікацію за відстанню редагування графів з діагностичним зважуванням ознак; оцінити систему на повноконтурній підмножині MNIST з розкриттям фільтра повноти; продемонструвати пояснюваність трасуванням рішення і виміряти вартість виведення.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Методи. </w:t>
      </w:r>
      <w:r>
        <w:rPr>
          <w:rFonts w:ascii="Times New Roman" w:hAnsi="Times New Roman"/>
          <w:b w:val="0"/>
          <w:i w:val="0"/>
          <w:sz w:val="20"/>
        </w:rPr>
        <w:t>Скелетизація зображень, зростаючий нейронний газ, спрощення Рамера—Дугласа—Пекера, структурна редукція графів, відстань редагування графів, інтервальне узагальнення параметрів.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Результати. </w:t>
      </w:r>
      <w:r>
        <w:rPr>
          <w:rFonts w:ascii="Times New Roman" w:hAnsi="Times New Roman"/>
          <w:b w:val="0"/>
          <w:i w:val="0"/>
          <w:sz w:val="20"/>
        </w:rPr>
        <w:t>13 концептів-атракторів, сформованих із 76 унікальних зразків (3–9 на концепт), класифікують 8 685 повноконтурних зображень MNIST з точністю 91,13 %, влучністю 91,92 %, повнотою 91,13 % та F1 91,34 %. Фільтр повноти виключає 12,9 % тестового набору і діє нерівномірно за класами; це розкрито в тексті з обґрунтуванням. Трасування показує розклад рішення на атрактор, заміщення вузлів і поознакові вартості. Медіана етапу класифікації — 167 мс за максимуму 1,4 с.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Висновки. </w:t>
      </w:r>
      <w:r>
        <w:rPr>
          <w:rFonts w:ascii="Times New Roman" w:hAnsi="Times New Roman"/>
          <w:b w:val="0"/>
          <w:i w:val="0"/>
          <w:sz w:val="20"/>
        </w:rPr>
        <w:t>Розпізнавання без зворотного поширення помилки з малої кількості прикладів є здійсненним, а графова структура подання робить кожне рішення придатним до перевірки. Головна метрика умовна щодо фільтра повноти; її перенесення на повний набір потребує асоціативного розпізнавання розірваних контурів.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Ключові слова: </w:t>
      </w:r>
      <w:r>
        <w:rPr>
          <w:rFonts w:ascii="Times New Roman" w:hAnsi="Times New Roman"/>
          <w:b w:val="0"/>
          <w:i w:val="0"/>
          <w:sz w:val="20"/>
        </w:rPr>
        <w:t>пояснюваний штучний інтелект; графове подання зображень; концепт-атрактор; структурна редукція; відстань редагування графів; скелетизація; розпізнавання рукописних цифр; навчання з малої кількості прикладів.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