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УДК 004.93</w:t>
      </w:r>
    </w:p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Mykyta Lapin</w:t>
      </w: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EXPLAINABLE HANDWRITTEN DIGIT RECOGNITION BASED ON GRAPH CONCEPT ATTRACTORS FORMED FROM A SMALL NUMBER OF EXAMPLES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Subject of study. </w:t>
      </w:r>
      <w:r>
        <w:rPr>
          <w:rFonts w:ascii="Times New Roman" w:hAnsi="Times New Roman"/>
          <w:b w:val="0"/>
          <w:i w:val="0"/>
          <w:sz w:val="20"/>
        </w:rPr>
        <w:t>Explainable handwritten digit recognition based on a graph representation of contour images and concept attractors formed by structural reduction without backpropagation.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Purpose. </w:t>
      </w:r>
      <w:r>
        <w:rPr>
          <w:rFonts w:ascii="Times New Roman" w:hAnsi="Times New Roman"/>
          <w:b w:val="0"/>
          <w:i w:val="0"/>
          <w:sz w:val="20"/>
        </w:rPr>
        <w:t>To show that concept attractors formed from a small number of examples yield recognition with a traceable decision, and to document the conditions under which the result is valid.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Objectives. </w:t>
      </w:r>
      <w:r>
        <w:rPr>
          <w:rFonts w:ascii="Times New Roman" w:hAnsi="Times New Roman"/>
          <w:b w:val="0"/>
          <w:i w:val="0"/>
          <w:sz w:val="20"/>
        </w:rPr>
        <w:t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MNIST with the filter disclosed; to demonstrate explainability by tracing a decision.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Methods. </w:t>
      </w:r>
      <w:r>
        <w:rPr>
          <w:rFonts w:ascii="Times New Roman" w:hAnsi="Times New Roman"/>
          <w:b w:val="0"/>
          <w:i w:val="0"/>
          <w:sz w:val="20"/>
        </w:rPr>
        <w:t>Image skeletonization, Growing Neural Gas (GNG), Ramer–Douglas–Peucker simplification, structural graph reduction, graph edit distance, interval generalization of parameters.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Results. </w:t>
      </w:r>
      <w:r>
        <w:rPr>
          <w:rFonts w:ascii="Times New Roman" w:hAnsi="Times New Roman"/>
          <w:b w:val="0"/>
          <w:i w:val="0"/>
          <w:sz w:val="20"/>
        </w:rPr>
        <w:t>Thirteen concept attractors were formed from 76 manually selected sources expanded to 805 images. Accuracy is 91.13 %; support-weighted precision, recall, and F1 are 91.92 %, 91.13 %, and 91.34 %. An archived replay gives one numerical chain from edit operations to the final score.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Conclusions. </w:t>
      </w:r>
      <w:r>
        <w:rPr>
          <w:rFonts w:ascii="Times New Roman" w:hAnsi="Times New Roman"/>
          <w:b w:val="0"/>
          <w:i w:val="0"/>
          <w:sz w:val="20"/>
        </w:rPr>
        <w:t>Recognition without backpropagation from 76 sources is feasible, and each decision decomposes into edit operations and per-feature costs. The result is valid within the manually filtered MNIST subset.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Keywords: </w:t>
      </w:r>
      <w:r>
        <w:rPr>
          <w:rFonts w:ascii="Times New Roman" w:hAnsi="Times New Roman"/>
          <w:b w:val="0"/>
          <w:i w:val="0"/>
          <w:sz w:val="20"/>
        </w:rPr>
        <w:t>explainable artificial intelligence; graph image representation; concept attractor; structural reduction; graph edit distance; skeletonization; handwritten digit recognition; few-shot learning.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 Вступ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1.1 Актуальність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Сучасні системи розпізнавання зображень досягають високої точності, але їхній внутрішній стан лишається закритим для людини. Модель повертає відповідь і не показує ознак, за якими цю відповідь отримано. Там, де рішення треба обґрунтувати перед оператором, лікарем або аудитором, така закритість стає самостійною проблемою, окремою від якості класифікації.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Найчастіше її долають ретроспективними (post-hoc) поясненнями. Метод LIME [1] будує локальну лінійну апроксимацію поведінки навченої моделі в околі окремого прикладу. SHAP [2] розподіляє внески ознак за схемою кооперативних ігор; його родина містить як модельно-незалежний Kernel SHAP, так і модельно-специфічні Linear SHAP та Deep SHAP. LIME і Kernel SHAP працюють з моделлю як із чорною скринькою та пояснюють внески ознак, а не відтворюють внутрішню послідовність операцій класифікатора.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Обмеження такого наближення описано в літературі. Slack et al. [3] показали, що LIME і SHAP піддаються цілеспрямованій маніпуляції: класифікатор з явним упередженням можна побудувати так, щоб згенеровані пояснення це упередження приховали. Hooshyar and Yang [4] виявили нестійкість пояснень до вибору гіперпараметрів і до корельованості ознак. Rudin [5] робить із цього висновок щодо проєктування: у задачах з високою ціною помилки доцільно будувати модель, пояснювану за побудовою, а не додавати зовнішні пояснення до непрозорої; у цій роботі прийнято ту саму позицію.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Підхід, викладений у статті, робить носієм пояснення структуру подання. Контур зображення закодовано атрибутованим графом: вузли відповідають характерним точкам і векторам між ними, а геометричні й семантичні характеристики збережено безпосередньо в елементах графа. Пояснення тоді перетворюється на об'єкт, який можна оглянути й перевірити. Цикл у графі відповідає замкненому контуру, степінь вузла описує розгалуження, інтервал значень атрибута задає допустимий діапазон варіації цієї ознаки в межах концепту. Окремого пояснювального модуля над класифікатором не будують.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Ця робота відповідає на запитання, чи можливе розпізнавання без зворотного поширення помилки, за малої кількості навчальних прикладів і так, щоб шлях до рішення можна було простежити за збереженими даними. Така постановка практично цінна там, де навчальних даних мало, а рішення має бути придатним до перевірки вручну.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і результати оцінювання на MNIST з ручним фільтром повноти контуру. Отримано точність 91,13 %. Алфавіт із 13 концептів сформовано з 76 вручну відібраних оригіналів, розширених до 805 зразків. Окремо наведено відтворення одного рішення за збереженими даними.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Отже, дослідження, присвячене пояснюваному розпізнаванню рукописних цифр на основі графових концептів-атракторів, сформованих з малої кількості прикладів, є актуальним.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1.2 Аналіз останніх досліджень і публікацій та постановка проблеми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Ретроспективні методи, названі в підрозділі 1.1, лишаються фактичним стандартом пояснюваності, тому дослідження останніх п'яти років зосередилися на тому, наскільки їхнім поясненням можна довіряти.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Baniecki and Biecek [6]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них. Автори показують, що маніпуляція поясненням, його підміна та приховування ознак упередженості моделі (fairwashing) можливі для більшості поширених методів, і формулюють вимоги до протоколів оцінювання пояснень. Предметом огляду є захист ретроспективних пояснювачів; питання про подання, у якому пояснення неможливо відокремити від обчислення, в огляді не порушено.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Bello et al. [7] звертаються до головної труднощі кількісного оцінювання пояснень: для пояснення немає еталона, з яким його можна звірити. Автори пропонують міру LSE (Level of Strength of an Explanation), яка показує, наскільки пояснення підтримує саме той клас, що його передбачив класифікатор; міру побудовано за аналогією з відношенням правдоподібності в судовій експертизі. Нерозв'язаним лишається те, що якість ретроспективного пояснення доводиться встановлювати опосередковано, окремою процедурою поверх пояснювача, а не читати із самого обчислення.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Альтернативний напрям проєктування утворюють моделі, пояснювані за побудовою, на потребі в яких наполягає Rudin [5]. Огляд методів пояснюваності на основі графів знань [8] систематизує способи, якими явні структурні подання входять до систем пояснюваного штучного інтелекту: від видобування ознак і відношень до міркування над графом.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Forest et al. [9] застосовують моделі з концептним вузьким місцем (concept bottleneck models) до прогнозування залишкового ресурсу обладнання, узявши за проміжні концепти режими деградації компонентів. Прогноз завдяки цьому розкладається за станом кожного компонента, а експерт може втрутитися в активації концептів під час випробування без перенавчання моделі. Робота показує практичну користь проміжного шару зрозумілих понять порівняно з методами приписування важливості вхідним ознакам. Відображення входу на концепти в цій схемі лишається навченою нейронною мережею, тому простежити його за елементами подання неможливо.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Sovatzidi et al. [10] будують класифікацію зображень на інтуїціоністських нечітких когнітивних картах, структуру графа яких визначає алгоритм навчання за даними. Ступінь вагання (hesitancy) є мірою невпевненості, з якою зображення віднесено до класу, а рішення подано лінгвістичними термінами, зрозумілими без додаткового тлумачення. Тут носієм пояснення є граф, а не надбудова над навченою мережею. Вузли графа відповідають ознакам областей зображення, тому геометрія контуру та топологія його зв'язності в подання не входять.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García-Cuesta et al. [11] показують, що подання прототипів у прототипних мережах можна змінити навмисно або ненавмисно без втрати зовнішньої правдоподібності пояснення. Цей результат спонукає перевіряти, чи має елемент пояснення зміст поза навченим простором вкладень.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Структурні подання форми мають довгу історію в комп'ютерному зорі. Vision GNN [12] трактує зображення як граф вузлів-фрагментів і будує на ньому мережу передавання повідомлень. Chatbri et al. [13] досліджують контури та скелети як подання форми для зіставлення бінарних зображень. Shen et al. [14] будують розпізнавання форми на наборі контурних частин, пов'язаних зі скелетом. Ці роботи підтверджують доцільність структурного опису, але зупиняються на рівні ознак і не роблять структуру носієм самого пояснення.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Elsharkawi et al. [15] розвивають напрям Vision GNN. Автори зауважують, що наявні моделі будують граф кожного шару непараметричними статистичними правилами (k найближчих сусідів, поріг подібності, гіперграф), і пропонують натомість схему LRGC: увагу на основі ключів і запитів між усіма парами вузлів з м'яким пороговим репараметруванням, завдяки чому вибір сусідства стає диференційовним і навчаним. На наборі ImageNet-1k підхід переважає моделі ViG порівнянного розміру. Граф тут є проміжним поданням усередині мережі, тому його вузли та ребра не мають значення, яке можна прочитати окремо від ваг.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Senior et al. [16] оглядають застосування графових нейронних мереж до розуміння двовимірних зображень і подають систематику типів графів, які використовують у підписуванні зображень, відповідях на запитання за зображенням і пошуку. Огляд фіксує, що граф став типовим складником таких конвеєрів як спосіб описати взаємне розташування об'єктів сцени. Роль графа в оглянутих роботах зводиться до постачання структурованих ознак для подальшого навченого модуля; питання про те, чи може сам граф бути записом ухваленого рішення, в огляді не поставлено.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Задачу зіставлення графів досліджують давно. Оглядова праця Conte et al. [17] систематизує точні й наближені алгоритми зіставлення за тридцять років. Відстань редагування графів (Graph Edit Distance, GED) дає міру подібності з прозорою семантикою: вартість перетворення одного графа на інший розкладається на елементарні операції над вузлами та ребрами. Riesen and Bunke [18] запропонували наближення GED за двочастковим призначенням, яке зробило міру придатною для практичних розмірів графів. Wang et al. [19] розвивають гібридні схеми обчислення GED, де частину вартості визначає нейронна мережа. Розклад на операції редагування робить GED зручною основою для пояснення: кожен доданок вартості прив'язаний до конкретної пари елементів.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Piao et al. [20] обчислюють GED за двоступеневою схемою: мережа GEDGNN передбачає значення відстані та матрицю відповідності, а подальша обробка відновлює з неї власне шлях редагування. Мотивом роботи є пряме зауваження авторів: моделі, які зводять GED до регресії подібності, досягають вищої числової точності, проте не породжують послідовності операцій, а без неї пояснюваність і практична придатність розв'язку втрачаються. Це формулювання збігається з тим, як GED використано в цій статті. GEDGNN відновлює шлях редагування засобами навченої мережі, тоді як тут він є прямим результатом самої процедури зіставлення.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Ще два напрями розвитку GED пришвидшують саме обчислення: Tang et al. [21] зводять задачу до відстані Fused Gromov-Wasserstein і будують алгоритм FGWAlign складності O(|V||E|), який на чотирьох наборах даних зменшує похибку більш ніж на 80 % і прискорює обчислення в 15–60 разів. FGWAlign явно задає операції редагування та вартості перемаркування вузлів, але використовує загальні мітки й ребра, а не геометричні ознаки цієї роботи. Moscatelli et al. [22] переформульовують квадратичну задачу про призначення як передбачення ребер на графі екземпляра й наскрізно отримують м'яку матрицю відповідності графовою мережею з виразністю рівня 3-WL. Запропонована схема відрізняється розкладом вартості заміщення за наперед визначеними геометричними ознаками вузлів.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Gan et al. [23] подають рукописні китайські ієрогліфи скелетними графами, а не растровими зображеннями чи часовими траєкторіями, і будують над таким поданням Pyramid Graph Transformer. Вибір мотивовано прямо: растр і траєкторія втрачають геометричну семантику знака, властиву його структурі. За вибором подання це найближча до цієї статті робота, бо в ній скелет знака теж подано графом. Там граф є входом трансформера й рішення визначають його ваги, тоді як тут граф зіставляють з графом концепту, а відповідь складається з переліку заміщень із їхніми вартостями.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Dong et al. [24] для розпізнавання ієрогліфів без навчальних прикладів класу будують низхідне орієнтоване дерево радикалів, яке кодує графова нейронна мережа; спрямоване позиційне кодування розрізняє просторові відношення вузлів у межах одного піддерева. Підхід перевірено на рукописних, сценових, художніх і давніх написаннях. Робота показує, що явний структурний опис знака дає змогу впізнавати класи, яких не було в навчальній вибірці. Сам опис, однак, задано наперед словником радикалів, а не виведено із зображень процедурою узагальнення, як алфавіт концептів у цій статті.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Навчання з малої кількості прикладів розвивається переважно в парадигмі метанавчання. Прототипні мережі [25] будують прототип класу як центроїд опорних прикладів у навченому просторі вкладень. MAML [26] шукає початкові ваги, з яких кілька кроків градієнтного спуску дають придатну модель для нової задачі. Lake et al. [27] демонструють породжувальну програмну модель, яка засвоює рукописний символ з одного прикладу.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Ji et al. [28] поєднують самопояснювані моделі й навчання з малої кількості прикладів. Автори формулюють дві перешкоди режиму нестачі даних (параметричний дисбаланс і розлад подань) і долають їх сумішшю LoRA-експертів, узгодженням ознак кістяка мережі з активаціями прототипних концептів та функцією втрат, яка змушує концепти бути взаємно ортогональними. На шести еталонних наборах підхід переважає порівнювані методи. Дослідження підтверджує, що пояснюваність і мала навчальна вибірка сумісні; концепти при цьому лишаються векторами в навченому просторі, а не структурами, придатними до огляду.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Окремий напрям становлять альтернативи зворотному поширенню помилки. Алгоритм Forward-Forward [29] замінює зворотний прохід двома прямими проходами з локальним критерієм. Огляд нейросимвольної інтеграції [30] описує спроби поєднати підсимвольне навчання з явними символьними структурами, де символьна частина відповідає за перевірність висновку.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Ghader et al. [31] навчають імпульсні нейронні мережі алгоритмом Forward-Forward: двома прямими проходами з локальним пошаровим критерієм замість зворотного проходу. На статичних наборах MNIST, Fashion-MNIST і Kuzushiji-MNIST модель переважає попередні мережі цього класу за значно легшої архітектури, а на складніших імпульсних завданнях лишається порівнянною з мережами, навченими зворотним поширенням. Робота засвідчує, що відмова від глобального градієнта не є принциповою перешкодою для точності на задачах рівня MNIST. Локальність критерію стосується процедури навчання; подання, з яким працює мережа, лишається розподіленим за вагами й поелементному прочитанню не піддається.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Ця стаття продовжує попередні роботи дослідницької групи. Формалізм енергетичної моделі та прототип на шести класах, який досяг точності 82,44 % за 5–6 зразків на клас і один прохід формування, викладено в [32]. Векторизацію бінарних контурів як основу подання описано в [33], а теоретичну рамку архітектури інформації запропоновано в [34]. Графову модель навчання з малої кількості прикладів без зворотного поширення помилки подано в [35]. Формування концептів як динаміку структурних атракторів, конвеєр побудови графа та класифікатор на основі GED викладено в [36].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Розглянуті роботи різняться тим, де в них розміщено пояснення відносно обчислення. Огляди та методи оцінювання ретроспективних пояснень [6, 7] працюють поза навченою моделлю, тому їхні висновки стосуються надійності сурогату, а не самого рішення. Моделі, пояснювані за побудовою [9, 10, 11], переносять пояснення всередину архітектури, але зберігають навчене відображення від входу до проміжних понять. Роботи, які будують подання зображення графом [15, 16, 23, 24], використовують структуру як джерело ознак для подальшого навченого модуля, тому вузли та ребра не мають значення, яке можна прочитати окремо від ваг. Дослідження відстані редагування графів [20, 21, 22] підтверджують цінність шляху редагування; FGWAlign при цьому має визначену семантику операцій. Навчання з малої кількості прикладів [28] і навчання без зворотного поширення помилки [31] знімають окремо взяті обмеження (потребу у великій вибірці та потребу в глобальному градієнті), але подання в обох випадках лишається розподіленим за вагами.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Звідси випливає проблема, яку розв'язує ця стаття. Жодна з розглянутих робіт не поєднує чотирьох умов: структура подання є водночас носієм рішення й носієм пояснення; вартості зіставлення прив'язані до наперед визначених геометричних характеристик, а не засвоєні з даних; результат отримано на основі кількох десятків навчальних оригіналів без зворотного поширення помилки; умови оцінювання (фільтр даних і політику відбору оригіналів) задокументовано збереженими артефактами експерименту (файлами конфігурації та результатів).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1.3 Мета та завдання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Дослідження має на меті показати, що формування графових концептів-атракторів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прикладів, і задокументувати умови, за яких отриманий результат є дійсним.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досягнення мети розв'язано такі завдання: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1) подати контурні зображення атрибутованими двочастковими графами, у яких вузли-точки та вузли-вектори містять геометричні й семантичні характеристики;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2) сформувати алфавіт концептів-атракторів ітеративною структурною редукцією навчальних графів з інтервальним узагальненням параметрів;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3) побудувати процедуру класифікації на основі GED з діагностичним зважуванням ознак, за якого вузькі інтервали важать більше у вартості зіставлення;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4) оцінити систему на повноконтурній підмножині MNIST з явним описом фільтра повноти контуру та його перекосу за класами;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5) продемонструвати пояснюваність числовим трасуванням одного рішення: від операцій редагування й вартостей за окремими ознаками (поознакових вартостей) до підсумкової оцінки.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 Матеріали та методи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2.1 Графове подання і формування концептів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Подання зображення, конвеєр побудови графа та оператор формування концептів-атракторів викладено в [36]. Тут наведено лише те, що потрібно для розуміння результатів, і значення параметрів експерименту; там, де цей опис розходиться з [36], для наведених результатів чинним є цей.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Зображення цифри подано атрибутованим двочастковим графом. Вузол-точка (Point) описує характерну точку контуру: кінець відкритого контуру (EndPoint), різку зміну напрямку (CornerPoint), перетин ліній (IntersectionPoint) або початок обходу (StartPoint). Вузол-вектор (Vector) описує прямолінійний відрізок між двома сусідніми точками і має власні атрибути довжини та напрямку, тому бере участь у порівнянні нарівні з точками.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Граф будують із напівтонового зображення 100×100 пікселів за послідовністю кроків, наведеною на рис. 1. Після бінаризації з маски вилучають компоненти до 9 пікселів і виконують морфологічне замикання ядром 3×3, маску стоншують до одного пікселя [37], а кінцеві гілки обрізають, якщо вони коротші за більше з двох значень: 8 % довжини скелета або 5 пікселів. Скелет апроксимують мережею Growing Neural Gas (GNG) [38], її спрощують алгоритмом Рамера–Дугласа–Пекера з допуском 4,55 [39], після чого короткі перемички між розгалуженнями зливають. Початковий поріг бінаризації дорівнює 110; якщо побудова завершується помилкою або дає незв'язний граф, її повторюють із порогом, зменшеним на 5, до мінімуму 20. Очищення, обрізання гілок і злиття перемичок можуть змінити топологію. Координати вузлів відлічують від центра обмежувального прямокутника точок графа, ділять на його півдіагональ і округлюють до одного знака. Той самий конвеєр застосовують до навчальних і тестових зображень.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16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 1 – Конвеєр побудови графового подання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Концепт-атрактор класу формують за один прохід колекцією навчальних графів. Початковим станом концепту є граф першого зразка; кожен наступний зразок уточнює концепт структурною редукцією: вилучають кінцеві точки без відповідника разом зі шляхом до найближчого розгалуження, зливають або перемарковують точки перетину, вилучають надлишкові кутові точки, і в концепті лишається спільна для зразків частина структури. Числові атрибути відповідних вузлів зливають в інтервали з межами min і max та значенням center (середнім значень, поданих на поточний крок злиття). Автоматичної перевірки зміни концепту й умови зупинки цикл формування не має.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2.2 Навчальні дані та політика відбору оригіналів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Алфавіт складається з 13 концептів для 10 класів цифр. Класи 1, 2 і 4 мають по два структурні підконцепти (1_1 і 1_3, 2_1 і 2_2, 4_1 і 4_2), бо ці цифри пишуть у двох топологічно різних стилях, які не зводяться один до одного редукцією. Решта класів мають по одному концепту. Розміри концептів і кількість оригіналів наведено в підрозділі 3.1.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 кожен концепт вручну подано від 3 до 9 оригіналів (первинних зображень MNIST); під час укладання колекції застосовано критерій незмінності концепту. Усі 76 оригіналів доповнено аугментованими варіантами з обертанням і малим зсувом; точні параметри аугментації не збережено. Разом колекція містить 805 зразків. Оригінали й аугментації спільно проходять структурну редукцію; окремого етапу, де лише аугментації задають інтервали, немає.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Оригінали відібрано вручну, а не випадково. Відбирали найменш спотворені написання без розривів контуру. В основі такого відбору лежить припущення, що правильно розпізнаний представник класу вже містить усі структурні й топологічні ознаки цього класу. Тоді формування концепту потребує не репрезентативної вибірки розподілу, а невеликої кількості структурно повних написань.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Межі цього припущення відомі лише частково. Чутливість підсумкової точності до конкретного відбору оригіналів у цій роботі не вимірювали. Кількість 76 відновлено групуванням назв файлів. Усі оригінали взято з навчального розбиття MNIST (60 000 зображень), а оцінювання використовує тестове розбиття (10 000 зображень), тому ці два набори не перетинаються.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2.3 Класифікація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Класифікація зіставляє граф вхідного зображення з кожним концептом алфавіту в чотири кроки: фільтр складності; окрема для кожного концепту попередня обробка входу з вибором StartPoint, переобчисленням напрямків і редукцією критичних точок; структурна перевірка; GED для пар, що лишилися. Складність графа дорівнює сумі кількості його вузлів і ребер; концепти, складніші за початковий вхідний граф, відкидають до попередньої обробки.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Міру відмінності двох графів дає GED, тобто мінімальна сумарна вартість послідовності операцій, яка перетворює один граф на інший. Операціями редагування є вставлення, вилучення та заміщення вузлів і ребер. Точне обчислення GED є NP-складною задачею, тому практичні системи спираються на наближені алгоритми [18]. У цій роботі відстань обчислює ітеративний розв'язувач із прогресивним уточненням, який шукає оптимальні шляхи редагування в межах часового бюджету 5 с на одне порівняння зображення з концептом і повертає найкращий знайдений результат. У реалізації експерименту час перевіряють лише після чергового результату генератора, тому це номінальний бюджет, а не гарантована верхня межа.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Вартості заміщення задано монотонною шкалою: NO_COST = 0, MINOR = 0,25, GENERAL = 0,5, SEVERE = 0,8, NO_MATCH = 1,0 та IMPOSSIBLE = 6,0. Несумісне заміщення й вставлення вузла коштують 6,0, вилучення вузла чи ребра коштує 0,25, вставлення ребра має нульову вартість; атрибутів ребер не порівнюють. Отже, це спрямована схема вартостей для перетворення графа зображення на граф концепту, а не симетрична метрика.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Порівняння вузлів спирається на 13 ознак: нормалізовані координати, відстань до центроїда, горизонтальний і вертикальний напрямки, кут з віссю абсцис, мінімальний кут у вузлі розгалуження, індикатор кінцевої точки, індикатор кутової точки, відношення довжини до максимальної, середню довжину сусідніх векторів, кількість сусідніх кінцевих точок і кількість сусідніх розгалужень.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Ознаки зважено діагностично: ненормована вага інтервальної ознаки обернено пропорційна ширині її інтервалу у вузлі концепту, збільшеній на сталу </w:t>
      </w:r>
      <m:oMath>
        <m:sSub>
          <m:e>
            <m:r>
              <w:rPr>
                <w:sz w:val="20"/>
                <w:szCs w:val="20"/>
              </w:rPr>
              <m:t>ε</m:t>
            </m:r>
          </m:e>
          <m:sub>
            <m:r>
              <w:rPr>
                <w:sz w:val="20"/>
                <w:szCs w:val="20"/>
              </w:rPr>
              <m:t>w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= 0,1, тому вузькі інтервали важать більше. Категорійні ознаки ширини не мають: вага кожного з двох напрямків дорівнює 0,6, а індикатори кінцевої й кутової точки важать 0,4. Ваги нормують за спільними вибраними ознаками двох вузлів; відсутню ознаку пропускають, а за відсутності спільних ознак призначають NO_MATCH. Вартість значення в межах інтервалу зростає лінійно з відстанню від center: від нуля в center до нормованої ваги ознаки на межі інтервалу; нульова ширина дає точний збіг. Значення поза інтервалом завжди коштує 1,0 незалежно від ширини. Вартість заміщення вузла є сумою вартостей ознак.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Сумарну вартість редагування </w:t>
      </w:r>
      <m:oMath>
        <m:r>
          <w:rPr>
            <w:sz w:val="20"/>
            <w:szCs w:val="20"/>
          </w:rPr>
          <m:t>c</m:t>
        </m:r>
      </m:oMath>
      <w:r>
        <w:rPr>
          <w:rFonts w:ascii="Times New Roman" w:hAnsi="Times New Roman"/>
          <w:b w:val="0"/>
          <w:i w:val="0"/>
          <w:sz w:val="20"/>
        </w:rPr>
        <w:t xml:space="preserve"> переводять у подібність за формулою (1):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(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,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)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w:rPr>
              <w:sz w:val="20"/>
              <w:szCs w:val="20"/>
            </w:rPr>
            <m:t>1</m:t>
          </m:r>
          <m:r>
            <m:rPr>
              <m:sty m:val="p"/>
            </m:rPr>
            <w:rPr>
              <w:sz w:val="20"/>
              <w:szCs w:val="20"/>
            </w:rPr>
            <m:t>−</m:t>
          </m:r>
          <m:f>
            <m:fPr>
              <m:type m:val="bar"/>
            </m:fPr>
            <m:num>
              <m:r>
                <w:rPr>
                  <w:sz w:val="20"/>
                  <w:szCs w:val="20"/>
                </w:rPr>
                <m:t>c</m:t>
              </m:r>
            </m:num>
            <m:den>
              <m:r>
                <w:rPr>
                  <w:sz w:val="20"/>
                  <w:szCs w:val="20"/>
                </w:rPr>
                <m:t>c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max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 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</m:den>
          </m:f>
        </m:oMath>
      </m:oMathPara>
      <w:r>
        <w:rPr>
          <w:rFonts w:ascii="Times New Roman" w:hAnsi="Times New Roman"/>
          <w:b w:val="0"/>
          <w:i w:val="0"/>
          <w:sz w:val="20"/>
        </w:rPr>
        <w:tab/>
        <w:t>(1)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і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2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позначають складності двох графів після залежної від концепту попередньої обробки. Подібність округлюють до чотирьох знаків; нормування на більшу складність робить її порівнянною для концептів різного розміру.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Переможця обирають за правилом "переможець отримує все" (winner-take-all) з поправкою на складність концепту (2):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c</m:t>
          </m:r>
          <m:r>
            <m:rPr>
              <m:sty m:val="p"/>
            </m:rPr>
            <w:rPr>
              <w:sz w:val="20"/>
              <w:szCs w:val="20"/>
            </w:rPr>
            <m:t>o</m:t>
          </m:r>
          <m:r>
            <m:rPr>
              <m:sty m:val="p"/>
            </m:rPr>
            <w:rPr>
              <w:sz w:val="20"/>
              <w:szCs w:val="20"/>
            </w:rPr>
            <m:t>r</m:t>
          </m:r>
          <m:r>
            <m:rPr>
              <m:sty m:val="p"/>
            </m:rPr>
            <w:rPr>
              <w:sz w:val="20"/>
              <w:szCs w:val="20"/>
            </w:rPr>
            <m:t>e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+</m:t>
          </m:r>
          <m:r>
            <w:rPr>
              <w:sz w:val="20"/>
              <w:szCs w:val="20"/>
            </w:rPr>
            <m:t>λ</m:t>
          </m:r>
          <m:sSub>
            <m:e>
              <m:r>
                <m:rPr>
                  <m:sty m:val="p"/>
                </m:rPr>
                <w:rPr>
                  <w:sz w:val="20"/>
                  <w:szCs w:val="20"/>
                </w:rPr>
                <m:t>log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w:rPr>
              <w:sz w:val="20"/>
              <w:szCs w:val="20"/>
            </w:rPr>
            <m:t>C</m:t>
          </m:r>
        </m:oMath>
      </m:oMathPara>
      <w:r>
        <w:rPr>
          <w:rFonts w:ascii="Times New Roman" w:hAnsi="Times New Roman"/>
          <w:b w:val="0"/>
          <w:i w:val="0"/>
          <w:sz w:val="20"/>
        </w:rPr>
        <w:tab/>
        <w:t>(2)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r>
          <w:rPr>
            <w:sz w:val="20"/>
            <w:szCs w:val="20"/>
          </w:rPr>
          <m:t>C</m:t>
        </m:r>
      </m:oMath>
      <w:r>
        <w:rPr>
          <w:rFonts w:ascii="Times New Roman" w:hAnsi="Times New Roman"/>
          <w:b w:val="0"/>
          <w:i w:val="0"/>
          <w:sz w:val="20"/>
        </w:rPr>
        <w:t xml:space="preserve"> позначає складність концепту, </w:t>
      </w:r>
      <m:oMath>
        <m:r>
          <w:rPr>
            <w:sz w:val="20"/>
            <w:szCs w:val="20"/>
          </w:rPr>
          <m:t>λ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0,10. Концепт активується, якщо його попередня обробка й структурна перевірка завершилися успішно та GED обчислено. Активовані результати мають пріоритет над структурно відхиленими; серед активованих перемагає концепт із найбільшою оцінкою. Якщо активованих концептів немає, зображення позначають як нерозпізнане.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 Результати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3.1 Алфавіт концептів-атракторів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Побудовано подання Point–Vector з двома типами вузлів і 13 вибраними ознаками зіставлення. Структурною редукцією за один прохід колекцією з 76 вручну відібраних оригіналів та їхніх аугментацій, разом 805 зразків, сформовано 13 концептів-атракторів для 10 класів цифр. Концепти містять від 3 до 12 вузлів, на кожен подано від 3 до 9 оригіналів (табл. 1).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1 – Алфавіт концептів: кількість вузлів і оригіналів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Кількість вузлів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Кількість оригіналів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3.2 Дані оцінювання і фільтр повноти контуру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Повноту контуру розмічено вручну: кожне тестове зображення позначили як повне або неповне, до оцінювання допустили лише повні. Детальнішого протоколу розмітки не існує, а його незалежність від результатів класифікації не перевірено.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Із 10 000 тестових зображень MNIST [40] допущено 8 707, тобто 87,07 %; 1 293 (12,93 %) вилучено. Розпізнавання розірваних структур потребує окремого асоціативного механізму, якого система не має, тому метрики характеризують лише допущену підмножину.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Частка збережених зображень нерівномірна за класами (табл. 2): від 582/974 = 59,75 % для цифри 8 до 1 129/1 135 = 99,47 % для цифри 1.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2 – Частка зображень MNIST, збережених після ручного фільтра повноти контуру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Допущено / у MNIST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Збережено, 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830 / 980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84,69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1 129 / 1 135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99,47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956 / 1 032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92,64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969 / 1 010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95,94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953 / 982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97,05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796 / 892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89,24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742 / 958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77,45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1 014 / 1 028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98,64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582 / 974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59,75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736 / 1 009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72,94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Разом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8 707 / 10 000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87,07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3.3 Точність класифікації загалом і за класами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Точність класифікації становить 91,13 %. Влучність 91,92 %, повнота 91,13 % і F1 91,34 % є середніми, зваженими за кількістю зображень класу.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Показники за класами мають значно більший розкид, ніж загальні (табл. 3). Найвищу влучність мають класи 0 (99,87 %) і 8 (98,74 %): концепти цих цифр майже не притягують зображень інших класів. Найнижча влучність у класів 7 (82,01 %) і 6 (84,88 %): їхні концепти, навпаки, притягують зображення інших класів. За повнотою картина інша: найгірше система розпізнає класи 2 (77,59 %) і 4 (84,00 %).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3 – Покласові показники класифікації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Влучність,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Повнота,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F1, %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99,87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93,69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95,08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92,28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77,59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84,30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91,78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84,00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87,89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93,97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92,95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84,88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92,44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88,50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82,01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88,10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98,74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94,49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92,85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92,34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92,59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Система ухвалила 770 помилкових рішень. У 726 з них зображення віднесено до хибного класу, ще 44 зображення лишилися нерозпізнаними: для них не активувався жоден концепт.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Помилки зосереджені на невеликій кількості пар (рис. 2). Найчастіші пари сплутування (справжній клас → передбачений): 2→7 (111 випадків), 4→7 (62), 2→6 (57), 4→1 (52), 9→4 (46), 5→3 (43), 0→6 (42), 1→7 (26), 7→2 (26), 2→3 (25). На перші десять пар припадає 490 із 726 хибних віднесень, або 67,5 %. Найбільше з 770 помилкових рішень припадає на класи 2 (214) і 4 (152), разом 47,53 %. Нерозпізнані зображення зосереджені в класах 6 (16) і 8 (14).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867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 2 – Матриця сплутування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3.4 Трасування рішення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Зображення mnist_test_2_00766 має справжній клас 2, а система віднесла його до класу 7. Рис. 3 показує граф і концепти. Числа в табл. 4 походять з відтворення цього рішення налагоджувальним інструментом за параметрами експерименту; під час самого експерименту поознакових вартостей не записували.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44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 3 – Побудова графа та конкурентні концепти для зображення mnist_test_2_00766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Початковий граф має 11 вузлів, 10 ребер і складність 21. Він ациклічний, але розгалужений і містить IntersectionPoint. Артефакти фіксують відсутність циклу й петлі на бінарному зображенні, але не доводять, що петлю зруйнувала саме бінаризація. Концепт 2_2 зі складністю 24 відсікає умова 24 &gt; 21. Після залежної від концепту попередньої обробки структурно допустимі шість кандидатів: 7_1, 2_1, 3_1, 5_1, 1_3 і 1_1.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7_1 п'ять заміщень вузлів коштують 0,038–0,388, чотири вузли входу вилучено по 0,25; разом з операціями над ребрами c ≈ 3,44. Для 2_1 сім заміщень і два вилучення вузлів разом з операціями над ребрами дають c ≈ 6,29. Три окремі поознакові штрафи (за відстань до центроїда, нормалізовану координату x і відношення довжини до максимальної) дорівнюють 1,000 кожен; 1,010, 1,103 і 1,302 є повними вартостями трьох заміщень вузлів.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 обох парах нормувальна складність попередньо обробленого графа зображення дорівнює 17. Тому 7_1 має подібність 0,8317 і оцінку 0,8317 + 0,1 · log₂ 9 = 1,1487, а 2_1 має подібність 0,7300 і оцінку 0,7300 + 0,1 · log₂ 13 = 1,1000. Перемагає 7_1 з розривом оцінки 0,0486.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4 – Трасування mnist_test_2_00766 за збереженими даними: від операцій GED до оцінки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Операції та вартість c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Нормування і подібність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Оцінка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заміщень, 4 вилучення вузлів, 6 вилучень ребер; c ≈ 3,44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max(17, 9) = 17; sim = 0,8317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1,1487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 заміщень, 2 вилучення вузлів, 3 вилучення ребер; c ≈ 6,29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max(17, 13) = 17; sim = 0,7300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1,1000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Усі 111 помилок 2→7 відтворено окремо, без фільтра складності, тому значення подібності не збігаються з табл. 4. Концепт 2_1 отримав оцінку в 106 випадках і всі 106 разів програв 7_1; середній розрив подібності без поправки на складність становив 0,1132. У п'яти інших випадках 2_1 відхилено структурно, тому вони не входять до середнього. 2_2 відсікався фільтром складності у 86 випадках, але після зняття фільтра не був структурно допустимим у жодному зі 111.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4 Обговорення результатів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Пояснення у цій системі збігається з самим рішенням. Немає окремої моделі, яка наближала б поведінку класифікатора ззовні. Відтворення за збереженими даними показує конкретний ланцюг: операції редагування, сумарну вартість, нормувальну складність, подібність і підсумкову оцінку. Поознаковий штраф 1,000 і повна вартість заміщення вузла 1,010, 1,103 або 1,302 є різними рівнями цього розкладу.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mnist_test_2_00766 зафіксовано ациклічний розгалужений граф і три виходи за інтервали 2_1. Втрата топології під час побудови графа та ті самі поознакові штрафи як загальний механізм пари 2→7 є гіпотезою: для решти 110 випадків поелементних трасувань та експериментів зі втручанням немає.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Оцінювання обмежене ручним фільтром, що вилучив 12,93 % MNIST нерівномірно за класами. Чутливість до відбору 76 оригіналів, порядку їх подання й невідомого точного діапазону аугментації не вимірювали. Контурне подання відкидає текстуру й градієнти, а розірвані контури потребують асоціативного механізму, якого система не має. Експеримент зафіксовано конфігурацією та артефактами результату; повної копії коду, з яким його виконано, не збережено, тому відтворення можливе в межах цих артефактів.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5 Висновки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1. Побудовано подання Point–Vector з 2 типами вузлів і 13 ознаками зіставлення.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2. Одним проходом структурної редукції з 76 вручну відібраних оригіналів, розширених до 805 зразків, сформовано 13 концептів для 10 класів, по 3–12 вузлів кожний.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Класифікацію побудовано за GED зі шкалою вартостей заміщення 0 / 0,25 / 0,5 / 0,8 / 1,0 / 6,0, діагностичним зважуванням ознак за </w:t>
      </w:r>
      <m:oMath>
        <m:sSub>
          <m:e>
            <m:r>
              <w:rPr>
                <w:sz w:val="20"/>
                <w:szCs w:val="20"/>
              </w:rPr>
              <m:t>ε</m:t>
            </m:r>
          </m:e>
          <m:sub>
            <m:r>
              <w:rPr>
                <w:sz w:val="20"/>
                <w:szCs w:val="20"/>
              </w:rPr>
              <m:t>w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= 0,1, поправкою на складність концепту </w:t>
      </w:r>
      <m:oMath>
        <m:r>
          <w:rPr>
            <w:sz w:val="20"/>
            <w:szCs w:val="20"/>
          </w:rPr>
          <m:t>λ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0,10 та нормуванням подібності за сумою вузлів і ребер графа.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4. Ручний фільтр допустив 8 707 із 10 000 зображень MNIST; частка збережених зображень класу коливається від 59,75 % до 99,47 %. Точність становить 91,13 %; зважені влучність, повнота і F1 дорівнюють 91,92 %, 91,13 % і 91,34 %.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5. У відтворенні mnist_test_2_00766 за збереженими даними оцінки 1,1487 для 7_1 і 1,1000 для 2_1 різняться на 0,0486; серед 111 помилок 2→7 2_1 програв за оцінкою 106 разів і був структурно відхилений 5 разів.</w:t>
      </w:r>
    </w:p>
    <w:p>
      <w:pPr>
        <w:spacing w:lineRule="exact" w:line="280" w:before="0" w:after="0"/>
        <w:jc w:val="both"/>
      </w:pP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Конфлікт інтересів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Автор заявляє про відсутність конфлікту інтересів, зокрема фінансового, особистого, професійного чи іншого характеру, який міг би вплинути на проведення дослідження, інтерпретацію або публікацію його результатів.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Фінансування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Дослідження виконано без фінансової підтримки.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Доступність даних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Дані, що підтверджують результати цього дослідження, доступні у відкритому репозиторії проєкту NaturalAGI за посиланням https://github.com/NaturalAGI-Lab/NaturalAGI/tree/development/experiments/run_20260630_235356.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Використання інструментів штучного інтелекту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[TODO: заповнює автор. Обрати варіант за вимогами редакції та подати заяву тут; факти для декларації наведено в коментарі перед цим полем у content.py.]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References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1. Ribeiro, M., Singh, S., Guestrin, C. (2016), "Why should I trust you?: explaining the predictions of any classifier", </w:t>
      </w:r>
      <w:r>
        <w:rPr>
          <w:rFonts w:ascii="Times New Roman" w:hAnsi="Times New Roman"/>
          <w:b w:val="0"/>
          <w:i/>
          <w:sz w:val="20"/>
        </w:rPr>
        <w:t>Proceedings of the 22nd ACM SIGKDD International Conference on Knowledge Discovery and Data Mining</w:t>
      </w:r>
      <w:r>
        <w:rPr>
          <w:rFonts w:ascii="Times New Roman" w:hAnsi="Times New Roman"/>
          <w:b w:val="0"/>
          <w:i w:val="0"/>
          <w:sz w:val="20"/>
        </w:rPr>
        <w:t>, pp. 1135–1144. DOI: https://doi.org/10.1145/2939672.2939778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Lundberg, S., Lee, S. (2017), "A unified approach to interpreting model predictions",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4765–4774. DOI: https://doi.org/10.48550/arXiv.1705.07874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Slack, D., Hilgard, S., Jia, E., Singh, S., Lakkaraju, H. (2020), "Fooling LIME and SHAP: adversarial attacks on post-hoc explanation methods", </w:t>
      </w:r>
      <w:r>
        <w:rPr>
          <w:rFonts w:ascii="Times New Roman" w:hAnsi="Times New Roman"/>
          <w:b w:val="0"/>
          <w:i/>
          <w:sz w:val="20"/>
        </w:rPr>
        <w:t>Proceedings of the AAAI/ACM Conference on AI, Ethics, and Society</w:t>
      </w:r>
      <w:r>
        <w:rPr>
          <w:rFonts w:ascii="Times New Roman" w:hAnsi="Times New Roman"/>
          <w:b w:val="0"/>
          <w:i w:val="0"/>
          <w:sz w:val="20"/>
        </w:rPr>
        <w:t>, pp. 180–186. DOI: https://doi.org/10.1145/3375627.3375830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Hooshyar, D., Yang, Y. (2024), "Problems with SHAP and LIME in interpretable AI for education: a comparative study of post-hoc explanations and neural-symbolic rule extraction", </w:t>
      </w:r>
      <w:r>
        <w:rPr>
          <w:rFonts w:ascii="Times New Roman" w:hAnsi="Times New Roman"/>
          <w:b w:val="0"/>
          <w:i/>
          <w:sz w:val="20"/>
        </w:rPr>
        <w:t>IEEE Access</w:t>
      </w:r>
      <w:r>
        <w:rPr>
          <w:rFonts w:ascii="Times New Roman" w:hAnsi="Times New Roman"/>
          <w:b w:val="0"/>
          <w:i w:val="0"/>
          <w:sz w:val="20"/>
        </w:rPr>
        <w:t>, Vol. 12, pp. 137472–137490. DOI: https://doi.org/10.1109/ACCESS.2024.3463948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Rudin, C. (2019), "Stop explaining black box machine learning models for high stakes decisions and use interpretable models instead", </w:t>
      </w:r>
      <w:r>
        <w:rPr>
          <w:rFonts w:ascii="Times New Roman" w:hAnsi="Times New Roman"/>
          <w:b w:val="0"/>
          <w:i/>
          <w:sz w:val="20"/>
        </w:rPr>
        <w:t>Nature Machine Intelligence</w:t>
      </w:r>
      <w:r>
        <w:rPr>
          <w:rFonts w:ascii="Times New Roman" w:hAnsi="Times New Roman"/>
          <w:b w:val="0"/>
          <w:i w:val="0"/>
          <w:sz w:val="20"/>
        </w:rPr>
        <w:t>, Vol. 1, No. 5, pp. 206–215. DOI: https://doi.org/10.1038/s42256-019-0048-x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Baniecki, H., Biecek, P. (2024), "Adversarial attacks and defenses in explainable artificial intelligence: a survey",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107, 102303. DOI: https://doi.org/10.1016/j.inffus.2024.102303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Bello, M., Amador, R., García, M., Del Ser, J., Mesejo, P., Cordón, Ó. (2025), "The level of strength of an explanation: a quantitative evaluation technique for post-hoc XAI methods",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161, 111221. DOI: https://doi.org/10.1016/j.patcog.2024.111221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Rajabi, E., Etminani, K. (2024), "Knowledge-graph-based explainable AI: a systematic review", </w:t>
      </w:r>
      <w:r>
        <w:rPr>
          <w:rFonts w:ascii="Times New Roman" w:hAnsi="Times New Roman"/>
          <w:b w:val="0"/>
          <w:i/>
          <w:sz w:val="20"/>
        </w:rPr>
        <w:t>Journal of Information Science</w:t>
      </w:r>
      <w:r>
        <w:rPr>
          <w:rFonts w:ascii="Times New Roman" w:hAnsi="Times New Roman"/>
          <w:b w:val="0"/>
          <w:i w:val="0"/>
          <w:sz w:val="20"/>
        </w:rPr>
        <w:t>, Vol. 50, No. 4, pp. 1019–1029. DOI: https://doi.org/10.1177/01655515221112844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Forest, F., Rombach, K., Fink, O. (2025), "Interpretable prognostics with concept bottleneck models",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124, 103427. DOI: https://doi.org/10.1016/j.inffus.2025.103427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Sovatzidi, G., Vasilakakis, M., Iakovidis, D. (2026), "Intuitionistic fuzzy cognitive maps for interpretable image classification", </w:t>
      </w:r>
      <w:r>
        <w:rPr>
          <w:rFonts w:ascii="Times New Roman" w:hAnsi="Times New Roman"/>
          <w:b w:val="0"/>
          <w:i/>
          <w:sz w:val="20"/>
        </w:rPr>
        <w:t>Knowledge-Based Systems</w:t>
      </w:r>
      <w:r>
        <w:rPr>
          <w:rFonts w:ascii="Times New Roman" w:hAnsi="Times New Roman"/>
          <w:b w:val="0"/>
          <w:i w:val="0"/>
          <w:sz w:val="20"/>
        </w:rPr>
        <w:t>, Vol. 346, 116130. DOI: https://doi.org/10.1016/j.knosys.2026.116130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García-Cuesta, E., Manrique, D., Ionescu, R. (2025), "Interpretable deep prototype-based neural networks: can a 1 look like a 0?", </w:t>
      </w:r>
      <w:r>
        <w:rPr>
          <w:rFonts w:ascii="Times New Roman" w:hAnsi="Times New Roman"/>
          <w:b w:val="0"/>
          <w:i/>
          <w:sz w:val="20"/>
        </w:rPr>
        <w:t>Electronics</w:t>
      </w:r>
      <w:r>
        <w:rPr>
          <w:rFonts w:ascii="Times New Roman" w:hAnsi="Times New Roman"/>
          <w:b w:val="0"/>
          <w:i w:val="0"/>
          <w:sz w:val="20"/>
        </w:rPr>
        <w:t>, Vol. 14, No. 18, 3584. DOI: https://doi.org/10.3390/electronics14183584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Han, K., Wang, Y., Guo, J., Tang, Y., Wu, E. (2022), "Vision GNN: an image is worth graph of nodes",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35, pp. 8291–8303. DOI: https://doi.org/10.52202/068431-0603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Chatbri, H., Kameyama, K., Kwan, P. (2016), "A comparative study using contours and skeletons as shape representations for binary image matching",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76, pp. 59–66. DOI: https://doi.org/10.1016/j.patrec.2015.04.007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Shen, W., Jiang, Y., Gao, W., Zeng, D., Wang, X. (2016), "Shape recognition by bag of skeleton-associated contour parts",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83, pp. 321–329. DOI: https://doi.org/10.1016/j.patrec.2016.02.002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Elsharkawi, I., Sharara, H., Rafea, A. (2026), "ViG-LRGC: vision graph neural networks with learnable reparameterized graph construction",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207, pp. 36–41. DOI: https://doi.org/10.1016/j.patrec.2026.06.001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Senior, H., Slabaugh, G., Yuan, S., Rossi, L. (2025), "Graph neural networks in vision-language image understanding: a survey", </w:t>
      </w:r>
      <w:r>
        <w:rPr>
          <w:rFonts w:ascii="Times New Roman" w:hAnsi="Times New Roman"/>
          <w:b w:val="0"/>
          <w:i/>
          <w:sz w:val="20"/>
        </w:rPr>
        <w:t>The Visual Computer</w:t>
      </w:r>
      <w:r>
        <w:rPr>
          <w:rFonts w:ascii="Times New Roman" w:hAnsi="Times New Roman"/>
          <w:b w:val="0"/>
          <w:i w:val="0"/>
          <w:sz w:val="20"/>
        </w:rPr>
        <w:t>, Vol. 41, No. 1, pp. 491–516. DOI: https://doi.org/10.1007/s00371-024-03343-0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17. Conte, D., Foggia, P., Sansone, C., Vento, M. (2004), "Thirty years of graph matching in pattern recognition", </w:t>
      </w:r>
      <w:r>
        <w:rPr>
          <w:rFonts w:ascii="Times New Roman" w:hAnsi="Times New Roman"/>
          <w:b w:val="0"/>
          <w:i/>
          <w:sz w:val="20"/>
        </w:rPr>
        <w:t>International Journal of Pattern Recognition and Artificial Intelligence</w:t>
      </w:r>
      <w:r>
        <w:rPr>
          <w:rFonts w:ascii="Times New Roman" w:hAnsi="Times New Roman"/>
          <w:b w:val="0"/>
          <w:i w:val="0"/>
          <w:sz w:val="20"/>
        </w:rPr>
        <w:t>, Vol. 18, No. 3, pp. 265–298. DOI: https://doi.org/10.1142/S0218001404003228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18. Riesen, K., Bunke, H. (2009), "Approximate graph edit distance computation by means of bipartite graph matching", </w:t>
      </w:r>
      <w:r>
        <w:rPr>
          <w:rFonts w:ascii="Times New Roman" w:hAnsi="Times New Roman"/>
          <w:b w:val="0"/>
          <w:i/>
          <w:sz w:val="20"/>
        </w:rPr>
        <w:t>Image and Vision Computing</w:t>
      </w:r>
      <w:r>
        <w:rPr>
          <w:rFonts w:ascii="Times New Roman" w:hAnsi="Times New Roman"/>
          <w:b w:val="0"/>
          <w:i w:val="0"/>
          <w:sz w:val="20"/>
        </w:rPr>
        <w:t>, Vol. 27, No. 7, pp. 950–959. DOI: https://doi.org/10.1016/j.imavis.2008.04.004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19. Wang, R., Zhang, T., Yu, T., Yan, J., Yang, X. (2021), "Combinatorial learning of graph edit distance via dynamic embedding", </w:t>
      </w:r>
      <w:r>
        <w:rPr>
          <w:rFonts w:ascii="Times New Roman" w:hAnsi="Times New Roman"/>
          <w:b w:val="0"/>
          <w:i/>
          <w:sz w:val="20"/>
        </w:rPr>
        <w:t>2021 IEEE/CVF Conference on Computer Vision and Pattern Recognition (CVPR)</w:t>
      </w:r>
      <w:r>
        <w:rPr>
          <w:rFonts w:ascii="Times New Roman" w:hAnsi="Times New Roman"/>
          <w:b w:val="0"/>
          <w:i w:val="0"/>
          <w:sz w:val="20"/>
        </w:rPr>
        <w:t>, pp. 5237–5246. DOI: https://doi.org/10.1109/CVPR46437.2021.00520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20. Piao, C., Xu, T., Sun, X., Rong, Y., Zhao, K., Cheng, H. (2023), "Computing graph edit distance via neural graph matching",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16, No. 8, pp. 1817–1829. DOI: https://doi.org/10.14778/3594512.3594514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21. Tang, J., Zhao, X., Kong, L., Zhou, X., Li, J. (2025), "Fused Gromov-Wasserstein alignment for graph edit distance computation and beyond",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18, No. 10, pp. 3641–3654. DOI: https://doi.org/10.14778/3748191.3748221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22. Moscatelli, A., Bérar, M., Héroux, P., Yger, F., Adam, S. (2026), "Edges: an expressive and efficient model for learning graph edit distance",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179, 113764. DOI: https://doi.org/10.1016/j.patcog.2026.113764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23. Gan, J., Chen, Y., Hu, B., Leng, J., Wang, W., Gao, X. (2023), "Characters as graphs: interpretable handwritten Chinese character recognition via Pyramid Graph Transformer",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137, 109317. DOI: https://doi.org/10.1016/j.patcog.2023.109317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24. Dong, Y., Wu, B., Ma, J., Li, X. (2026), "Graph-based radical structure tree representation for zero-shot Chinese character recognition",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177, 113314. DOI: https://doi.org/10.1016/j.patcog.2026.113314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25. Snell, J., Swersky, K., Zemel, R. (2017), "Prototypical networks for few-shot learning",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4077–4087. DOI: https://doi.org/10.48550/arXiv.1703.05175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26. Finn, C., Abbeel, P., Levine, S. (2017), "Model-agnostic meta-learning for fast adaptation of deep networks", </w:t>
      </w:r>
      <w:r>
        <w:rPr>
          <w:rFonts w:ascii="Times New Roman" w:hAnsi="Times New Roman"/>
          <w:b w:val="0"/>
          <w:i/>
          <w:sz w:val="20"/>
        </w:rPr>
        <w:t>Proceedings of the 34th International Conference on Machine Learning</w:t>
      </w:r>
      <w:r>
        <w:rPr>
          <w:rFonts w:ascii="Times New Roman" w:hAnsi="Times New Roman"/>
          <w:b w:val="0"/>
          <w:i w:val="0"/>
          <w:sz w:val="20"/>
        </w:rPr>
        <w:t>, PMLR, Vol. 70, pp. 1126–1135. DOI: https://doi.org/10.48550/arXiv.1703.03400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27. Lake, B., Salakhutdinov, R., Tenenbaum, J. (2015), "Human-level concept learning through probabilistic program induction", </w:t>
      </w:r>
      <w:r>
        <w:rPr>
          <w:rFonts w:ascii="Times New Roman" w:hAnsi="Times New Roman"/>
          <w:b w:val="0"/>
          <w:i/>
          <w:sz w:val="20"/>
        </w:rPr>
        <w:t>Science</w:t>
      </w:r>
      <w:r>
        <w:rPr>
          <w:rFonts w:ascii="Times New Roman" w:hAnsi="Times New Roman"/>
          <w:b w:val="0"/>
          <w:i w:val="0"/>
          <w:sz w:val="20"/>
        </w:rPr>
        <w:t>, Vol. 350, No. 6266, pp. 1332–1338. DOI: https://doi.org/10.1126/science.aab3050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28. Ji, Z., Wei, R., Liu, J., Pang, Y., Han, J. (2026), "Interpretable few-shot image classification via prototypical concept-guided mixture of LoRA experts", </w:t>
      </w:r>
      <w:r>
        <w:rPr>
          <w:rFonts w:ascii="Times New Roman" w:hAnsi="Times New Roman"/>
          <w:b w:val="0"/>
          <w:i/>
          <w:sz w:val="20"/>
        </w:rPr>
        <w:t>IEEE Transactions on Image Processing</w:t>
      </w:r>
      <w:r>
        <w:rPr>
          <w:rFonts w:ascii="Times New Roman" w:hAnsi="Times New Roman"/>
          <w:b w:val="0"/>
          <w:i w:val="0"/>
          <w:sz w:val="20"/>
        </w:rPr>
        <w:t>, Vol. 35, pp. 930–942. DOI: https://doi.org/10.1109/TIP.2026.3654473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29. Hinton, G. (2022), "The forward-forward algorithm: some preliminary investigations",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arXiv:2212.13345. DOI: https://doi.org/10.48550/arXiv.2212.13345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30. Nawaz, U., Anees-ur-Rahaman, M., Saeed, Z. (2025), "A review of neuro-symbolic AI integrating reasoning and learning for advanced cognitive systems", </w:t>
      </w:r>
      <w:r>
        <w:rPr>
          <w:rFonts w:ascii="Times New Roman" w:hAnsi="Times New Roman"/>
          <w:b w:val="0"/>
          <w:i/>
          <w:sz w:val="20"/>
        </w:rPr>
        <w:t>Intelligent Systems with Applications</w:t>
      </w:r>
      <w:r>
        <w:rPr>
          <w:rFonts w:ascii="Times New Roman" w:hAnsi="Times New Roman"/>
          <w:b w:val="0"/>
          <w:i w:val="0"/>
          <w:sz w:val="20"/>
        </w:rPr>
        <w:t>, Vol. 26, 200541. DOI: https://doi.org/10.1016/j.iswa.2025.200541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31. Ghader, M., Kheradpisheh, S., Farahani, B., Fazlali, M. (2026), "Backpropagation-free spiking neural networks with the forward–forward algorithm", </w:t>
      </w:r>
      <w:r>
        <w:rPr>
          <w:rFonts w:ascii="Times New Roman" w:hAnsi="Times New Roman"/>
          <w:b w:val="0"/>
          <w:i/>
          <w:sz w:val="20"/>
        </w:rPr>
        <w:t>Scientific Reports</w:t>
      </w:r>
      <w:r>
        <w:rPr>
          <w:rFonts w:ascii="Times New Roman" w:hAnsi="Times New Roman"/>
          <w:b w:val="0"/>
          <w:i w:val="0"/>
          <w:sz w:val="20"/>
        </w:rPr>
        <w:t>, Vol. 16, No. 1, 14294. DOI: https://doi.org/10.1038/s41598-026-41671-4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32. Parzhyn, Y., Lapin, M., Bokhan, K. (2025), "A new approach to building energy models of neural networks", </w:t>
      </w:r>
      <w:r>
        <w:rPr>
          <w:rFonts w:ascii="Times New Roman" w:hAnsi="Times New Roman"/>
          <w:b w:val="0"/>
          <w:i/>
          <w:sz w:val="20"/>
        </w:rPr>
        <w:t>Advanced Information Systems</w:t>
      </w:r>
      <w:r>
        <w:rPr>
          <w:rFonts w:ascii="Times New Roman" w:hAnsi="Times New Roman"/>
          <w:b w:val="0"/>
          <w:i w:val="0"/>
          <w:sz w:val="20"/>
        </w:rPr>
        <w:t>, Vol. 9, No. 4, pp. 100–119. DOI: https://doi.org/10.20998/2522-9052.2025.4.13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33. Parzhyn, Y., Galkyn, S., Sobol, M. (2022), "Method for binary contour images vectorization of handwritten characters for recognition by detector neural networks", </w:t>
      </w:r>
      <w:r>
        <w:rPr>
          <w:rFonts w:ascii="Times New Roman" w:hAnsi="Times New Roman"/>
          <w:b w:val="0"/>
          <w:i/>
          <w:sz w:val="20"/>
        </w:rPr>
        <w:t>2022 IEEE 3rd KhPI Week on Advanced Technology (KhPIWeek)</w:t>
      </w:r>
      <w:r>
        <w:rPr>
          <w:rFonts w:ascii="Times New Roman" w:hAnsi="Times New Roman"/>
          <w:b w:val="0"/>
          <w:i w:val="0"/>
          <w:sz w:val="20"/>
        </w:rPr>
        <w:t>, Kharkiv, Ukraine, pp. 1–6. DOI: https://doi.org/10.1109/KhPIWeek57572.2022.9916331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34. Parzhyn, Y. (2025), "Architecture of information",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arXiv:2503.21794. DOI: https://doi.org/10.48550/arXiv.2503.21794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35. Lapin, M., Bokhan, K. (2025), "Few-shot learning of a graph-based neural network model without backpropagation", </w:t>
      </w:r>
      <w:r>
        <w:rPr>
          <w:rFonts w:ascii="Times New Roman" w:hAnsi="Times New Roman"/>
          <w:b w:val="0"/>
          <w:i/>
          <w:sz w:val="20"/>
        </w:rPr>
        <w:t>Management Information System and Devices</w:t>
      </w:r>
      <w:r>
        <w:rPr>
          <w:rFonts w:ascii="Times New Roman" w:hAnsi="Times New Roman"/>
          <w:b w:val="0"/>
          <w:i w:val="0"/>
          <w:sz w:val="20"/>
        </w:rPr>
        <w:t>, No. 187, pp. 103–122. DOI: https://doi.org/10.30837/0135-1710.2025.187.103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36. Lapin, M., Parzhyn, Y., Bokhan, K., Perevoznyk, K., Aleksandrova, T. (2026), "Invariant structural learning: concept formation as hypergraph attractor dynamics", </w:t>
      </w:r>
      <w:r>
        <w:rPr>
          <w:rFonts w:ascii="Times New Roman" w:hAnsi="Times New Roman"/>
          <w:b w:val="0"/>
          <w:i/>
          <w:sz w:val="20"/>
        </w:rPr>
        <w:t>Innovative Technologies and Scientific Solutions for Industries</w:t>
      </w:r>
      <w:r>
        <w:rPr>
          <w:rFonts w:ascii="Times New Roman" w:hAnsi="Times New Roman"/>
          <w:b w:val="0"/>
          <w:i w:val="0"/>
          <w:sz w:val="20"/>
        </w:rPr>
        <w:t>, No. 2(36), pp. 70–94. DOI: https://doi.org/10.30837/2522-9818.2026.2.070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37. Zhang, T., Suen, C. (1984), "A fast parallel algorithm for thinning digital patterns", </w:t>
      </w:r>
      <w:r>
        <w:rPr>
          <w:rFonts w:ascii="Times New Roman" w:hAnsi="Times New Roman"/>
          <w:b w:val="0"/>
          <w:i/>
          <w:sz w:val="20"/>
        </w:rPr>
        <w:t>Communications of the ACM</w:t>
      </w:r>
      <w:r>
        <w:rPr>
          <w:rFonts w:ascii="Times New Roman" w:hAnsi="Times New Roman"/>
          <w:b w:val="0"/>
          <w:i w:val="0"/>
          <w:sz w:val="20"/>
        </w:rPr>
        <w:t>, Vol. 27, No. 3, pp. 236–239. DOI: https://doi.org/10.1145/357994.358023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38. Fritzke, B. (1995), "A growing neural gas network learns topologies", </w:t>
      </w:r>
      <w:r>
        <w:rPr>
          <w:rFonts w:ascii="Times New Roman" w:hAnsi="Times New Roman"/>
          <w:b w:val="0"/>
          <w:i/>
          <w:sz w:val="20"/>
        </w:rPr>
        <w:t>Advances in Neural Information Processing Systems 7</w:t>
      </w:r>
      <w:r>
        <w:rPr>
          <w:rFonts w:ascii="Times New Roman" w:hAnsi="Times New Roman"/>
          <w:b w:val="0"/>
          <w:i w:val="0"/>
          <w:sz w:val="20"/>
        </w:rPr>
        <w:t>, MIT Press, Cambridge, pp. 625–632.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39. Douglas, D., Peucker, T. (1973), "Algorithms for the reduction of the number of points required to represent a digitized line or its caricature", </w:t>
      </w:r>
      <w:r>
        <w:rPr>
          <w:rFonts w:ascii="Times New Roman" w:hAnsi="Times New Roman"/>
          <w:b w:val="0"/>
          <w:i/>
          <w:sz w:val="20"/>
        </w:rPr>
        <w:t>Cartographica: The International Journal for Geographic Information and Geovisualization</w:t>
      </w:r>
      <w:r>
        <w:rPr>
          <w:rFonts w:ascii="Times New Roman" w:hAnsi="Times New Roman"/>
          <w:b w:val="0"/>
          <w:i w:val="0"/>
          <w:sz w:val="20"/>
        </w:rPr>
        <w:t>, Vol. 10, No. 2, pp. 112–122. DOI: https://doi.org/10.3138/FM57-6770-U75U-7727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40. LeCun, Y., Bottou, L., Bengio, Y., Haffner, P. (1998), "Gradient-based learning applied to document recognition", </w:t>
      </w:r>
      <w:r>
        <w:rPr>
          <w:rFonts w:ascii="Times New Roman" w:hAnsi="Times New Roman"/>
          <w:b w:val="0"/>
          <w:i/>
          <w:sz w:val="20"/>
        </w:rPr>
        <w:t>Proceedings of the IEEE</w:t>
      </w:r>
      <w:r>
        <w:rPr>
          <w:rFonts w:ascii="Times New Roman" w:hAnsi="Times New Roman"/>
          <w:b w:val="0"/>
          <w:i w:val="0"/>
          <w:sz w:val="20"/>
        </w:rPr>
        <w:t>, Vol. 86, No. 11, pp. 2278–2324. DOI: https://doi.org/10.1109/5.726791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center"/>
      </w:pPr>
      <w:r>
        <w:rPr>
          <w:rFonts w:ascii="Times New Roman" w:hAnsi="Times New Roman"/>
          <w:b w:val="0"/>
          <w:i/>
          <w:sz w:val="20"/>
        </w:rPr>
        <w:t>Відомості про автора / About the Author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/>
          <w:i w:val="0"/>
          <w:sz w:val="20"/>
        </w:rPr>
        <w:t>Лапін Микита Олексійович (автор-кореспондент)</w:t>
      </w:r>
      <w:r>
        <w:rPr>
          <w:rFonts w:ascii="Times New Roman" w:hAnsi="Times New Roman"/>
          <w:b w:val="0"/>
          <w:i w:val="0"/>
          <w:sz w:val="20"/>
        </w:rPr>
        <w:t xml:space="preserve"> – аспірант кафедри системного аналізу та інформаційно-аналітичних технологій, Національний технічний університет "Харківський політехнічний інститут", Харків, Україна.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/>
          <w:i w:val="0"/>
          <w:sz w:val="20"/>
        </w:rPr>
        <w:t>Mykyta Lapin (corresponding author)</w:t>
      </w:r>
      <w:r>
        <w:rPr>
          <w:rFonts w:ascii="Times New Roman" w:hAnsi="Times New Roman"/>
          <w:b w:val="0"/>
          <w:i w:val="0"/>
          <w:sz w:val="20"/>
        </w:rPr>
        <w:t xml:space="preserve"> – PhD student at the Department of Systems Analysis and Information-Analytical Technologies, National Technical University "Kharkiv Polytechnic Institute", Kharkiv, Ukraine;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e-mail: Mykyta.Lapin@cit.khpi.edu.ua; </w:t>
      </w:r>
      <w:r>
        <w:rPr>
          <w:rFonts w:ascii="Times New Roman" w:hAnsi="Times New Roman"/>
          <w:b w:val="0"/>
          <w:i w:val="0"/>
          <w:sz w:val="20"/>
        </w:rPr>
        <w:t xml:space="preserve">ORCID Author ID: https://orcid.org/0009-0003-6307-1172; </w:t>
      </w:r>
      <w:r>
        <w:rPr>
          <w:rFonts w:ascii="Times New Roman" w:hAnsi="Times New Roman"/>
          <w:b w:val="0"/>
          <w:i w:val="0"/>
          <w:sz w:val="20"/>
        </w:rPr>
        <w:t>Scopus Author ID: https://www.scopus.com/authid/detail.uri?authorId=60171161300.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>моб. +38(099)244-45-01</w:t>
      </w:r>
    </w:p>
    <w:p>
      <w:pPr>
        <w:spacing w:lineRule="exact" w:line="280" w:before="0" w:after="0"/>
        <w:jc w:val="both"/>
      </w:pP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Предмет дослідження. </w:t>
      </w:r>
      <w:r>
        <w:rPr>
          <w:rFonts w:ascii="Times New Roman" w:hAnsi="Times New Roman"/>
          <w:b w:val="0"/>
          <w:i w:val="0"/>
          <w:sz w:val="20"/>
        </w:rPr>
        <w:t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Мета. </w:t>
      </w:r>
      <w:r>
        <w:rPr>
          <w:rFonts w:ascii="Times New Roman" w:hAnsi="Times New Roman"/>
          <w:b w:val="0"/>
          <w:i w:val="0"/>
          <w:sz w:val="20"/>
        </w:rPr>
        <w:t>Показати, що концепти-атрактори, сформовані з малої кількості прикладів, забезпечують розпізнавання з простежуваним рішенням, і задокументувати умови, за яких результат дійсний.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Завдання. </w:t>
      </w:r>
      <w:r>
        <w:rPr>
          <w:rFonts w:ascii="Times New Roman" w:hAnsi="Times New Roman"/>
          <w:b w:val="0"/>
          <w:i w:val="0"/>
          <w:sz w:val="20"/>
        </w:rPr>
        <w:t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MNIST з явним описом фільтра повноти контуру; продемонструвати пояснюваність трасуванням рішення.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Методи. </w:t>
      </w:r>
      <w:r>
        <w:rPr>
          <w:rFonts w:ascii="Times New Roman" w:hAnsi="Times New Roman"/>
          <w:b w:val="0"/>
          <w:i w:val="0"/>
          <w:sz w:val="20"/>
        </w:rPr>
        <w:t>Скелетизація зображень, Growing Neural Gas (GNG), спрощення Рамера–Дугласа–Пекера, структурна редукція графів, відстань редагування графів, інтервальне узагальнення параметрів.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Результати. </w:t>
      </w:r>
      <w:r>
        <w:rPr>
          <w:rFonts w:ascii="Times New Roman" w:hAnsi="Times New Roman"/>
          <w:b w:val="0"/>
          <w:i w:val="0"/>
          <w:sz w:val="20"/>
        </w:rPr>
        <w:t>Сформовано 13 концептів-атракторів із 76 вручну відібраних оригіналів, розширених до 805 зразків. Точність становить 91,13 %; зважені влучність, повнота і F1 дорівнюють 91,92 %, 91,13 % і 91,34 %. Відтворення одного рішення за збереженими даними дає числовий ланцюг від операцій редагування до оцінки.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Висновки. </w:t>
      </w:r>
      <w:r>
        <w:rPr>
          <w:rFonts w:ascii="Times New Roman" w:hAnsi="Times New Roman"/>
          <w:b w:val="0"/>
          <w:i w:val="0"/>
          <w:sz w:val="20"/>
        </w:rPr>
        <w:t>Розпізнавання без зворотного поширення помилки на основі 76 навчальних оригіналів можливе, а кожне рішення розкладається на операції редагування графів і поознакові вартості. Результат дійсний у межах вручну відфільтрованої підмножини MNIST.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Ключові слова: </w:t>
      </w:r>
      <w:r>
        <w:rPr>
          <w:rFonts w:ascii="Times New Roman" w:hAnsi="Times New Roman"/>
          <w:b w:val="0"/>
          <w:i w:val="0"/>
          <w:sz w:val="20"/>
        </w:rPr>
        <w:t>пояснюваний штучний інтелект; графове подання зображень; концепт-атрактор; структурна редукція; відстань редагування графів; скелетизація; розпізнавання рукописних цифр; навчання з малої кількості прикладів.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