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exact" w:line="280" w:before="0" w:after="0"/>
        <w:jc w:val="both"/>
      </w:pPr>
      <w:r>
        <w:rPr>
          <w:rFonts w:ascii="Times New Roman" w:hAnsi="Times New Roman"/>
          <w:b/>
          <w:i w:val="0"/>
          <w:sz w:val="20"/>
        </w:rPr>
        <w:t>УДК 004.93</w:t>
      </w:r>
    </w:p>
    <w:p>
      <w:pPr>
        <w:spacing w:lineRule="exact" w:line="280" w:before="0" w:after="0"/>
        <w:jc w:val="both"/>
      </w:pPr>
      <w:r>
        <w:rPr>
          <w:rFonts w:ascii="Times New Roman" w:hAnsi="Times New Roman"/>
          <w:b/>
          <w:i w:val="0"/>
          <w:sz w:val="20"/>
        </w:rPr>
        <w:t>Mykyta Lapin</w:t>
      </w:r>
    </w:p>
    <w:p>
      <w:pPr>
        <w:spacing w:lineRule="exact" w:line="280" w:before="120" w:after="120"/>
        <w:jc w:val="center"/>
      </w:pPr>
      <w:r>
        <w:rPr>
          <w:rFonts w:ascii="Times New Roman" w:hAnsi="Times New Roman"/>
          <w:b/>
          <w:i w:val="0"/>
          <w:sz w:val="20"/>
        </w:rPr>
        <w:t>EXPLAINABLE HANDWRITTEN DIGIT RECOGNITION BASED ON GRAPH CONCEPT ATTRACTORS FORMED FROM A SMALL NUMBER OF EXAMPLES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/>
          <w:i/>
          <w:sz w:val="20"/>
        </w:rPr>
        <w:t xml:space="preserve">Subject of study. </w:t>
      </w:r>
      <w:r>
        <w:rPr>
          <w:rFonts w:ascii="Times New Roman" w:hAnsi="Times New Roman"/>
          <w:b w:val="0"/>
          <w:i w:val="0"/>
          <w:sz w:val="20"/>
        </w:rPr>
        <w:t>Explainable handwritten digit recognition based on a graph representation of contour images and concept attractors formed by structural reduction without backpropagation.</w:t>
      </w:r>
      <w:r>
        <w:rPr>
          <w:rFonts w:ascii="Times New Roman" w:hAnsi="Times New Roman"/>
          <w:b w:val="0"/>
          <w:i w:val="0"/>
          <w:sz w:val="20"/>
        </w:rPr>
        <w:t xml:space="preserve"> </w:t>
      </w:r>
      <w:r>
        <w:rPr>
          <w:rFonts w:ascii="Times New Roman" w:hAnsi="Times New Roman"/>
          <w:b/>
          <w:i/>
          <w:sz w:val="20"/>
        </w:rPr>
        <w:t xml:space="preserve">Purpose. </w:t>
      </w:r>
      <w:r>
        <w:rPr>
          <w:rFonts w:ascii="Times New Roman" w:hAnsi="Times New Roman"/>
          <w:b w:val="0"/>
          <w:i w:val="0"/>
          <w:sz w:val="20"/>
        </w:rPr>
        <w:t>To show that concept attractors formed from a small number of examples yield recognition with a traceable decision, and to document the conditions under which the result is valid.</w:t>
      </w:r>
      <w:r>
        <w:rPr>
          <w:rFonts w:ascii="Times New Roman" w:hAnsi="Times New Roman"/>
          <w:b w:val="0"/>
          <w:i w:val="0"/>
          <w:sz w:val="20"/>
        </w:rPr>
        <w:t xml:space="preserve"> </w:t>
      </w:r>
      <w:r>
        <w:rPr>
          <w:rFonts w:ascii="Times New Roman" w:hAnsi="Times New Roman"/>
          <w:b/>
          <w:i/>
          <w:sz w:val="20"/>
        </w:rPr>
        <w:t xml:space="preserve">Objectives. </w:t>
      </w:r>
      <w:r>
        <w:rPr>
          <w:rFonts w:ascii="Times New Roman" w:hAnsi="Times New Roman"/>
          <w:b w:val="0"/>
          <w:i w:val="0"/>
          <w:sz w:val="20"/>
        </w:rPr>
        <w:t>To represent contour images as bipartite graphs; to form an alphabet of concepts by structural reduction with interval generalization of parameters; to build classification on graph edit distance with diagnostic feature weighting; to evaluate the system on the complete-contour subset of MNIST with the filter disclosed; to demonstrate explainability by tracing a decision.</w:t>
      </w:r>
      <w:r>
        <w:rPr>
          <w:rFonts w:ascii="Times New Roman" w:hAnsi="Times New Roman"/>
          <w:b w:val="0"/>
          <w:i w:val="0"/>
          <w:sz w:val="20"/>
        </w:rPr>
        <w:t xml:space="preserve"> </w:t>
      </w:r>
      <w:r>
        <w:rPr>
          <w:rFonts w:ascii="Times New Roman" w:hAnsi="Times New Roman"/>
          <w:b/>
          <w:i/>
          <w:sz w:val="20"/>
        </w:rPr>
        <w:t xml:space="preserve">Methods. </w:t>
      </w:r>
      <w:r>
        <w:rPr>
          <w:rFonts w:ascii="Times New Roman" w:hAnsi="Times New Roman"/>
          <w:b w:val="0"/>
          <w:i w:val="0"/>
          <w:sz w:val="20"/>
        </w:rPr>
        <w:t>Image skeletonization, growing neural gas, Ramer–Douglas–Peucker simplification, structural graph reduction, graph edit distance, interval generalization of parameters.</w:t>
      </w:r>
      <w:r>
        <w:rPr>
          <w:rFonts w:ascii="Times New Roman" w:hAnsi="Times New Roman"/>
          <w:b w:val="0"/>
          <w:i w:val="0"/>
          <w:sz w:val="20"/>
        </w:rPr>
        <w:t xml:space="preserve"> </w:t>
      </w:r>
      <w:r>
        <w:rPr>
          <w:rFonts w:ascii="Times New Roman" w:hAnsi="Times New Roman"/>
          <w:b/>
          <w:i/>
          <w:sz w:val="20"/>
        </w:rPr>
        <w:t xml:space="preserve">Results. </w:t>
      </w:r>
      <w:r>
        <w:rPr>
          <w:rFonts w:ascii="Times New Roman" w:hAnsi="Times New Roman"/>
          <w:b w:val="0"/>
          <w:i w:val="0"/>
          <w:sz w:val="20"/>
        </w:rPr>
        <w:t>Thirteen concept attractors were formed from 76 manually selected sources expanded to 805 images. Of 8,707 admitted images, 8,685 produced decisions: accuracy is 91.13 % over processed images and 90.90 % over all admitted images when 22 pipeline failures are included; support-weighted precision, recall, and F1 are 91.92 %, 91.13 %, and 91.34 %. An archived replay gives one numerical chain from edit operations to the final score.</w:t>
      </w:r>
      <w:r>
        <w:rPr>
          <w:rFonts w:ascii="Times New Roman" w:hAnsi="Times New Roman"/>
          <w:b w:val="0"/>
          <w:i w:val="0"/>
          <w:sz w:val="20"/>
        </w:rPr>
        <w:t xml:space="preserve"> </w:t>
      </w:r>
      <w:r>
        <w:rPr>
          <w:rFonts w:ascii="Times New Roman" w:hAnsi="Times New Roman"/>
          <w:b/>
          <w:i/>
          <w:sz w:val="20"/>
        </w:rPr>
        <w:t xml:space="preserve">Conclusions. </w:t>
      </w:r>
      <w:r>
        <w:rPr>
          <w:rFonts w:ascii="Times New Roman" w:hAnsi="Times New Roman"/>
          <w:b w:val="0"/>
          <w:i w:val="0"/>
          <w:sz w:val="20"/>
        </w:rPr>
        <w:t>Recognition without backpropagation from 76 sources is feasible, and each decision decomposes into edit operations and per-feature costs. The result is valid within the manually filtered MNIST subset; no comparison with other models was made.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/>
          <w:i/>
          <w:sz w:val="20"/>
        </w:rPr>
        <w:t xml:space="preserve">Keywords: </w:t>
      </w:r>
      <w:r>
        <w:rPr>
          <w:rFonts w:ascii="Times New Roman" w:hAnsi="Times New Roman"/>
          <w:b w:val="0"/>
          <w:i w:val="0"/>
          <w:sz w:val="20"/>
        </w:rPr>
        <w:t>explainable artificial intelligence; graph image representation; concept attractor; structural reduction; graph edit distance; skeletonization; handwritten digit recognition; learning from few examples.</w:t>
      </w:r>
    </w:p>
    <w:p>
      <w:pPr>
        <w:spacing w:lineRule="exact" w:line="280" w:before="160" w:after="80"/>
        <w:jc w:val="both"/>
      </w:pPr>
      <w:r>
        <w:rPr>
          <w:rFonts w:ascii="Times New Roman" w:hAnsi="Times New Roman"/>
          <w:b/>
          <w:i w:val="0"/>
          <w:sz w:val="20"/>
        </w:rPr>
        <w:t>1 Вступ</w:t>
      </w:r>
    </w:p>
    <w:p>
      <w:pPr>
        <w:spacing w:lineRule="exact" w:line="280" w:before="160" w:after="80"/>
        <w:jc w:val="both"/>
      </w:pPr>
      <w:r>
        <w:rPr>
          <w:rFonts w:ascii="Times New Roman" w:hAnsi="Times New Roman"/>
          <w:b/>
          <w:i w:val="0"/>
          <w:sz w:val="20"/>
        </w:rPr>
        <w:t>1.1 Актуальність дослідження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Сучасні системи розпізнавання зображень дають високу точність, але їхній внутрішній стан лишається закритим для людини. Модель повертає відповідь і не показує ознак, за якими цю відповідь отримано. Там, де рішення треба обґрунтувати перед оператором, лікарем або аудитором, така закритість стає самостійною проблемою, окремою від якості класифікації.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Найпоширеніший спосіб її подолання — апостеріорні (post-hoc) пояснення. Метод LIME [1] будує локальну лінійну апроксимацію поведінки навченої моделі в околі окремого прикладу. SHAP [2] розподіляє внески ознак за схемою кооперативних ігор; його родина містить як модельно-незалежний Kernel SHAP, так і модельно-специфічні Linear SHAP та Deep SHAP. LIME і Kernel SHAP працюють з моделлю як із чорною скринькою та пояснюють внески ознак, а не відтворюють внутрішню послідовність операцій класифікатора.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Надійність такого наближення має документовані обмеження. Slack et al. [3] показали, що LIME і SHAP піддаються цілеспрямованій маніпуляції: класифікатор з явним упередженням можна побудувати так, щоб згенеровані пояснення це упередження приховали. Hooshyar and Yang [4] виявили нестійкість пояснень до вибору гіперпараметрів і до корельованості ознак. Rudin [5] робить із цього висновок щодо проєктування: у задачах з високою ціною помилки доцільно будувати модель, пояснювану за побудовою, а не додавати зовнішні пояснення до непрозорої; ця робота стає на таку позицію.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Підхід, викладений у статті, робить носієм пояснення структуру подання. Контур зображення кодується атрибутованим графом: вузли відповідають характерним точкам і векторам між ними, а геометричні й семантичні характеристики зберігаються безпосередньо в елементах графа. Пояснення тоді перетворюється на об'єкт, який можна оглянути й перевірити. Цикл у графі відповідає замкненому контуру, степінь вузла описує розгалуження, інтервал значення атрибута задає допустимий діапазон варіації цієї ознаки в межах концепту. Окремий пояснювальний модуль над класифікатором не будується.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Статус отриманого результату варто окреслити відверто. Система перебуває на дослідницькій стадії й не є готовим продуктом. Вона не претендує на рівень точності нейромережевих класифікаторів на еталонних наборах і не порівнюється з ними за цим показником. Рівень розпізнавання людини є заявленим орієнтиром проєкту, але експерименту за участю людей не проводили й досягнення цього рівня не стверджуємо. Наукове питання формулюється інакше, ніж у порівняльних дослідженнях точності: чи можливе розпізнавання без зворотного поширення помилки, з малої кількості навчальних прикладів і з простежуваним за збереженими даними шляхом ухвалення рішення. Практична цінність такої постановки з'являється там, де навчальних даних мало, а рішення має бути придатним до перевірки вручну.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У статті викладено подання зображень атрибутованими двочастковими графами, процедуру формування концептів-атракторів структурною редукцією, класифікацію за подібністю графів і результати оцінювання на MNIST з ручним фільтром повноти контуру. На 8 685 оброблених зображеннях отримано точність 91,13 %, а на всіх 8 707 допущених — 90,90 %. Алфавіт із 13 концептів сформовано з 76 вручну відібраних джерел, розширених до 805 зображень. Окремо наведено архівне відтворення одного рішення.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Отже, дослідження, присвячене пояснюваному розпізнаванню рукописних цифр на основі графових концептів-атракторів, сформованих з малої кількості прикладів, є актуальним.</w:t>
      </w:r>
    </w:p>
    <w:p>
      <w:pPr>
        <w:spacing w:lineRule="exact" w:line="280" w:before="160" w:after="80"/>
        <w:jc w:val="both"/>
      </w:pPr>
      <w:r>
        <w:rPr>
          <w:rFonts w:ascii="Times New Roman" w:hAnsi="Times New Roman"/>
          <w:b/>
          <w:i w:val="0"/>
          <w:sz w:val="20"/>
        </w:rPr>
        <w:t>1.2 Аналіз останніх досліджень і публікацій та постановка проблеми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Апостеріорні методи, названі в підрозділі 1.1, лишаються фактичним стандартом пояснюваності, тому дослідження останніх п'яти років зосередилися на тому, наскільки їхнім поясненням можна довіряти.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Baniecki and Biecek [6] зводять у спільну систему позначень роботи двох галузей — змагального машинного навчання та пояснюваного інтелекту — і систематизують атаки на пояснення разом зі способами захисту від них. Автори показують, що маніпуляція поясненням, його підміна та приховування ознак упередженості моделі (fairwashing) можливі для більшості поширених методів, і формулюють вимоги до протоколів оцінювання пояснень. Предметом огляду є захист апостеріорних пояснювачів; питання про подання, у якому пояснення неможливо відокремити від обчислення, у ньому не порушено.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Bello et al. [7] звертаються до головної труднощі кількісного оцінювання пояснень: для пояснення немає еталона, з яким його можна звірити. Автори пропонують міру LSE (Level of Strength of an Explanation), побудовану за аналогією з відношенням правдоподібності в судовій експертизі, яка показує, наскільки пояснення підтримує саме той клас, що його передбачив класифікатор. Нерозв'язаним лишається те, що якість апостеріорного пояснення доводиться встановлювати опосередковано, окремою процедурою поверх пояснювача, а не читати із самого обчислення.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Альтернативний напрям проєктування — моделі, пояснювані за побудовою, на потребі в яких наполягає Rudin [5]. Огляд методів пояснюваності на основі графів знань [8] систематизує способи, якими явні структурні подання входять до систем пояснюваного інтелекту — від видобування ознак і відношень до міркування над графом.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Forest et al. [9] застосовують моделі з концептним вузьким місцем (concept bottleneck models) до прогнозування залишкового ресурсу обладнання, обравши проміжними концептами режими деградації вузлів. Прогноз завдяки цьому розкладається за станом кожного компонента, а експерт може втрутитися в активації концептів під час випробування без перенавчання моделі. Робота показує практичну користь проміжного шару зрозумілих понять порівняно з методами приписування важливості вхідним ознакам. Відображення "вхід — концепт" у цій схемі лишається навченою нейронною мережею, тому простежити його елементами подання неможливо.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Sovatzidi et al. [10] будують класифікацію зображень на інтуїціоністських нечітких когнітивних картах, структуру графа яких визначає алгоритм навчання за даними. Ступінь вагання (hesitancy) слугує мірою невпевненості віднесення зображення до класу, а рішення подаються лінгвістичними термінами, зрозумілими без додаткового тлумачення. Це один з небагатьох сучасних прикладів, де носієм пояснення є граф, а не надбудова над навченою мережею. Вузли графа відповідають ознакам областей зображення, тому геометрія контуру та топологія його зв'язності в подання не входять.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García-Cuesta et al. [11] показують, що подання прототипів у прототипних мережах можна змінити навмисно або ненавмисно без втрати зовнішньої правдоподібності пояснення. Цей результат мотивує перевіряти, чи має елемент пояснення зміст поза навченим простором вкладень.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Структурні подання форми мають довгу історію в комп'ютерному зорі. Vision GNN [12] трактує зображення як граф вузлів-фрагментів і будує на ньому мережу передавання повідомлень, і тим повертає графове подання в основний напрям глибокого навчання. Chatbri et al. [13] досліджують контури та скелети як подання форми для зіставлення бінарних зображень. Shen et al. [14] будують розпізнавання форми на наборі контурних частин, асоційованих зі скелетом, тобто поєднують обидва описи в одному поданні. Ці роботи підтверджують доцільність структурного опису, але зупиняються на рівні ознак і не роблять структуру носієм самого пояснення.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Elsharkawi et al. [15] розвивають напрям Vision GNN. Автори зауважують, що наявні моделі будують граф кожного шару непараметричними статистичними правилами — k найближчих сусідів, поріг подібності, гіперграф — і пропонують натомість схему LRGC: увагу "ключ — запит" між усіма парами вузлів з м'яким пороговим репараметруванням, завдяки чому вибір сусідства стає диференційовним і навчаним. На наборі ImageNet-1k підхід переважає моделі ViG порівнянного розміру. Граф тут є проміжним поданням усередині мережі, тому його вузли та ребра не мають значення, яке можна прочитати окремо від ваг.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Senior et al. [16] оглядають застосування графових нейронних мереж до розуміння двовимірних зображень і подають систематику типів графів, які використовують у підписуванні зображень, візуальному запитуванні та пошуку. Огляд фіксує, що граф став типовим складником таких конвеєрів як спосіб описати взаємне розташування об'єктів сцени. Роль графа в оглянутих роботах зводиться до постачання структурованих ознак для подальшого навченого модуля; питання про те, чи може сам граф бути записом ухваленого рішення, в огляді не поставлено.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Задачу зіставлення графів досліджують давно. Оглядова праця Conte et al. [17] систематизує точні й наближені алгоритми зіставлення за тридцять років. Відстань редагування графів (Graph Edit Distance, GED) дає міру подібності з прозорою семантикою: вартість перетворення одного графа на інший розкладається на елементарні операції над вузлами та ребрами. Riesen and Bunke [18] запропонували наближення GED за двочастковим призначенням, яке зробило міру придатною для практичних розмірів графів. Wang et al. [19] розвивають гібридні схеми обчислення GED, де частину вартості визначає нейронна мережа. Саме розклад на операції редагування робить GED зручною основою для пояснення: кожен доданок вартості прив'язаний до конкретної пари елементів.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Piao et al. [20] розв'язують обчислення GED двоступеневою схемою: мережа GEDGNN передбачає значення відстані та матрицю відповідності, а подальша обробка відновлює з неї власне шлях редагування. Мотивом роботи є пряме зауваження авторів: моделі, які зводять GED до регресії подібності, дають вищу числову влучність, проте не породжують послідовності операцій, а без неї пояснюваність і практична придатність розв'язку втрачаються. Це формулювання збігається з тим, як GED використано в цій статті, — цінність міри саме в розкладі на елементарні операції. Відмінність у тому, що GEDGNN відновлює шлях редагування засобами навченої мережі, тоді як тут він є прямим результатом самої процедури зіставлення.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Ще два напрями розвитку GED пришвидшують саме обчислення: Tang et al. [21] зводять задачу до відстані Fused Gromov-Wasserstein і будують алгоритм FGWAlign складності O(|V||E|), який на чотирьох наборах даних зменшує похибку понад 80 % і прискорює обчислення в 15–60 разів. FGWAlign явно задає операції редагування та вартості перемаркування вузлів, але використовує загальні мітки й ребра, а не геометричні ознаки цієї роботи. Moscatelli et al. [22] переформульовують квадратичну задачу про призначення як передбачення ребер на графі екземпляра й наскрізно отримують м'яку матрицю відповідності графовою мережею з виразністю рівня 3-WL. Відмінність нашої схеми полягає не в наявності семантики операцій як такої, а в розкладі вартості заміщення за наперед визначеними геометричними ознаками вузлів.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Gan et al. [23] подають рукописні китайські ієрогліфи скелетними графами, а не растровими зображеннями чи часовими траєкторіями, і будують над таким поданням Pyramid Graph Transformer. Вибір мотивовано прямо: растр і траєкторія втрачають геометричну семантику знака, властиву його структурі. За вибором подання це найближча до цієї статті робота — скелет знака як граф. Різниця в тому, що там граф є входом трансформера й рішення визначають його ваги, тоді як тут граф зіставляється з графом концепту, а відповідь складається з переліку заміщень із їхніми вартостями.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Dong et al. [24] для розпізнавання ієрогліфів без навчальних прикладів класу будують низхідне орієнтоване дерево радикалів, яке кодує графова нейронна мережа; спрямоване позиційне кодування розрізняє просторові відношення вузлів у межах одного піддерева. Підхід перевірено на рукописних, сценових, художніх і давніх написаннях. Робота показує, що явний структурний опис знака дає змогу впізнавати класи, яких не було в навчальній вибірці. Сам опис, однак, задано наперед словником радикалів, а не виведено із зображень процедурою узагальнення, як алфавіт концептів у цій статті.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Навчання з малої кількості прикладів розвивається переважно в парадигмі метанавчання. Прототипні мережі [25] будують прототип класу як центроїд опорних прикладів у навченому просторі вкладень. MAML [26] шукає початкові ваги, з яких кілька кроків градієнтного спуску дають придатну модель для нової задачі. Lake et al. [27] демонструють породжувальну програмну модель, яка засвоює рукописний символ з одного прикладу. Ці роботи наведено як контекст постановки задачі; стаття не проводить з ними порівняння за точністю й не претендує на такий порівняльний результат.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Ji et al. [28] поєднують самопояснювані моделі з навчанням за малою кількістю прикладів. Автори формулюють дві перешкоди режиму нестачі даних — параметричний дисбаланс і розлад подань — і долають їх сумішшю LoRA-експертів, узгодженням ознак кістяка мережі з активаціями прототипних концептів та втратою, яка змушує концепти бути взаємно ортогональними. На шести еталонних наборах підхід переважає порівнювані методи. Дослідження підтверджує, що пояснюваність і мала навчальна вибірка сумісні; концепти при цьому лишаються векторами в навченому просторі, а не структурами, придатними до огляду.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Окремий напрям становлять альтернативи зворотному поширенню помилки. Алгоритм Forward-Forward [29] замінює зворотний прохід двома прямими проходами з локальним критерієм і засвідчує стійкий інтерес до навчання без глобального градієнта. Огляд нейросимвольної інтеграції [30] описує спроби поєднати підсимвольне навчання з явними символьними структурами, де символьна частина відповідає за перевірність висновку.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Ghader et al. [31] навчають імпульсні нейронні мережі алгоритмом Forward-Forward: двома прямими проходами з локальним пошаровим критерієм замість зворотного проходу. На статичних наборах MNIST, Fashion-MNIST і Kuzushiji-MNIST модель переважає попередні мережі цього класу за значно легшої архітектури, а на складніших імпульсних завданнях лишається порівнянною з мережами, навченими зворотним поширенням. Робота засвідчує, що відмова від глобального градієнта не є принциповою перешкодою для точності на задачах рівня MNIST. Локальність критерію стосується процедури навчання; подання, з яким працює мережа, лишається розподіленим за вагами й поелементному прочитанню не піддається.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Ця стаття продовжує попередні роботи дослідницької групи. Формалізм енергетичної моделі та прототип на шести класах, який дав 82,44 % точності за 5–6 зразків на клас і один прохід формування, викладено в [32]. Векторизацію бінарних контурів як основу подання описано в [33], а теоретичну рамку архітектури інформації — в [34]. Графову модель навчання з малої кількості прикладів без зворотного поширення помилки подано в [35]. Формування концептів як динаміку структурних атракторів, конвеєр побудови графа та класифікатор на основі GED викладено в [36].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Розглянуті роботи різняться тим, де в них перебуває пояснення щодо обчислення. Огляди та методи оцінювання апостеріорних пояснень [6, 7] працюють ззовні щодо навченої моделі, тому їхні висновки стосуються надійності сурогату, а не самого рішення. Моделі, пояснювані за побудовою [9, 10, 11], переносять пояснення всередину архітектури, але зберігають навчене відображення від входу до проміжних понять. Роботи, які будують подання зображення графом [15, 16, 23, 24], використовують структуру як джерело ознак для подальшого навченого модуля, тому вузли та ребра не мають значення, яке можна прочитати окремо від ваг. Дослідження відстані редагування графів [20, 21, 22] підтверджують цінність шляху редагування; FGWAlign при цьому має визначену семантику операцій. Навчання за малою кількістю прикладів [28] і навчання без зворотного поширення помилки [31] знімають окремо взяті обмеження — потребу у великій вибірці та потребу в глобальному градієнті, — але подання в обох випадках лишається розподіленим за вагами.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Звідси випливає проблема, яку розв'язує ця стаття. Незакритою лишається сукупність чотирьох умов: структура подання є одночасно носієм рішення й носієм пояснення; вартості зіставлення прив'язані до наперед визначених геометричних характеристик, а не засвоєні з даних; результат отримано за десятками навчальних зразків без зворотного поширення помилки; умови оцінювання — фільтр даних і політика відбору навчальних зразків — описані в межах збережених артефактів. Серед розглянутих робіт жодна не поєднує ці умови.</w:t>
      </w:r>
    </w:p>
    <w:p>
      <w:pPr>
        <w:spacing w:lineRule="exact" w:line="280" w:before="160" w:after="80"/>
        <w:jc w:val="both"/>
      </w:pPr>
      <w:r>
        <w:rPr>
          <w:rFonts w:ascii="Times New Roman" w:hAnsi="Times New Roman"/>
          <w:b/>
          <w:i w:val="0"/>
          <w:sz w:val="20"/>
        </w:rPr>
        <w:t>1.3 Мета та завдання дослідження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Мета дослідження — показати, що формування графових концептів-атракторів шляхом структурної редукції без зворотного поширення помилки забезпечує пояснюване розпізнавання рукописних цифр за малої кількості навчальних прикладів, і задокументувати умови, за яких отриманий результат є чинним.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Для досягнення мети розв'язано такі завдання: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1) подати контурні зображення атрибутованими двочастковими графами, у яких вузли-точки та вузли-вектори несуть геометричні й семантичні характеристики;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2) сформувати алфавіт концептів-атракторів ітеративною структурною редукцією навчальних графів з інтервальним узагальненням параметрів;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3) побудувати процедуру класифікації на основі GED з діагностичним зважуванням ознак, за якого вузькі інтервали важать більше у вартості зіставлення;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4) оцінити систему на підмножині повних контурів MNIST з явним описом фільтра повноти та його перекосу за класами;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5) продемонструвати пояснюваність числовим трасуванням одного рішення — від операцій редагування й вартостей за окремими ознаками до підсумкової оцінки.</w:t>
      </w:r>
    </w:p>
    <w:p>
      <w:pPr>
        <w:spacing w:lineRule="exact" w:line="280" w:before="160" w:after="80"/>
        <w:jc w:val="both"/>
      </w:pPr>
      <w:r>
        <w:rPr>
          <w:rFonts w:ascii="Times New Roman" w:hAnsi="Times New Roman"/>
          <w:b/>
          <w:i w:val="0"/>
          <w:sz w:val="20"/>
        </w:rPr>
        <w:t>2 Матеріали та методи</w:t>
      </w:r>
    </w:p>
    <w:p>
      <w:pPr>
        <w:spacing w:lineRule="exact" w:line="280" w:before="160" w:after="80"/>
        <w:jc w:val="both"/>
      </w:pPr>
      <w:r>
        <w:rPr>
          <w:rFonts w:ascii="Times New Roman" w:hAnsi="Times New Roman"/>
          <w:b/>
          <w:i w:val="0"/>
          <w:sz w:val="20"/>
        </w:rPr>
        <w:t>2.1 Графове подання і формування концептів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Подання зображення, конвеєр побудови графа та оператор формування концептів-атракторів викладено в [36]. Тут наведено лише те, що потрібно для читання результатів, і значення параметрів оцінюваного прогону; там, де цей опис розходиться з [36], для наведених результатів чинним є цей.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Зображення цифри подано атрибутованим двочастковим графом. Вузол-точка (Point) описує характерну точку контуру: кінець відкритого контуру (EndPoint), різку зміну напрямку (CornerPoint), перетин ліній (IntersectionPoint) або початок обходу (StartPoint). Вузол-вектор (Vector) описує прямолінійний відрізок між двома сусідніми точками і має власні атрибути довжини та напрямку, тому бере участь у порівнянні нарівні з точками.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Граф будують із напівтонового зображення 100×100 пікселів послідовністю, наведеною на рис. 1. Після бінаризації з маски вилучають компоненти до 9 пікселів і виконують морфологічне замикання ядром 3×3, маску стоншують до одного пікселя [37], а кінцеві гілки, коротші за максимум із 8 % довжини скелета і 5 пікселів, обрізають. Скелет апроксимують зростаючим нейронним газом (Growing Neural Gas, GNG) [38], мережу спрощують алгоритмом Рамера—Дугласа—Пекера з допуском 4,55 [39], після чого короткі перемички між розгалуженнями зливають. Початковий поріг бінаризації дорівнює 110; якщо побудова завершується помилкою або дає незв'язний граф, її повторюють із порогом, зменшеним на 5, до мінімуму 20. Очищення, обрізання гілок і злиття перемичок можуть змінити топологію. Координати вузлів відлічують від центра обмежувального прямокутника точок графа, ділять на його півдіагональ і округлюють до одного знака. Той самий конвеєр застосовують до навчальних і тестових зображень.</w:t>
      </w:r>
    </w:p>
    <w:p>
      <w:pPr>
        <w:spacing w:lineRule="auto" w:line="240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23169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16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280" w:before="0" w:after="120"/>
        <w:jc w:val="center"/>
      </w:pPr>
      <w:r>
        <w:rPr>
          <w:rFonts w:ascii="Times New Roman" w:hAnsi="Times New Roman"/>
          <w:b w:val="0"/>
          <w:i/>
          <w:sz w:val="18"/>
        </w:rPr>
        <w:t>Рис. 1 – Конвеєр побудови графового подання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Концепт-атрактор класу формують одним проходом через колекцію навчальних графів. Початковим станом концепту є граф першого зразка; кожен наступний зразок уточнює концепт структурною редукцією: вилучають кінцеві точки без відповідника разом зі шляхом до найближчого розгалуження, зливають або перемарковують точки перетину, вилучають надлишкові кутові точки, і в концепті лишається спільна для зразків частина структури. Числові атрибути відповідних вузлів зливають в інтервали з межами min і max та значенням center — середнім значень, поданих на поточний крок злиття. Автоматичної перевірки зміни концепту й умови зупинки цикл формування не має.</w:t>
      </w:r>
    </w:p>
    <w:p>
      <w:pPr>
        <w:spacing w:lineRule="exact" w:line="280" w:before="160" w:after="80"/>
        <w:jc w:val="both"/>
      </w:pPr>
      <w:r>
        <w:rPr>
          <w:rFonts w:ascii="Times New Roman" w:hAnsi="Times New Roman"/>
          <w:b/>
          <w:i w:val="0"/>
          <w:sz w:val="20"/>
        </w:rPr>
        <w:t>2.2 Навчальні дані та політика відбору зразків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Алфавіт складається з 13 концептів для 10 класів цифр. Класи 1, 2 і 4 мають по два структурні підконцепти — 1_1 і 1_3, 2_1 і 2_2, 4_1 і 4_2, — бо ці цифри пишуть у двох топологічно різних стилях, які не зводяться один до одного редукцією. Решта класів мають по одному концепту. Розміри концептів і кількість навчальних зразків наведено в підрозділі 3.1.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Автор вручну подав від 3 до 9 вихідних джерел на концепт, застосовуючи критерій незмінності концепту під час укладання колекції. 76 джерел доповнено аугментованими варіантами з обертанням і малим зсувом; точний історичний рецепт не збережено. Разом колекція містить 805 зображень. Оригінали й аугментації спільно проходять структурну редукцію; окремого етапу, де лише аугментації задають інтервали, немає.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Джерела відібрано вручну, а не випадково. Критерій відбору — найменш спотворені написання без розривів контуру. В основі такого відбору лежить припущення, що правильно розпізнаний представник класу вже містить усі структурні й топологічні ознаки цього класу. Тоді формування концепту потребує не репрезентативної вибірки розподілу, а невеликої кількості структурно повних написань.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Межі цього припущення відомі лише частково. Чутливість підсумкової точності до конкретного вибору зразків у цій роботі не вимірювали. Кількість 76 відновлено групуванням назв файлів. 76 джерел узято з навчального розбиття MNIST (60 000 зображень), а оцінювання використовує тестове розбиття (10 000 зображень), тому ці два набори не перетинаються.</w:t>
      </w:r>
    </w:p>
    <w:p>
      <w:pPr>
        <w:spacing w:lineRule="exact" w:line="280" w:before="160" w:after="80"/>
        <w:jc w:val="both"/>
      </w:pPr>
      <w:r>
        <w:rPr>
          <w:rFonts w:ascii="Times New Roman" w:hAnsi="Times New Roman"/>
          <w:b/>
          <w:i w:val="0"/>
          <w:sz w:val="20"/>
        </w:rPr>
        <w:t>2.3 Класифікація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Класифікація зіставляє граф вхідного зображення з кожним концептом алфавіту в чотири кроки: фільтр складності; окрема для кожного концепту попередня обробка входу з вибором StartPoint, переобчисленням напрямків і редукцією критичних точок; структурна перевірка; GED для пар, що лишилися. Складність графа — сума кількості його вузлів і ребер; концепти з більшою складністю, ніж початковий вхідний граф, відкидаються до попередньої обробки.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Міру відмінності двох графів дає GED — мінімальна сумарна вартість послідовності операцій, яка перетворює один граф на інший. Операціями редагування є вставлення, вилучення та заміщення вузлів і ребер. Точне обчислення GED є NP-складною задачею, тому практичні системи спираються на наближені алгоритми [18]. У цій роботі відстань обчислює anytime-розв'язувач, який шукає оптимальні шляхи редагування з налаштованим бюджетом 5 с на одне порівняння "зображення — концепт" і повертає найкращий знайдений результат. У реалізації прогону час перевіряють лише після чергового результату генератора, тому це номінальний бюджет, а не гарантована верхня межа.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Вартості заміщення задано монотонною шкалою: NO_COST = 0, MINOR = 0,25, GENERAL = 0,5, SEVERE = 0,8, NO_MATCH = 1,0 та IMPOSSIBLE = 6,0. Несумісне заміщення й вставлення вузла коштують 6,0, вилучення вузла — 0,25, вилучення ребра — 0,25, вставлення ребра — 0; атрибути ребер не порівнюються. Отже, це спрямована схема вартостей для перетворення графа зображення на граф концепту, а не симетрична метрика.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Порівняння вузлів спирається на 13 ознак: нормалізовані координати, відстань до центроїда, горизонтальний і вертикальний напрямки, кут з віссю абсцис, мінімальний кут у вузлі розгалуження, індикатор кінцевої точки, індикатор кутової точки, відношення довжини до максимальної, середню довжину сусідніх векторів, кількість сусідніх кінцевих точок і кількість сусідніх розгалужень.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Ознаки зважено діагностично: ненормована вага інтервальної ознаки обернена до ширини її інтервалу у вузлі концепту, збільшеної на сталу </w:t>
      </w:r>
      <m:oMath>
        <m:sSub>
          <m:e>
            <m:r>
              <w:rPr>
                <w:sz w:val="20"/>
                <w:szCs w:val="20"/>
              </w:rPr>
              <m:t>ε</m:t>
            </m:r>
          </m:e>
          <m:sub>
            <m:r>
              <w:rPr>
                <w:sz w:val="20"/>
                <w:szCs w:val="20"/>
              </w:rPr>
              <m:t>w</m:t>
            </m:r>
          </m:sub>
        </m:sSub>
      </m:oMath>
      <w:r>
        <w:rPr>
          <w:rFonts w:ascii="Times New Roman" w:hAnsi="Times New Roman"/>
          <w:b w:val="0"/>
          <w:i w:val="0"/>
          <w:sz w:val="20"/>
        </w:rPr>
        <w:t xml:space="preserve"> = 0,1, тому вузькі інтервали важать більше. Категорійні ознаки ширини не мають: вага кожного з двох напрямків дорівнює 0,6, індикаторів кінцевої й кутової точки — 0,4. Ваги нормують за спільними вибраними ознаками двох вузлів; відсутній ключ пропускають, а за відсутності спільних ознак призначають NO_MATCH. Значення в інтервалі коштує від нуля в center до нормованої ваги ознаки на межі інтервалу, лінійно за відстанню від center; нульова ширина дає точний збіг. Значення поза інтервалом завжди коштує 1,0 незалежно від ширини. Вартість заміщення вузла є сумою вартостей ознак.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Сумарну вартість редагування </w:t>
      </w:r>
      <m:oMath>
        <m:r>
          <w:rPr>
            <w:sz w:val="20"/>
            <w:szCs w:val="20"/>
          </w:rPr>
          <m:t>c</m:t>
        </m:r>
      </m:oMath>
      <w:r>
        <w:rPr>
          <w:rFonts w:ascii="Times New Roman" w:hAnsi="Times New Roman"/>
          <w:b w:val="0"/>
          <w:i w:val="0"/>
          <w:sz w:val="20"/>
        </w:rPr>
        <w:t xml:space="preserve"> переводять у подібність за формулою (1):</w:t>
      </w:r>
    </w:p>
    <w:p>
      <w:pPr>
        <w:tabs>
          <w:tab w:pos="9638" w:val="right"/>
        </w:tabs>
        <w:spacing w:lineRule="auto" w:line="240" w:before="80" w:after="80"/>
        <w:jc w:val="center"/>
      </w:pPr>
      <m:oMathPara>
        <m:oMath>
          <m:r>
            <m:rPr>
              <m:sty m:val="p"/>
            </m:rPr>
            <w:rPr>
              <w:sz w:val="20"/>
              <w:szCs w:val="20"/>
            </w:rPr>
            <m:t>s</m:t>
          </m:r>
          <m:r>
            <m:rPr>
              <m:sty m:val="p"/>
            </m:rPr>
            <w:rPr>
              <w:sz w:val="20"/>
              <w:szCs w:val="20"/>
            </w:rPr>
            <m:t>i</m:t>
          </m:r>
          <m:r>
            <m:rPr>
              <m:sty m:val="p"/>
            </m:rPr>
            <w:rPr>
              <w:sz w:val="20"/>
              <w:szCs w:val="20"/>
            </w:rPr>
            <m:t>m</m:t>
          </m:r>
          <m:r>
            <m:rPr>
              <m:sty m:val="p"/>
            </m:rPr>
            <w:rPr>
              <w:sz w:val="20"/>
              <w:szCs w:val="20"/>
            </w:rPr>
            <m:t>(</m:t>
          </m:r>
          <m:sSub>
            <m:e>
              <m:r>
                <w:rPr>
                  <w:sz w:val="20"/>
                  <w:szCs w:val="20"/>
                </w:rPr>
                <m:t>G</m:t>
              </m:r>
            </m:e>
            <m:sub>
              <m:r>
                <w:rPr>
                  <w:sz w:val="20"/>
                  <w:szCs w:val="20"/>
                </w:rPr>
                <m:t>1</m:t>
              </m:r>
            </m:sub>
          </m:sSub>
          <m:r>
            <m:rPr>
              <m:sty m:val="p"/>
            </m:rPr>
            <w:rPr>
              <w:sz w:val="20"/>
              <w:szCs w:val="20"/>
            </w:rPr>
            <m:t>,</m:t>
          </m:r>
          <m:sSub>
            <m:e>
              <m:r>
                <w:rPr>
                  <w:sz w:val="20"/>
                  <w:szCs w:val="20"/>
                </w:rPr>
                <m:t>G</m:t>
              </m:r>
            </m:e>
            <m:sub>
              <m:r>
                <w:rPr>
                  <w:sz w:val="20"/>
                  <w:szCs w:val="20"/>
                </w:rPr>
                <m:t>2</m:t>
              </m:r>
            </m:sub>
          </m:sSub>
          <m:r>
            <m:rPr>
              <m:sty m:val="p"/>
            </m:rPr>
            <w:rPr>
              <w:sz w:val="20"/>
              <w:szCs w:val="20"/>
            </w:rPr>
            <m:t>)</m:t>
          </m:r>
          <m:r>
            <m:rPr>
              <m:sty m:val="p"/>
            </m:rPr>
            <w:rPr>
              <w:sz w:val="20"/>
              <w:szCs w:val="20"/>
            </w:rPr>
            <m:t>=</m:t>
          </m:r>
          <m:r>
            <w:rPr>
              <w:sz w:val="20"/>
              <w:szCs w:val="20"/>
            </w:rPr>
            <m:t>1</m:t>
          </m:r>
          <m:r>
            <m:rPr>
              <m:sty m:val="p"/>
            </m:rPr>
            <w:rPr>
              <w:sz w:val="20"/>
              <w:szCs w:val="20"/>
            </w:rPr>
            <m:t>−</m:t>
          </m:r>
          <m:f>
            <m:fPr>
              <m:type m:val="bar"/>
            </m:fPr>
            <m:num>
              <m:r>
                <w:rPr>
                  <w:sz w:val="20"/>
                  <w:szCs w:val="20"/>
                </w:rPr>
                <m:t>c</m:t>
              </m:r>
            </m:num>
            <m:den>
              <m:r>
                <w:rPr>
                  <w:sz w:val="20"/>
                  <w:szCs w:val="20"/>
                </w:rPr>
                <m:t>c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+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max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(</m:t>
              </m:r>
              <m:sSub>
                <m:e>
                  <m:r>
                    <w:rPr>
                      <w:sz w:val="20"/>
                      <w:szCs w:val="20"/>
                    </w:rPr>
                    <m:t>n</m:t>
                  </m:r>
                </m:e>
                <m:sub>
                  <m:r>
                    <w:rPr>
                      <w:sz w:val="20"/>
                      <w:szCs w:val="20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sz w:val="20"/>
                  <w:szCs w:val="20"/>
                </w:rPr>
                <m:t>,</m:t>
              </m:r>
              <m:r>
                <w:rPr>
                  <w:sz w:val="20"/>
                  <w:szCs w:val="20"/>
                </w:rPr>
                <m:t> </m:t>
              </m:r>
              <m:sSub>
                <m:e>
                  <m:r>
                    <w:rPr>
                      <w:sz w:val="20"/>
                      <w:szCs w:val="20"/>
                    </w:rPr>
                    <m:t>n</m:t>
                  </m:r>
                </m:e>
                <m:sub>
                  <m:r>
                    <w:rPr>
                      <w:sz w:val="20"/>
                      <w:szCs w:val="20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sz w:val="20"/>
                  <w:szCs w:val="20"/>
                </w:rPr>
                <m:t>)</m:t>
              </m:r>
            </m:den>
          </m:f>
        </m:oMath>
      </m:oMathPara>
      <w:r>
        <w:rPr>
          <w:rFonts w:ascii="Times New Roman" w:hAnsi="Times New Roman"/>
          <w:b w:val="0"/>
          <w:i w:val="0"/>
          <w:sz w:val="20"/>
        </w:rPr>
        <w:tab/>
        <w:t>(1)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де </w:t>
      </w:r>
      <m:oMath>
        <m:sSub>
          <m:e>
            <m:r>
              <w:rPr>
                <w:sz w:val="20"/>
                <w:szCs w:val="20"/>
              </w:rPr>
              <m:t>n</m:t>
            </m:r>
          </m:e>
          <m:sub>
            <m:r>
              <w:rPr>
                <w:sz w:val="20"/>
                <w:szCs w:val="20"/>
              </w:rPr>
              <m:t>1</m:t>
            </m:r>
          </m:sub>
        </m:sSub>
      </m:oMath>
      <w:r>
        <w:rPr>
          <w:rFonts w:ascii="Times New Roman" w:hAnsi="Times New Roman"/>
          <w:b w:val="0"/>
          <w:i w:val="0"/>
          <w:sz w:val="20"/>
        </w:rPr>
        <w:t xml:space="preserve"> і </w:t>
      </w:r>
      <m:oMath>
        <m:sSub>
          <m:e>
            <m:r>
              <w:rPr>
                <w:sz w:val="20"/>
                <w:szCs w:val="20"/>
              </w:rPr>
              <m:t>n</m:t>
            </m:r>
          </m:e>
          <m:sub>
            <m:r>
              <w:rPr>
                <w:sz w:val="20"/>
                <w:szCs w:val="20"/>
              </w:rPr>
              <m:t>2</m:t>
            </m:r>
          </m:sub>
        </m:sSub>
      </m:oMath>
      <w:r>
        <w:rPr>
          <w:rFonts w:ascii="Times New Roman" w:hAnsi="Times New Roman"/>
          <w:b w:val="0"/>
          <w:i w:val="0"/>
          <w:sz w:val="20"/>
        </w:rPr>
        <w:t xml:space="preserve"> — складності двох графів після залежної від концепту попередньої обробки. Подібність округлюють до чотирьох знаків; нормування на більшу складність робить її порівнянною для концептів різного розміру.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Переможця обирають за правилом "переможець отримує все" (winner-take-all) з поправкою на складність концепту (2):</w:t>
      </w:r>
    </w:p>
    <w:p>
      <w:pPr>
        <w:tabs>
          <w:tab w:pos="9638" w:val="right"/>
        </w:tabs>
        <w:spacing w:lineRule="auto" w:line="240" w:before="80" w:after="80"/>
        <w:jc w:val="center"/>
      </w:pPr>
      <m:oMathPara>
        <m:oMath>
          <m:r>
            <m:rPr>
              <m:sty m:val="p"/>
            </m:rPr>
            <w:rPr>
              <w:sz w:val="20"/>
              <w:szCs w:val="20"/>
            </w:rPr>
            <m:t>s</m:t>
          </m:r>
          <m:r>
            <m:rPr>
              <m:sty m:val="p"/>
            </m:rPr>
            <w:rPr>
              <w:sz w:val="20"/>
              <w:szCs w:val="20"/>
            </w:rPr>
            <m:t>c</m:t>
          </m:r>
          <m:r>
            <m:rPr>
              <m:sty m:val="p"/>
            </m:rPr>
            <w:rPr>
              <w:sz w:val="20"/>
              <w:szCs w:val="20"/>
            </w:rPr>
            <m:t>o</m:t>
          </m:r>
          <m:r>
            <m:rPr>
              <m:sty m:val="p"/>
            </m:rPr>
            <w:rPr>
              <w:sz w:val="20"/>
              <w:szCs w:val="20"/>
            </w:rPr>
            <m:t>r</m:t>
          </m:r>
          <m:r>
            <m:rPr>
              <m:sty m:val="p"/>
            </m:rPr>
            <w:rPr>
              <w:sz w:val="20"/>
              <w:szCs w:val="20"/>
            </w:rPr>
            <m:t>e</m:t>
          </m:r>
          <m:r>
            <m:rPr>
              <m:sty m:val="p"/>
            </m:rPr>
            <w:rPr>
              <w:sz w:val="20"/>
              <w:szCs w:val="20"/>
            </w:rPr>
            <m:t>=</m:t>
          </m:r>
          <m:r>
            <m:rPr>
              <m:sty m:val="p"/>
            </m:rPr>
            <w:rPr>
              <w:sz w:val="20"/>
              <w:szCs w:val="20"/>
            </w:rPr>
            <m:t>s</m:t>
          </m:r>
          <m:r>
            <m:rPr>
              <m:sty m:val="p"/>
            </m:rPr>
            <w:rPr>
              <w:sz w:val="20"/>
              <w:szCs w:val="20"/>
            </w:rPr>
            <m:t>i</m:t>
          </m:r>
          <m:r>
            <m:rPr>
              <m:sty m:val="p"/>
            </m:rPr>
            <w:rPr>
              <w:sz w:val="20"/>
              <w:szCs w:val="20"/>
            </w:rPr>
            <m:t>m</m:t>
          </m:r>
          <m:r>
            <m:rPr>
              <m:sty m:val="p"/>
            </m:rPr>
            <w:rPr>
              <w:sz w:val="20"/>
              <w:szCs w:val="20"/>
            </w:rPr>
            <m:t>+</m:t>
          </m:r>
          <m:r>
            <w:rPr>
              <w:sz w:val="20"/>
              <w:szCs w:val="20"/>
            </w:rPr>
            <m:t>λ</m:t>
          </m:r>
          <m:sSub>
            <m:e>
              <m:r>
                <m:rPr>
                  <m:sty m:val="p"/>
                </m:rPr>
                <w:rPr>
                  <w:sz w:val="20"/>
                  <w:szCs w:val="20"/>
                </w:rPr>
                <m:t>log</m:t>
              </m:r>
            </m:e>
            <m:sub>
              <m:r>
                <w:rPr>
                  <w:sz w:val="20"/>
                  <w:szCs w:val="20"/>
                </w:rPr>
                <m:t>2</m:t>
              </m:r>
            </m:sub>
          </m:sSub>
          <m:r>
            <w:rPr>
              <w:sz w:val="20"/>
              <w:szCs w:val="20"/>
            </w:rPr>
            <m:t>C</m:t>
          </m:r>
        </m:oMath>
      </m:oMathPara>
      <w:r>
        <w:rPr>
          <w:rFonts w:ascii="Times New Roman" w:hAnsi="Times New Roman"/>
          <w:b w:val="0"/>
          <w:i w:val="0"/>
          <w:sz w:val="20"/>
        </w:rPr>
        <w:tab/>
        <w:t>(2)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де </w:t>
      </w:r>
      <m:oMath>
        <m:r>
          <w:rPr>
            <w:sz w:val="20"/>
            <w:szCs w:val="20"/>
          </w:rPr>
          <m:t>C</m:t>
        </m:r>
      </m:oMath>
      <w:r>
        <w:rPr>
          <w:rFonts w:ascii="Times New Roman" w:hAnsi="Times New Roman"/>
          <w:b w:val="0"/>
          <w:i w:val="0"/>
          <w:sz w:val="20"/>
        </w:rPr>
        <w:t xml:space="preserve"> — складність концепту, </w:t>
      </w:r>
      <m:oMath>
        <m:r>
          <w:rPr>
            <w:sz w:val="20"/>
            <w:szCs w:val="20"/>
          </w:rPr>
          <m:t>λ</m:t>
        </m:r>
      </m:oMath>
      <w:r>
        <w:rPr>
          <w:rFonts w:ascii="Times New Roman" w:hAnsi="Times New Roman"/>
          <w:b w:val="0"/>
          <w:i w:val="0"/>
          <w:sz w:val="20"/>
        </w:rPr>
        <w:t xml:space="preserve"> = 0,10. Концепт активується, якщо його попередня обробка й структурна перевірка завершилися успішно та GED обчислено. Активовані результати мають пріоритет над структурно відхиленими; серед активованих перемагає найбільша оцінка. Якщо активованих концептів немає, зображення позначають як нерозпізнане.</w:t>
      </w:r>
    </w:p>
    <w:p>
      <w:pPr>
        <w:spacing w:lineRule="exact" w:line="280" w:before="160" w:after="80"/>
        <w:jc w:val="both"/>
      </w:pPr>
      <w:r>
        <w:rPr>
          <w:rFonts w:ascii="Times New Roman" w:hAnsi="Times New Roman"/>
          <w:b/>
          <w:i w:val="0"/>
          <w:sz w:val="20"/>
        </w:rPr>
        <w:t>3 Результати</w:t>
      </w:r>
    </w:p>
    <w:p>
      <w:pPr>
        <w:spacing w:lineRule="exact" w:line="280" w:before="160" w:after="80"/>
        <w:jc w:val="both"/>
      </w:pPr>
      <w:r>
        <w:rPr>
          <w:rFonts w:ascii="Times New Roman" w:hAnsi="Times New Roman"/>
          <w:b/>
          <w:i w:val="0"/>
          <w:sz w:val="20"/>
        </w:rPr>
        <w:t>3.1 Алфавіт концептів-атракторів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Point–Vector подання з двома видами вузлів і 13 вибраними ознаками зіставлення побудовано. Структурною редукцією одним проходом через 76 вручну відібраних джерел та їхні аугментації, разом 805 зображень, сформовано 13 концептів-атракторів для 10 класів цифр. Концепти містять від 3 до 12 вузлів, на кожен подано від 3 до 9 вихідних джерел (табл. 1).</w:t>
      </w:r>
    </w:p>
    <w:p>
      <w:pPr>
        <w:spacing w:lineRule="exact" w:line="280" w:before="120" w:after="0"/>
        <w:jc w:val="center"/>
      </w:pPr>
      <w:r>
        <w:rPr>
          <w:rFonts w:ascii="Times New Roman" w:hAnsi="Times New Roman"/>
          <w:b/>
          <w:i/>
          <w:sz w:val="18"/>
        </w:rPr>
        <w:t>Таблиця 1 – Алфавіт концептів: кількість вузлів і вихідних джерел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Концепт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Кількість вузлів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Вихідних джерел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0_1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10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1_1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1_3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4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2_1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2_2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12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3_1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4_1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4_2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5_1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6_1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10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7_1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8_1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11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9_2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</w:t>
            </w:r>
          </w:p>
        </w:tc>
      </w:tr>
    </w:tbl>
    <w:p>
      <w:pPr>
        <w:spacing w:lineRule="exact" w:line="280" w:before="0" w:after="0"/>
        <w:jc w:val="both"/>
      </w:pPr>
    </w:p>
    <w:p>
      <w:pPr>
        <w:spacing w:lineRule="exact" w:line="280" w:before="160" w:after="80"/>
        <w:jc w:val="both"/>
      </w:pPr>
      <w:r>
        <w:rPr>
          <w:rFonts w:ascii="Times New Roman" w:hAnsi="Times New Roman"/>
          <w:b/>
          <w:i w:val="0"/>
          <w:sz w:val="20"/>
        </w:rPr>
        <w:t>3.2 Дані оцінювання і фільтр повноти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Повноту контуру розмічено вручну: кожне тестове зображення позначили як повне або неповне, до оцінювання допустили лише повні. Детальнішого протоколу розмітки не існує, а його незалежність від результатів класифікації не перевірено.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Із 10 000 тестових зображень MNIST [40] допущено 8 707, тобто 87,07 %; 1 293 (12,93 %) виключено. Розпізнавання розірваних структур потребує окремого асоціативного механізму, якого система не має, тому метрики характеризують лише допущену підмножину.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Збереження за класами нерівномірне (табл. 2): від 582/974 = 59,75 % для цифри 8 до 1 129/1 135 = 99,47 % для цифри 1.</w:t>
      </w:r>
    </w:p>
    <w:p>
      <w:pPr>
        <w:spacing w:lineRule="exact" w:line="280" w:before="120" w:after="0"/>
        <w:jc w:val="center"/>
      </w:pPr>
      <w:r>
        <w:rPr>
          <w:rFonts w:ascii="Times New Roman" w:hAnsi="Times New Roman"/>
          <w:b/>
          <w:i/>
          <w:sz w:val="18"/>
        </w:rPr>
        <w:t>Таблиця 2 – Збереження класів MNIST після ручного фільтра повноти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Клас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Допущено / у MNIST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Збережено, %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830 / 980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84,69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1 129 / 1 135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99,47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956 / 1 032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92,64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969 / 1 010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95,94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953 / 982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97,05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796 / 892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89,24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742 / 958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77,45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1 014 / 1 028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98,64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582 / 974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59,75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736 / 1 009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72,94</w:t>
            </w:r>
          </w:p>
        </w:tc>
      </w:tr>
      <w:tr>
        <w:tc>
          <w:tcPr>
            <w:tcW w:type="dxa" w:w="3213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Разом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8 707 / 10 000</w:t>
            </w:r>
          </w:p>
        </w:tc>
        <w:tc>
          <w:tcPr>
            <w:tcW w:type="dxa" w:w="3213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87,07</w:t>
            </w:r>
          </w:p>
        </w:tc>
      </w:tr>
    </w:tbl>
    <w:p>
      <w:pPr>
        <w:spacing w:lineRule="exact" w:line="280" w:before="0" w:after="0"/>
        <w:jc w:val="both"/>
      </w:pP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Для 22 допущених зображень (0,25 %) побудова графа не завершилася успішно, а артефакти не зберігають причини збою. Класифікаційне рішення одержано для 8 685 зображень; ці 22 випадки входять до знаменника точності на всіх допущених зображеннях.</w:t>
      </w:r>
    </w:p>
    <w:p>
      <w:pPr>
        <w:spacing w:lineRule="exact" w:line="280" w:before="160" w:after="80"/>
        <w:jc w:val="both"/>
      </w:pPr>
      <w:r>
        <w:rPr>
          <w:rFonts w:ascii="Times New Roman" w:hAnsi="Times New Roman"/>
          <w:b/>
          <w:i w:val="0"/>
          <w:sz w:val="20"/>
        </w:rPr>
        <w:t>3.3 Точність класифікації загалом і за класами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На 8 685 оброблених зображеннях отримано 7 915 правильних рішень: точність становить 91,13 %. Якщо 22 збої конвеєра вважати невдалими рішеннями й використати всі 8 707 допущених зображень, точність становить 90,90 %. Влучність 91,92 %, повнота 91,13 % і F1 91,34 % є середніми, зваженими за кількістю оброблених зображень класу.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Показники за класами мають значно більший розкид, ніж загальні (табл. 3). Найвищу влучність дають класи 0 (99,87 %) і 8 (98,74 %): концепти цих цифр майже не притягують зображень інших класів. Найнижча влучність у класів 7 (82,01 %) і 6 (84,88 %) — вони, навпаки, перебирають на себе зображення сусідніх класів. За повнотою картина інша: найгірше розпізнаються класи 2 (77,59 %) і 4 (84,00 %).</w:t>
      </w:r>
    </w:p>
    <w:p>
      <w:pPr>
        <w:spacing w:lineRule="exact" w:line="280" w:before="120" w:after="0"/>
        <w:jc w:val="center"/>
      </w:pPr>
      <w:r>
        <w:rPr>
          <w:rFonts w:ascii="Times New Roman" w:hAnsi="Times New Roman"/>
          <w:b/>
          <w:i/>
          <w:sz w:val="18"/>
        </w:rPr>
        <w:t>Таблиця 3 – Покласові показники класифікації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Клас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Влучність, %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Повнота, %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F1, %</w:t>
            </w:r>
          </w:p>
        </w:tc>
      </w:tr>
      <w:tr>
        <w:tc>
          <w:tcPr>
            <w:tcW w:type="dxa" w:w="2409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99,87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91,93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95,73</w:t>
            </w:r>
          </w:p>
        </w:tc>
      </w:tr>
      <w:tr>
        <w:tc>
          <w:tcPr>
            <w:tcW w:type="dxa" w:w="2409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93,69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96,52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95,08</w:t>
            </w:r>
          </w:p>
        </w:tc>
      </w:tr>
      <w:tr>
        <w:tc>
          <w:tcPr>
            <w:tcW w:type="dxa" w:w="2409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92,28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77,59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84,30</w:t>
            </w:r>
          </w:p>
        </w:tc>
      </w:tr>
      <w:tr>
        <w:tc>
          <w:tcPr>
            <w:tcW w:type="dxa" w:w="2409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91,78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95,76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93,73</w:t>
            </w:r>
          </w:p>
        </w:tc>
      </w:tr>
      <w:tr>
        <w:tc>
          <w:tcPr>
            <w:tcW w:type="dxa" w:w="2409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92,15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84,00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87,89</w:t>
            </w:r>
          </w:p>
        </w:tc>
      </w:tr>
      <w:tr>
        <w:tc>
          <w:tcPr>
            <w:tcW w:type="dxa" w:w="2409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93,97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91,96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92,95</w:t>
            </w:r>
          </w:p>
        </w:tc>
      </w:tr>
      <w:tr>
        <w:tc>
          <w:tcPr>
            <w:tcW w:type="dxa" w:w="2409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84,88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92,44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88,50</w:t>
            </w:r>
          </w:p>
        </w:tc>
      </w:tr>
      <w:tr>
        <w:tc>
          <w:tcPr>
            <w:tcW w:type="dxa" w:w="2409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82,01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95,15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88,10</w:t>
            </w:r>
          </w:p>
        </w:tc>
      </w:tr>
      <w:tr>
        <w:tc>
          <w:tcPr>
            <w:tcW w:type="dxa" w:w="2409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98,74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94,49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96,57</w:t>
            </w:r>
          </w:p>
        </w:tc>
      </w:tr>
      <w:tr>
        <w:tc>
          <w:tcPr>
            <w:tcW w:type="dxa" w:w="2409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92,85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92,34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92,59</w:t>
            </w:r>
          </w:p>
        </w:tc>
      </w:tr>
    </w:tbl>
    <w:p>
      <w:pPr>
        <w:spacing w:lineRule="exact" w:line="280" w:before="0" w:after="0"/>
        <w:jc w:val="both"/>
      </w:pP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Система ухвалила 770 помилкових рішень. З них 726 — віднесення до хибного класу, ще 44 — нерозпізнані зображення, для яких жоден концепт не активувався.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Помилки зосереджені на невеликій кількості пар (рис. 2). Найбільші пари сплутування (справжній клас → передбачений): 2→7 — 111 випадків, 4→7 — 62, 2→6 — 57, 4→1 — 52, 9→4 — 46, 5→3 — 43, 0→6 — 42, 1→7 — 26, 7→2 — 26, 2→3 — 25. На перші десять пар припадає 490 із 726 хибних віднесень, або 67,5 %. Два найбільші внески серед 770 помилкових оброблених випадків дають класи 2 — 214 і 4 — 152, разом 47,53 %. Нерозпізнані зображення концентруються в класах 6 (16) і 8 (14).</w:t>
      </w:r>
    </w:p>
    <w:p>
      <w:pPr>
        <w:spacing w:lineRule="auto" w:line="240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114800" cy="38676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nfus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867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280" w:before="0" w:after="120"/>
        <w:jc w:val="center"/>
      </w:pPr>
      <w:r>
        <w:rPr>
          <w:rFonts w:ascii="Times New Roman" w:hAnsi="Times New Roman"/>
          <w:b w:val="0"/>
          <w:i/>
          <w:sz w:val="18"/>
        </w:rPr>
        <w:t>Рис. 2 – Матриця сплутування (8 685 класифікованих зображень)</w:t>
      </w:r>
    </w:p>
    <w:p>
      <w:pPr>
        <w:spacing w:lineRule="exact" w:line="280" w:before="160" w:after="80"/>
        <w:jc w:val="both"/>
      </w:pPr>
      <w:r>
        <w:rPr>
          <w:rFonts w:ascii="Times New Roman" w:hAnsi="Times New Roman"/>
          <w:b/>
          <w:i w:val="0"/>
          <w:sz w:val="20"/>
        </w:rPr>
        <w:t>3.4 Трасування рішення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Зображення mnist_test_2_00766 має справжній клас 2, а передбачений — 7. Рис. 3 показує граф і концепти. Числа в табл. 4 походять з відтворення цього рішення налагоджувальним інструментом за параметрами прогону оцінювання; сам прогін поознакових вартостей не записував.</w:t>
      </w:r>
    </w:p>
    <w:p>
      <w:pPr>
        <w:spacing w:lineRule="auto" w:line="240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41427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ra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42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280" w:before="0" w:after="120"/>
        <w:jc w:val="center"/>
      </w:pPr>
      <w:r>
        <w:rPr>
          <w:rFonts w:ascii="Times New Roman" w:hAnsi="Times New Roman"/>
          <w:b w:val="0"/>
          <w:i/>
          <w:sz w:val="18"/>
        </w:rPr>
        <w:t>Рис. 3 – Побудова графа та конкурентні концепти для зображення mnist_test_2_00766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Початковий граф має 11 вузлів, 10 ребер і складність 21. Він ациклічний, але розгалужений і містить IntersectionPoint. Артефакти фіксують відсутність циклу й бінарної петлі, але не доводять, що петлю зруйнувала саме бінаризація. Концепт 2_2 зі складністю 24 відсікає умова 24 &gt; 21. Після залежної від концепту попередньої обробки структурно допустимі шість кандидатів: 7_1, 2_1, 3_1, 5_1, 1_3 і 1_1.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Для 7_1 п'ять заміщень вузлів коштують 0,038–0,388, чотири вузли входу вилучено по 0,25; разом з операціями над ребрами c ≈ 3,44. Для 2_1 сім заміщень і два вилучення вузлів разом з операціями над ребрами дають c ≈ 6,29. Три окремі поознакові штрафи distance_to_centroid, normalized_x і length_ratio_to_max дорівнюють 1,000 кожен; 1,010, 1,103 і 1,302 є повними вартостями трьох заміщень вузлів.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В обох парах нормувальна складність попередньо обробленого графа зображення дорівнює 17. Тому 7_1 має подібність 0,8317 і оцінку 0,8317 + 0,1 · log₂ 9 = 1,1487, а 2_1 — 0,7300 і 0,7300 + 0,1 · log₂ 13 = 1,1000. Рішення обирає 7_1 з розривом оцінки 0,0486.</w:t>
      </w:r>
    </w:p>
    <w:p>
      <w:pPr>
        <w:spacing w:lineRule="exact" w:line="280" w:before="120" w:after="0"/>
        <w:jc w:val="center"/>
      </w:pPr>
      <w:r>
        <w:rPr>
          <w:rFonts w:ascii="Times New Roman" w:hAnsi="Times New Roman"/>
          <w:b/>
          <w:i/>
          <w:sz w:val="18"/>
        </w:rPr>
        <w:t>Таблиця 4 – Архівне трасування mnist_test_2_00766: від операцій GED до оцінки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Концепт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Операції та вартість c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Нормування і подібність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Оцінка</w:t>
            </w:r>
          </w:p>
        </w:tc>
      </w:tr>
      <w:tr>
        <w:tc>
          <w:tcPr>
            <w:tcW w:type="dxa" w:w="2409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7_1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 заміщень, 4 вилучення вузлів, 6 вилучень ребер; c ≈ 3,44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max(17, 9) = 17; sim = 0,8317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1,1487</w:t>
            </w:r>
          </w:p>
        </w:tc>
      </w:tr>
      <w:tr>
        <w:tc>
          <w:tcPr>
            <w:tcW w:type="dxa" w:w="2409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2_1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 заміщень, 2 вилучення вузлів, 3 вилучення ребер; c ≈ 6,29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max(17, 13) = 17; sim = 0,7300</w:t>
            </w:r>
          </w:p>
        </w:tc>
        <w:tc>
          <w:tcPr>
            <w:tcW w:type="dxa" w:w="2409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1,1000</w:t>
            </w:r>
          </w:p>
        </w:tc>
      </w:tr>
    </w:tbl>
    <w:p>
      <w:pPr>
        <w:spacing w:lineRule="exact" w:line="280" w:before="0" w:after="0"/>
        <w:jc w:val="both"/>
      </w:pP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Усі 111 помилок 2→7 відтворено окремо, без фільтра складності, тому значення подібності не збігаються з табл. 4. Концепт 2_1 отримав оцінку в 106 випадках і всі 106 разів програв 7_1; середній розрив сирої подібності становив 0,1132. У п'яти інших випадках 2_1 відхилено структурно, тому вони не входять до середнього. 2_2 відсікався фільтром складності у 86 випадках, але після зняття фільтра не був структурно допустимим у жодному зі 111.</w:t>
      </w:r>
    </w:p>
    <w:p>
      <w:pPr>
        <w:spacing w:lineRule="exact" w:line="280" w:before="160" w:after="80"/>
        <w:jc w:val="both"/>
      </w:pPr>
      <w:r>
        <w:rPr>
          <w:rFonts w:ascii="Times New Roman" w:hAnsi="Times New Roman"/>
          <w:b/>
          <w:i w:val="0"/>
          <w:sz w:val="20"/>
        </w:rPr>
        <w:t>4 Обговорення результатів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Пояснення у цій системі збігається з самим рішенням. Немає окремої моделі, яка наближала б поведінку класифікатора ззовні. Архівне відтворення показує конкретний ланцюг: операції редагування, сумарну вартість, нормувальну складність, подібність і підсумкову оцінку. Поознаковий штраф 1,000 і повна вартість заміщення вузла 1,010, 1,103 або 1,302 є різними рівнями цього розкладу.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Для mnist_test_2_00766 спостерігаємо ациклічний розгалужений граф і три виходи за інтервали 2_1. Втрата топології під час побудови графа та ті самі поознакові штрафи як загальний механізм пари 2→7 є гіпотезою: для решти 110 випадків поелементних трасувань та інтервенцій немає.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Оцінювання обмежене ручним фільтром, що вилучив 12,93 % MNIST нерівномірно за класами. Чутливість до добору 76 джерел, порядку їх подання й невідомого точного діапазону аугментації не вимірювали. Контурне подання відкидає текстуру й градієнти, а розірвані контури потребують відсутнього асоціативного механізму. Прогін зафіксовано конфігурацією та артефактами результату; повного знімка розгорнутого коду не збережено, тому відтворення можливе в межах цих артефактів.</w:t>
      </w:r>
    </w:p>
    <w:p>
      <w:pPr>
        <w:spacing w:lineRule="exact" w:line="280" w:before="160" w:after="80"/>
        <w:jc w:val="both"/>
      </w:pPr>
      <w:r>
        <w:rPr>
          <w:rFonts w:ascii="Times New Roman" w:hAnsi="Times New Roman"/>
          <w:b/>
          <w:i w:val="0"/>
          <w:sz w:val="20"/>
        </w:rPr>
        <w:t>5 Висновки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1. Побудовано Point–Vector подання з 2 видами вузлів і 13 ознаками зіставлення.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2. Одним проходом структурної редукції з 76 вручну відібраних джерел, розширених до 805 зображень, сформовано 13 концептів для 10 класів, по 3–12 вузлів кожний.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3. Класифікацію побудовано за GED з драбиною вартостей заміщення 0 / 0,25 / 0,5 / 0,8 / 1,0 / 6,0, діагностичним зважуванням ознак при </w:t>
      </w:r>
      <m:oMath>
        <m:sSub>
          <m:e>
            <m:r>
              <w:rPr>
                <w:sz w:val="20"/>
                <w:szCs w:val="20"/>
              </w:rPr>
              <m:t>ε</m:t>
            </m:r>
          </m:e>
          <m:sub>
            <m:r>
              <w:rPr>
                <w:sz w:val="20"/>
                <w:szCs w:val="20"/>
              </w:rPr>
              <m:t>w</m:t>
            </m:r>
          </m:sub>
        </m:sSub>
      </m:oMath>
      <w:r>
        <w:rPr>
          <w:rFonts w:ascii="Times New Roman" w:hAnsi="Times New Roman"/>
          <w:b w:val="0"/>
          <w:i w:val="0"/>
          <w:sz w:val="20"/>
        </w:rPr>
        <w:t xml:space="preserve"> = 0,1, поправкою на складність концепту </w:t>
      </w:r>
      <m:oMath>
        <m:r>
          <w:rPr>
            <w:sz w:val="20"/>
            <w:szCs w:val="20"/>
          </w:rPr>
          <m:t>λ</m:t>
        </m:r>
      </m:oMath>
      <w:r>
        <w:rPr>
          <w:rFonts w:ascii="Times New Roman" w:hAnsi="Times New Roman"/>
          <w:b w:val="0"/>
          <w:i w:val="0"/>
          <w:sz w:val="20"/>
        </w:rPr>
        <w:t xml:space="preserve"> = 0,10 та нормуванням подібності за сумою вузлів і ребер графа.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4. Ручний фільтр допустив 8 707 із 10 000 зображень MNIST; збереження класів коливається від 59,75 % до 99,47 %. Точність становить 91,13 % для оброблених і 90,90 % для всіх допущених зображень; зважені влучність, повнота і F1 дорівнюють 91,92 %, 91,13 % і 91,34 %.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5. В архівному відтворенні mnist_test_2_00766 оцінки 1,1487 для 7_1 і 1,1000 для 2_1 дають розрив 0,0486; серед 111 помилок 2→7 2_1 програв за оцінкою 106 разів і був структурно відхилений 5 разів.</w:t>
      </w:r>
    </w:p>
    <w:p>
      <w:pPr>
        <w:spacing w:lineRule="exact" w:line="280" w:before="0" w:after="0"/>
        <w:jc w:val="both"/>
      </w:pPr>
    </w:p>
    <w:p>
      <w:pPr>
        <w:spacing w:lineRule="exact" w:line="280" w:before="80" w:after="0"/>
        <w:jc w:val="both"/>
      </w:pPr>
      <w:r>
        <w:rPr>
          <w:rFonts w:ascii="Times New Roman" w:hAnsi="Times New Roman"/>
          <w:b/>
          <w:i/>
          <w:sz w:val="20"/>
        </w:rPr>
        <w:t>Конфлікт інтересів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Автор заявляє про відсутність конфлікту інтересів, зокрема фінансового, особистого, професійного чи іншого характеру, який міг би вплинути на проведення дослідження, інтерпретацію або публікацію його результатів.</w:t>
      </w:r>
    </w:p>
    <w:p>
      <w:pPr>
        <w:spacing w:lineRule="exact" w:line="280" w:before="80" w:after="0"/>
        <w:jc w:val="both"/>
      </w:pPr>
      <w:r>
        <w:rPr>
          <w:rFonts w:ascii="Times New Roman" w:hAnsi="Times New Roman"/>
          <w:b/>
          <w:i/>
          <w:sz w:val="20"/>
        </w:rPr>
        <w:t>Фінансування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Дослідження виконано без фінансової підтримки.</w:t>
      </w:r>
    </w:p>
    <w:p>
      <w:pPr>
        <w:spacing w:lineRule="exact" w:line="280" w:before="80" w:after="0"/>
        <w:jc w:val="both"/>
      </w:pPr>
      <w:r>
        <w:rPr>
          <w:rFonts w:ascii="Times New Roman" w:hAnsi="Times New Roman"/>
          <w:b/>
          <w:i/>
          <w:sz w:val="20"/>
        </w:rPr>
        <w:t>Доступність даних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Дані, що підтверджують результати цього дослідження, доступні у відкритому репозиторії проєкту NaturalAGI за посиланням https://github.com/kbokh/NaturalAGI (артефакти прогону наведено в каталозі experiments/run_20260630_235356/).</w:t>
      </w:r>
    </w:p>
    <w:p>
      <w:pPr>
        <w:spacing w:lineRule="exact" w:line="280" w:before="80" w:after="0"/>
        <w:jc w:val="both"/>
      </w:pPr>
      <w:r>
        <w:rPr>
          <w:rFonts w:ascii="Times New Roman" w:hAnsi="Times New Roman"/>
          <w:b/>
          <w:i/>
          <w:sz w:val="20"/>
        </w:rPr>
        <w:t>Використання інструментів штучного інтелекту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 w:val="0"/>
          <w:i w:val="0"/>
          <w:sz w:val="20"/>
        </w:rPr>
        <w:t>[TODO — заповнює автор. Обрати варіант за вимогами редакції та подати заяву тут; факти для декларації наведено в коментарі перед цим полем у content.py.]</w:t>
      </w:r>
    </w:p>
    <w:p>
      <w:pPr>
        <w:spacing w:lineRule="exact" w:line="280" w:before="0" w:after="0"/>
        <w:jc w:val="both"/>
      </w:pPr>
    </w:p>
    <w:p>
      <w:pPr>
        <w:spacing w:lineRule="exact" w:line="280" w:before="160" w:after="80"/>
        <w:jc w:val="both"/>
      </w:pPr>
      <w:r>
        <w:rPr>
          <w:rFonts w:ascii="Times New Roman" w:hAnsi="Times New Roman"/>
          <w:b/>
          <w:i w:val="0"/>
          <w:sz w:val="20"/>
        </w:rPr>
        <w:t>References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1. Ribeiro, M., Singh, S., Guestrin, C. (2016), "Why should I trust you?: explaining the predictions of any classifier", </w:t>
      </w:r>
      <w:r>
        <w:rPr>
          <w:rFonts w:ascii="Times New Roman" w:hAnsi="Times New Roman"/>
          <w:b w:val="0"/>
          <w:i/>
          <w:sz w:val="20"/>
        </w:rPr>
        <w:t>Proceedings of the 22nd ACM SIGKDD International Conference on Knowledge Discovery and Data Mining</w:t>
      </w:r>
      <w:r>
        <w:rPr>
          <w:rFonts w:ascii="Times New Roman" w:hAnsi="Times New Roman"/>
          <w:b w:val="0"/>
          <w:i w:val="0"/>
          <w:sz w:val="20"/>
        </w:rPr>
        <w:t>, pp. 1135–1144. DOI: https://doi.org/10.1145/2939672.2939778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2. Lundberg, S., Lee, S. (2017), "A unified approach to interpreting model predictions", </w:t>
      </w:r>
      <w:r>
        <w:rPr>
          <w:rFonts w:ascii="Times New Roman" w:hAnsi="Times New Roman"/>
          <w:b w:val="0"/>
          <w:i/>
          <w:sz w:val="20"/>
        </w:rPr>
        <w:t>Advances in Neural Information Processing Systems</w:t>
      </w:r>
      <w:r>
        <w:rPr>
          <w:rFonts w:ascii="Times New Roman" w:hAnsi="Times New Roman"/>
          <w:b w:val="0"/>
          <w:i w:val="0"/>
          <w:sz w:val="20"/>
        </w:rPr>
        <w:t>, Vol. 30, pp. 4765–4774. DOI: https://doi.org/10.48550/arXiv.1705.07874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3. Slack, D., Hilgard, S., Jia, E., Singh, S., Lakkaraju, H. (2020), "Fooling LIME and SHAP: adversarial attacks on post-hoc explanation methods", </w:t>
      </w:r>
      <w:r>
        <w:rPr>
          <w:rFonts w:ascii="Times New Roman" w:hAnsi="Times New Roman"/>
          <w:b w:val="0"/>
          <w:i/>
          <w:sz w:val="20"/>
        </w:rPr>
        <w:t>Proceedings of the AAAI/ACM Conference on AI, Ethics, and Society</w:t>
      </w:r>
      <w:r>
        <w:rPr>
          <w:rFonts w:ascii="Times New Roman" w:hAnsi="Times New Roman"/>
          <w:b w:val="0"/>
          <w:i w:val="0"/>
          <w:sz w:val="20"/>
        </w:rPr>
        <w:t>, pp. 180–186. DOI: https://doi.org/10.1145/3375627.3375830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4. Hooshyar, D., Yang, Y. (2024), "Problems with SHAP and LIME in interpretable AI for education: a comparative study of post-hoc explanations and neural-symbolic rule extraction", </w:t>
      </w:r>
      <w:r>
        <w:rPr>
          <w:rFonts w:ascii="Times New Roman" w:hAnsi="Times New Roman"/>
          <w:b w:val="0"/>
          <w:i/>
          <w:sz w:val="20"/>
        </w:rPr>
        <w:t>IEEE Access</w:t>
      </w:r>
      <w:r>
        <w:rPr>
          <w:rFonts w:ascii="Times New Roman" w:hAnsi="Times New Roman"/>
          <w:b w:val="0"/>
          <w:i w:val="0"/>
          <w:sz w:val="20"/>
        </w:rPr>
        <w:t>, Vol. 12, pp. 137472–137490. DOI: https://doi.org/10.1109/ACCESS.2024.3463948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5. Rudin, C. (2019), "Stop explaining black box machine learning models for high stakes decisions and use interpretable models instead", </w:t>
      </w:r>
      <w:r>
        <w:rPr>
          <w:rFonts w:ascii="Times New Roman" w:hAnsi="Times New Roman"/>
          <w:b w:val="0"/>
          <w:i/>
          <w:sz w:val="20"/>
        </w:rPr>
        <w:t>Nature Machine Intelligence</w:t>
      </w:r>
      <w:r>
        <w:rPr>
          <w:rFonts w:ascii="Times New Roman" w:hAnsi="Times New Roman"/>
          <w:b w:val="0"/>
          <w:i w:val="0"/>
          <w:sz w:val="20"/>
        </w:rPr>
        <w:t>, Vol. 1, No. 5, pp. 206–215. DOI: https://doi.org/10.1038/s42256-019-0048-x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6. Baniecki, H., Biecek, P. (2024), "Adversarial attacks and defenses in explainable artificial intelligence: a survey", </w:t>
      </w:r>
      <w:r>
        <w:rPr>
          <w:rFonts w:ascii="Times New Roman" w:hAnsi="Times New Roman"/>
          <w:b w:val="0"/>
          <w:i/>
          <w:sz w:val="20"/>
        </w:rPr>
        <w:t>Information Fusion</w:t>
      </w:r>
      <w:r>
        <w:rPr>
          <w:rFonts w:ascii="Times New Roman" w:hAnsi="Times New Roman"/>
          <w:b w:val="0"/>
          <w:i w:val="0"/>
          <w:sz w:val="20"/>
        </w:rPr>
        <w:t>, Vol. 107, 102303. DOI: https://doi.org/10.1016/j.inffus.2024.102303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7. Bello, M., Amador, R., García, M., Del Ser, J., Mesejo, P., Cordón, Ó. (2025), "The level of strength of an explanation: a quantitative evaluation technique for post-hoc XAI methods", </w:t>
      </w:r>
      <w:r>
        <w:rPr>
          <w:rFonts w:ascii="Times New Roman" w:hAnsi="Times New Roman"/>
          <w:b w:val="0"/>
          <w:i/>
          <w:sz w:val="20"/>
        </w:rPr>
        <w:t>Pattern Recognition</w:t>
      </w:r>
      <w:r>
        <w:rPr>
          <w:rFonts w:ascii="Times New Roman" w:hAnsi="Times New Roman"/>
          <w:b w:val="0"/>
          <w:i w:val="0"/>
          <w:sz w:val="20"/>
        </w:rPr>
        <w:t>, Vol. 161, 111221. DOI: https://doi.org/10.1016/j.patcog.2024.111221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8. Rajabi, E., Etminani, K. (2024), "Knowledge-graph-based explainable AI: a systematic review", </w:t>
      </w:r>
      <w:r>
        <w:rPr>
          <w:rFonts w:ascii="Times New Roman" w:hAnsi="Times New Roman"/>
          <w:b w:val="0"/>
          <w:i/>
          <w:sz w:val="20"/>
        </w:rPr>
        <w:t>Journal of Information Science</w:t>
      </w:r>
      <w:r>
        <w:rPr>
          <w:rFonts w:ascii="Times New Roman" w:hAnsi="Times New Roman"/>
          <w:b w:val="0"/>
          <w:i w:val="0"/>
          <w:sz w:val="20"/>
        </w:rPr>
        <w:t>, Vol. 50, No. 4, pp. 1019–1029. DOI: https://doi.org/10.1177/01655515221112844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9. Forest, F., Rombach, K., Fink, O. (2025), "Interpretable prognostics with concept bottleneck models", </w:t>
      </w:r>
      <w:r>
        <w:rPr>
          <w:rFonts w:ascii="Times New Roman" w:hAnsi="Times New Roman"/>
          <w:b w:val="0"/>
          <w:i/>
          <w:sz w:val="20"/>
        </w:rPr>
        <w:t>Information Fusion</w:t>
      </w:r>
      <w:r>
        <w:rPr>
          <w:rFonts w:ascii="Times New Roman" w:hAnsi="Times New Roman"/>
          <w:b w:val="0"/>
          <w:i w:val="0"/>
          <w:sz w:val="20"/>
        </w:rPr>
        <w:t>, Vol. 124, 103427. DOI: https://doi.org/10.1016/j.inffus.2025.103427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10. Sovatzidi, G., Vasilakakis, M., Iakovidis, D. (2026), "Intuitionistic fuzzy cognitive maps for interpretable image classification", </w:t>
      </w:r>
      <w:r>
        <w:rPr>
          <w:rFonts w:ascii="Times New Roman" w:hAnsi="Times New Roman"/>
          <w:b w:val="0"/>
          <w:i/>
          <w:sz w:val="20"/>
        </w:rPr>
        <w:t>Knowledge-Based Systems</w:t>
      </w:r>
      <w:r>
        <w:rPr>
          <w:rFonts w:ascii="Times New Roman" w:hAnsi="Times New Roman"/>
          <w:b w:val="0"/>
          <w:i w:val="0"/>
          <w:sz w:val="20"/>
        </w:rPr>
        <w:t>, Vol. 346, 116130. DOI: https://doi.org/10.1016/j.knosys.2026.116130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11. García-Cuesta, E., Manrique, D., Ionescu, R. (2025), "Interpretable deep prototype-based neural networks: can a 1 look like a 0?", </w:t>
      </w:r>
      <w:r>
        <w:rPr>
          <w:rFonts w:ascii="Times New Roman" w:hAnsi="Times New Roman"/>
          <w:b w:val="0"/>
          <w:i/>
          <w:sz w:val="20"/>
        </w:rPr>
        <w:t>Electronics</w:t>
      </w:r>
      <w:r>
        <w:rPr>
          <w:rFonts w:ascii="Times New Roman" w:hAnsi="Times New Roman"/>
          <w:b w:val="0"/>
          <w:i w:val="0"/>
          <w:sz w:val="20"/>
        </w:rPr>
        <w:t>, Vol. 14, No. 18, 3584. DOI: https://doi.org/10.3390/electronics14183584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12. Han, K., Wang, Y., Guo, J., Tang, Y., Wu, E. (2022), "Vision GNN: an image is worth graph of nodes", </w:t>
      </w:r>
      <w:r>
        <w:rPr>
          <w:rFonts w:ascii="Times New Roman" w:hAnsi="Times New Roman"/>
          <w:b w:val="0"/>
          <w:i/>
          <w:sz w:val="20"/>
        </w:rPr>
        <w:t>Advances in Neural Information Processing Systems</w:t>
      </w:r>
      <w:r>
        <w:rPr>
          <w:rFonts w:ascii="Times New Roman" w:hAnsi="Times New Roman"/>
          <w:b w:val="0"/>
          <w:i w:val="0"/>
          <w:sz w:val="20"/>
        </w:rPr>
        <w:t>, Vol. 35, pp. 8291–8303. DOI: https://doi.org/10.52202/068431-0603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13. Chatbri, H., Kameyama, K., Kwan, P. (2016), "A comparative study using contours and skeletons as shape representations for binary image matching", </w:t>
      </w:r>
      <w:r>
        <w:rPr>
          <w:rFonts w:ascii="Times New Roman" w:hAnsi="Times New Roman"/>
          <w:b w:val="0"/>
          <w:i/>
          <w:sz w:val="20"/>
        </w:rPr>
        <w:t>Pattern Recognition Letters</w:t>
      </w:r>
      <w:r>
        <w:rPr>
          <w:rFonts w:ascii="Times New Roman" w:hAnsi="Times New Roman"/>
          <w:b w:val="0"/>
          <w:i w:val="0"/>
          <w:sz w:val="20"/>
        </w:rPr>
        <w:t>, Vol. 76, pp. 59–66. DOI: https://doi.org/10.1016/j.patrec.2015.04.007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14. Shen, W., Jiang, Y., Gao, W., Zeng, D., Wang, X. (2016), "Shape recognition by bag of skeleton-associated contour parts", </w:t>
      </w:r>
      <w:r>
        <w:rPr>
          <w:rFonts w:ascii="Times New Roman" w:hAnsi="Times New Roman"/>
          <w:b w:val="0"/>
          <w:i/>
          <w:sz w:val="20"/>
        </w:rPr>
        <w:t>Pattern Recognition Letters</w:t>
      </w:r>
      <w:r>
        <w:rPr>
          <w:rFonts w:ascii="Times New Roman" w:hAnsi="Times New Roman"/>
          <w:b w:val="0"/>
          <w:i w:val="0"/>
          <w:sz w:val="20"/>
        </w:rPr>
        <w:t>, Vol. 83, pp. 321–329. DOI: https://doi.org/10.1016/j.patrec.2016.02.002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15. Elsharkawi, I., Sharara, H., Rafea, A. (2026), "ViG-LRGC: vision graph neural networks with learnable reparameterized graph construction", </w:t>
      </w:r>
      <w:r>
        <w:rPr>
          <w:rFonts w:ascii="Times New Roman" w:hAnsi="Times New Roman"/>
          <w:b w:val="0"/>
          <w:i/>
          <w:sz w:val="20"/>
        </w:rPr>
        <w:t>Pattern Recognition Letters</w:t>
      </w:r>
      <w:r>
        <w:rPr>
          <w:rFonts w:ascii="Times New Roman" w:hAnsi="Times New Roman"/>
          <w:b w:val="0"/>
          <w:i w:val="0"/>
          <w:sz w:val="20"/>
        </w:rPr>
        <w:t>, Vol. 207, pp. 36–41. DOI: https://doi.org/10.1016/j.patrec.2026.06.001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16. Senior, H., Slabaugh, G., Yuan, S., Rossi, L. (2025), "Graph neural networks in vision-language image understanding: a survey", </w:t>
      </w:r>
      <w:r>
        <w:rPr>
          <w:rFonts w:ascii="Times New Roman" w:hAnsi="Times New Roman"/>
          <w:b w:val="0"/>
          <w:i/>
          <w:sz w:val="20"/>
        </w:rPr>
        <w:t>The Visual Computer</w:t>
      </w:r>
      <w:r>
        <w:rPr>
          <w:rFonts w:ascii="Times New Roman" w:hAnsi="Times New Roman"/>
          <w:b w:val="0"/>
          <w:i w:val="0"/>
          <w:sz w:val="20"/>
        </w:rPr>
        <w:t>, Vol. 41, No. 1, pp. 491–516. DOI: https://doi.org/10.1007/s00371-024-03343-0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17. Conte, D., Foggia, P., Sansone, C., Vento, M. (2004), "Thirty years of graph matching in pattern recognition", </w:t>
      </w:r>
      <w:r>
        <w:rPr>
          <w:rFonts w:ascii="Times New Roman" w:hAnsi="Times New Roman"/>
          <w:b w:val="0"/>
          <w:i/>
          <w:sz w:val="20"/>
        </w:rPr>
        <w:t>International Journal of Pattern Recognition and Artificial Intelligence</w:t>
      </w:r>
      <w:r>
        <w:rPr>
          <w:rFonts w:ascii="Times New Roman" w:hAnsi="Times New Roman"/>
          <w:b w:val="0"/>
          <w:i w:val="0"/>
          <w:sz w:val="20"/>
        </w:rPr>
        <w:t>, Vol. 18, No. 3, pp. 265–298. DOI: https://doi.org/10.1142/S0218001404003228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18. Riesen, K., Bunke, H. (2009), "Approximate graph edit distance computation by means of bipartite graph matching", </w:t>
      </w:r>
      <w:r>
        <w:rPr>
          <w:rFonts w:ascii="Times New Roman" w:hAnsi="Times New Roman"/>
          <w:b w:val="0"/>
          <w:i/>
          <w:sz w:val="20"/>
        </w:rPr>
        <w:t>Image and Vision Computing</w:t>
      </w:r>
      <w:r>
        <w:rPr>
          <w:rFonts w:ascii="Times New Roman" w:hAnsi="Times New Roman"/>
          <w:b w:val="0"/>
          <w:i w:val="0"/>
          <w:sz w:val="20"/>
        </w:rPr>
        <w:t>, Vol. 27, No. 7, pp. 950–959. DOI: https://doi.org/10.1016/j.imavis.2008.04.004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19. Wang, R., Zhang, T., Yu, T., Yan, J., Yang, X. (2021), "Combinatorial learning of graph edit distance via dynamic embedding", </w:t>
      </w:r>
      <w:r>
        <w:rPr>
          <w:rFonts w:ascii="Times New Roman" w:hAnsi="Times New Roman"/>
          <w:b w:val="0"/>
          <w:i/>
          <w:sz w:val="20"/>
        </w:rPr>
        <w:t>2021 IEEE/CVF Conference on Computer Vision and Pattern Recognition (CVPR)</w:t>
      </w:r>
      <w:r>
        <w:rPr>
          <w:rFonts w:ascii="Times New Roman" w:hAnsi="Times New Roman"/>
          <w:b w:val="0"/>
          <w:i w:val="0"/>
          <w:sz w:val="20"/>
        </w:rPr>
        <w:t>, pp. 5237–5246. DOI: https://doi.org/10.1109/CVPR46437.2021.00520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20. Piao, C., Xu, T., Sun, X., Rong, Y., Zhao, K., Cheng, H. (2023), "Computing graph edit distance via neural graph matching", </w:t>
      </w:r>
      <w:r>
        <w:rPr>
          <w:rFonts w:ascii="Times New Roman" w:hAnsi="Times New Roman"/>
          <w:b w:val="0"/>
          <w:i/>
          <w:sz w:val="20"/>
        </w:rPr>
        <w:t>Proceedings of the VLDB Endowment</w:t>
      </w:r>
      <w:r>
        <w:rPr>
          <w:rFonts w:ascii="Times New Roman" w:hAnsi="Times New Roman"/>
          <w:b w:val="0"/>
          <w:i w:val="0"/>
          <w:sz w:val="20"/>
        </w:rPr>
        <w:t>, Vol. 16, No. 8, pp. 1817–1829. DOI: https://doi.org/10.14778/3594512.3594514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21. Tang, J., Zhao, X., Kong, L., Zhou, X., Li, J. (2025), "Fused Gromov-Wasserstein alignment for graph edit distance computation and beyond", </w:t>
      </w:r>
      <w:r>
        <w:rPr>
          <w:rFonts w:ascii="Times New Roman" w:hAnsi="Times New Roman"/>
          <w:b w:val="0"/>
          <w:i/>
          <w:sz w:val="20"/>
        </w:rPr>
        <w:t>Proceedings of the VLDB Endowment</w:t>
      </w:r>
      <w:r>
        <w:rPr>
          <w:rFonts w:ascii="Times New Roman" w:hAnsi="Times New Roman"/>
          <w:b w:val="0"/>
          <w:i w:val="0"/>
          <w:sz w:val="20"/>
        </w:rPr>
        <w:t>, Vol. 18, No. 10, pp. 3641–3654. DOI: https://doi.org/10.14778/3748191.3748221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22. Moscatelli, A., Bérar, M., Héroux, P., Yger, F., Adam, S. (2026), "Edges: an expressive and efficient model for learning graph edit distance", </w:t>
      </w:r>
      <w:r>
        <w:rPr>
          <w:rFonts w:ascii="Times New Roman" w:hAnsi="Times New Roman"/>
          <w:b w:val="0"/>
          <w:i/>
          <w:sz w:val="20"/>
        </w:rPr>
        <w:t>Pattern Recognition</w:t>
      </w:r>
      <w:r>
        <w:rPr>
          <w:rFonts w:ascii="Times New Roman" w:hAnsi="Times New Roman"/>
          <w:b w:val="0"/>
          <w:i w:val="0"/>
          <w:sz w:val="20"/>
        </w:rPr>
        <w:t>, Vol. 179, 113764. DOI: https://doi.org/10.1016/j.patcog.2026.113764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23. Gan, J., Chen, Y., Hu, B., Leng, J., Wang, W., Gao, X. (2023), "Characters as graphs: interpretable handwritten Chinese character recognition via Pyramid Graph Transformer", </w:t>
      </w:r>
      <w:r>
        <w:rPr>
          <w:rFonts w:ascii="Times New Roman" w:hAnsi="Times New Roman"/>
          <w:b w:val="0"/>
          <w:i/>
          <w:sz w:val="20"/>
        </w:rPr>
        <w:t>Pattern Recognition</w:t>
      </w:r>
      <w:r>
        <w:rPr>
          <w:rFonts w:ascii="Times New Roman" w:hAnsi="Times New Roman"/>
          <w:b w:val="0"/>
          <w:i w:val="0"/>
          <w:sz w:val="20"/>
        </w:rPr>
        <w:t>, Vol. 137, 109317. DOI: https://doi.org/10.1016/j.patcog.2023.109317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24. Dong, Y., Wu, B., Ma, J., Li, X. (2026), "Graph-based radical structure tree representation for zero-shot Chinese character recognition", </w:t>
      </w:r>
      <w:r>
        <w:rPr>
          <w:rFonts w:ascii="Times New Roman" w:hAnsi="Times New Roman"/>
          <w:b w:val="0"/>
          <w:i/>
          <w:sz w:val="20"/>
        </w:rPr>
        <w:t>Pattern Recognition</w:t>
      </w:r>
      <w:r>
        <w:rPr>
          <w:rFonts w:ascii="Times New Roman" w:hAnsi="Times New Roman"/>
          <w:b w:val="0"/>
          <w:i w:val="0"/>
          <w:sz w:val="20"/>
        </w:rPr>
        <w:t>, Vol. 177, 113314. DOI: https://doi.org/10.1016/j.patcog.2026.113314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25. Snell, J., Swersky, K., Zemel, R. (2017), "Prototypical networks for few-shot learning", </w:t>
      </w:r>
      <w:r>
        <w:rPr>
          <w:rFonts w:ascii="Times New Roman" w:hAnsi="Times New Roman"/>
          <w:b w:val="0"/>
          <w:i/>
          <w:sz w:val="20"/>
        </w:rPr>
        <w:t>Advances in Neural Information Processing Systems</w:t>
      </w:r>
      <w:r>
        <w:rPr>
          <w:rFonts w:ascii="Times New Roman" w:hAnsi="Times New Roman"/>
          <w:b w:val="0"/>
          <w:i w:val="0"/>
          <w:sz w:val="20"/>
        </w:rPr>
        <w:t>, Vol. 30, pp. 4077–4087. DOI: https://doi.org/10.48550/arXiv.1703.05175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26. Finn, C., Abbeel, P., Levine, S. (2017), "Model-agnostic meta-learning for fast adaptation of deep networks", </w:t>
      </w:r>
      <w:r>
        <w:rPr>
          <w:rFonts w:ascii="Times New Roman" w:hAnsi="Times New Roman"/>
          <w:b w:val="0"/>
          <w:i/>
          <w:sz w:val="20"/>
        </w:rPr>
        <w:t>Proceedings of the 34th International Conference on Machine Learning</w:t>
      </w:r>
      <w:r>
        <w:rPr>
          <w:rFonts w:ascii="Times New Roman" w:hAnsi="Times New Roman"/>
          <w:b w:val="0"/>
          <w:i w:val="0"/>
          <w:sz w:val="20"/>
        </w:rPr>
        <w:t>, PMLR, Vol. 70, pp. 1126–1135. DOI: https://doi.org/10.48550/arXiv.1703.03400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27. Lake, B., Salakhutdinov, R., Tenenbaum, J. (2015), "Human-level concept learning through probabilistic program induction", </w:t>
      </w:r>
      <w:r>
        <w:rPr>
          <w:rFonts w:ascii="Times New Roman" w:hAnsi="Times New Roman"/>
          <w:b w:val="0"/>
          <w:i/>
          <w:sz w:val="20"/>
        </w:rPr>
        <w:t>Science</w:t>
      </w:r>
      <w:r>
        <w:rPr>
          <w:rFonts w:ascii="Times New Roman" w:hAnsi="Times New Roman"/>
          <w:b w:val="0"/>
          <w:i w:val="0"/>
          <w:sz w:val="20"/>
        </w:rPr>
        <w:t>, Vol. 350, No. 6266, pp. 1332–1338. DOI: https://doi.org/10.1126/science.aab3050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28. Ji, Z., Wei, R., Liu, J., Pang, Y., Han, J. (2026), "Interpretable few-shot image classification via prototypical concept-guided mixture of LoRA experts", </w:t>
      </w:r>
      <w:r>
        <w:rPr>
          <w:rFonts w:ascii="Times New Roman" w:hAnsi="Times New Roman"/>
          <w:b w:val="0"/>
          <w:i/>
          <w:sz w:val="20"/>
        </w:rPr>
        <w:t>IEEE Transactions on Image Processing</w:t>
      </w:r>
      <w:r>
        <w:rPr>
          <w:rFonts w:ascii="Times New Roman" w:hAnsi="Times New Roman"/>
          <w:b w:val="0"/>
          <w:i w:val="0"/>
          <w:sz w:val="20"/>
        </w:rPr>
        <w:t>, Vol. 35, pp. 930–942. DOI: https://doi.org/10.1109/TIP.2026.3654473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29. Hinton, G. (2022), "The forward-forward algorithm: some preliminary investigations", </w:t>
      </w:r>
      <w:r>
        <w:rPr>
          <w:rFonts w:ascii="Times New Roman" w:hAnsi="Times New Roman"/>
          <w:b w:val="0"/>
          <w:i/>
          <w:sz w:val="20"/>
        </w:rPr>
        <w:t>arXiv preprint</w:t>
      </w:r>
      <w:r>
        <w:rPr>
          <w:rFonts w:ascii="Times New Roman" w:hAnsi="Times New Roman"/>
          <w:b w:val="0"/>
          <w:i w:val="0"/>
          <w:sz w:val="20"/>
        </w:rPr>
        <w:t xml:space="preserve"> arXiv:2212.13345. DOI: https://doi.org/10.48550/arXiv.2212.13345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30. Nawaz, U., Anees-ur-Rahaman, M., Saeed, Z. (2025), "A review of neuro-symbolic AI integrating reasoning and learning for advanced cognitive systems", </w:t>
      </w:r>
      <w:r>
        <w:rPr>
          <w:rFonts w:ascii="Times New Roman" w:hAnsi="Times New Roman"/>
          <w:b w:val="0"/>
          <w:i/>
          <w:sz w:val="20"/>
        </w:rPr>
        <w:t>Intelligent Systems with Applications</w:t>
      </w:r>
      <w:r>
        <w:rPr>
          <w:rFonts w:ascii="Times New Roman" w:hAnsi="Times New Roman"/>
          <w:b w:val="0"/>
          <w:i w:val="0"/>
          <w:sz w:val="20"/>
        </w:rPr>
        <w:t>, Vol. 26, 200541. DOI: https://doi.org/10.1016/j.iswa.2025.200541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31. Ghader, M., Kheradpisheh, S., Farahani, B., Fazlali, M. (2026), "Backpropagation-free spiking neural networks with the forward–forward algorithm", </w:t>
      </w:r>
      <w:r>
        <w:rPr>
          <w:rFonts w:ascii="Times New Roman" w:hAnsi="Times New Roman"/>
          <w:b w:val="0"/>
          <w:i/>
          <w:sz w:val="20"/>
        </w:rPr>
        <w:t>Scientific Reports</w:t>
      </w:r>
      <w:r>
        <w:rPr>
          <w:rFonts w:ascii="Times New Roman" w:hAnsi="Times New Roman"/>
          <w:b w:val="0"/>
          <w:i w:val="0"/>
          <w:sz w:val="20"/>
        </w:rPr>
        <w:t>, Vol. 16, No. 1, 14294. DOI: https://doi.org/10.1038/s41598-026-41671-4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32. Parzhyn, Y., Lapin, M., Bokhan, K. (2025), "A new approach to building energy models of neural networks", </w:t>
      </w:r>
      <w:r>
        <w:rPr>
          <w:rFonts w:ascii="Times New Roman" w:hAnsi="Times New Roman"/>
          <w:b w:val="0"/>
          <w:i/>
          <w:sz w:val="20"/>
        </w:rPr>
        <w:t>Advanced Information Systems</w:t>
      </w:r>
      <w:r>
        <w:rPr>
          <w:rFonts w:ascii="Times New Roman" w:hAnsi="Times New Roman"/>
          <w:b w:val="0"/>
          <w:i w:val="0"/>
          <w:sz w:val="20"/>
        </w:rPr>
        <w:t>, Vol. 9, No. 4, pp. 100–119. DOI: https://doi.org/10.20998/2522-9052.2025.4.13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33. Parzhyn, Y., Galkyn, S., Sobol, M. (2022), "Method for binary contour images vectorization of handwritten characters for recognition by detector neural networks", </w:t>
      </w:r>
      <w:r>
        <w:rPr>
          <w:rFonts w:ascii="Times New Roman" w:hAnsi="Times New Roman"/>
          <w:b w:val="0"/>
          <w:i/>
          <w:sz w:val="20"/>
        </w:rPr>
        <w:t>2022 IEEE 3rd KhPI Week on Advanced Technology (KhPIWeek)</w:t>
      </w:r>
      <w:r>
        <w:rPr>
          <w:rFonts w:ascii="Times New Roman" w:hAnsi="Times New Roman"/>
          <w:b w:val="0"/>
          <w:i w:val="0"/>
          <w:sz w:val="20"/>
        </w:rPr>
        <w:t>, Kharkiv, Ukraine, pp. 1–6. DOI: https://doi.org/10.1109/KhPIWeek57572.2022.9916331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34. Parzhyn, Y. (2025), "Architecture of information", </w:t>
      </w:r>
      <w:r>
        <w:rPr>
          <w:rFonts w:ascii="Times New Roman" w:hAnsi="Times New Roman"/>
          <w:b w:val="0"/>
          <w:i/>
          <w:sz w:val="20"/>
        </w:rPr>
        <w:t>arXiv preprint</w:t>
      </w:r>
      <w:r>
        <w:rPr>
          <w:rFonts w:ascii="Times New Roman" w:hAnsi="Times New Roman"/>
          <w:b w:val="0"/>
          <w:i w:val="0"/>
          <w:sz w:val="20"/>
        </w:rPr>
        <w:t xml:space="preserve"> arXiv:2503.21794. DOI: https://doi.org/10.48550/arXiv.2503.21794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35. Lapin, M., Bokhan, K. (2025), "Few-shot learning of a graph-based neural network model without backpropagation", </w:t>
      </w:r>
      <w:r>
        <w:rPr>
          <w:rFonts w:ascii="Times New Roman" w:hAnsi="Times New Roman"/>
          <w:b w:val="0"/>
          <w:i/>
          <w:sz w:val="20"/>
        </w:rPr>
        <w:t>Management Information System and Devices</w:t>
      </w:r>
      <w:r>
        <w:rPr>
          <w:rFonts w:ascii="Times New Roman" w:hAnsi="Times New Roman"/>
          <w:b w:val="0"/>
          <w:i w:val="0"/>
          <w:sz w:val="20"/>
        </w:rPr>
        <w:t>, No. 187, pp. 103–122. DOI: https://doi.org/10.30837/0135-1710.2025.187.103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36. Lapin, M., Parzhyn, Y., Bokhan, K., Perevoznyk, K., Aleksandrova, T. (2026), "Invariant structural learning: concept formation as hypergraph attractor dynamics", </w:t>
      </w:r>
      <w:r>
        <w:rPr>
          <w:rFonts w:ascii="Times New Roman" w:hAnsi="Times New Roman"/>
          <w:b w:val="0"/>
          <w:i/>
          <w:sz w:val="20"/>
        </w:rPr>
        <w:t>Innovative Technologies and Scientific Solutions for Industries</w:t>
      </w:r>
      <w:r>
        <w:rPr>
          <w:rFonts w:ascii="Times New Roman" w:hAnsi="Times New Roman"/>
          <w:b w:val="0"/>
          <w:i w:val="0"/>
          <w:sz w:val="20"/>
        </w:rPr>
        <w:t>, No. 2(36), pp. 70–94. DOI: https://doi.org/10.30837/2522-9818.2026.2.070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37. Zhang, T., Suen, C. (1984), "A fast parallel algorithm for thinning digital patterns", </w:t>
      </w:r>
      <w:r>
        <w:rPr>
          <w:rFonts w:ascii="Times New Roman" w:hAnsi="Times New Roman"/>
          <w:b w:val="0"/>
          <w:i/>
          <w:sz w:val="20"/>
        </w:rPr>
        <w:t>Communications of the ACM</w:t>
      </w:r>
      <w:r>
        <w:rPr>
          <w:rFonts w:ascii="Times New Roman" w:hAnsi="Times New Roman"/>
          <w:b w:val="0"/>
          <w:i w:val="0"/>
          <w:sz w:val="20"/>
        </w:rPr>
        <w:t>, Vol. 27, No. 3, pp. 236–239. DOI: https://doi.org/10.1145/357994.358023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38. Fritzke, B. (1995), "A growing neural gas network learns topologies", </w:t>
      </w:r>
      <w:r>
        <w:rPr>
          <w:rFonts w:ascii="Times New Roman" w:hAnsi="Times New Roman"/>
          <w:b w:val="0"/>
          <w:i/>
          <w:sz w:val="20"/>
        </w:rPr>
        <w:t>Advances in Neural Information Processing Systems 7</w:t>
      </w:r>
      <w:r>
        <w:rPr>
          <w:rFonts w:ascii="Times New Roman" w:hAnsi="Times New Roman"/>
          <w:b w:val="0"/>
          <w:i w:val="0"/>
          <w:sz w:val="20"/>
        </w:rPr>
        <w:t>, MIT Press, Cambridge, pp. 625–632.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39. Douglas, D., Peucker, T. (1973), "Algorithms for the reduction of the number of points required to represent a digitized line or its caricature", </w:t>
      </w:r>
      <w:r>
        <w:rPr>
          <w:rFonts w:ascii="Times New Roman" w:hAnsi="Times New Roman"/>
          <w:b w:val="0"/>
          <w:i/>
          <w:sz w:val="20"/>
        </w:rPr>
        <w:t>Cartographica: The International Journal for Geographic Information and Geovisualization</w:t>
      </w:r>
      <w:r>
        <w:rPr>
          <w:rFonts w:ascii="Times New Roman" w:hAnsi="Times New Roman"/>
          <w:b w:val="0"/>
          <w:i w:val="0"/>
          <w:sz w:val="20"/>
        </w:rPr>
        <w:t>, Vol. 10, No. 2, pp. 112–122. DOI: https://doi.org/10.3138/FM57-6770-U75U-7727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40. LeCun, Y., Bottou, L., Bengio, Y., Haffner, P. (1998), "Gradient-based learning applied to document recognition", </w:t>
      </w:r>
      <w:r>
        <w:rPr>
          <w:rFonts w:ascii="Times New Roman" w:hAnsi="Times New Roman"/>
          <w:b w:val="0"/>
          <w:i/>
          <w:sz w:val="20"/>
        </w:rPr>
        <w:t>Proceedings of the IEEE</w:t>
      </w:r>
      <w:r>
        <w:rPr>
          <w:rFonts w:ascii="Times New Roman" w:hAnsi="Times New Roman"/>
          <w:b w:val="0"/>
          <w:i w:val="0"/>
          <w:sz w:val="20"/>
        </w:rPr>
        <w:t>, Vol. 86, No. 11, pp. 2278–2324. DOI: https://doi.org/10.1109/5.726791</w:t>
      </w:r>
    </w:p>
    <w:p>
      <w:pPr>
        <w:spacing w:lineRule="exact" w:line="280" w:before="0" w:after="0"/>
        <w:jc w:val="both"/>
      </w:pPr>
    </w:p>
    <w:p>
      <w:pPr>
        <w:spacing w:lineRule="exact" w:line="280" w:before="160" w:after="80"/>
        <w:jc w:val="center"/>
      </w:pPr>
      <w:r>
        <w:rPr>
          <w:rFonts w:ascii="Times New Roman" w:hAnsi="Times New Roman"/>
          <w:b w:val="0"/>
          <w:i/>
          <w:sz w:val="20"/>
        </w:rPr>
        <w:t>Відомості про автора / About the Author</w:t>
      </w:r>
    </w:p>
    <w:p>
      <w:pPr>
        <w:spacing w:lineRule="exact" w:line="280" w:before="0" w:after="0"/>
        <w:ind w:left="567" w:hanging="567"/>
        <w:jc w:val="both"/>
      </w:pPr>
      <w:r>
        <w:rPr>
          <w:rFonts w:ascii="Times New Roman" w:hAnsi="Times New Roman"/>
          <w:b/>
          <w:i w:val="0"/>
          <w:sz w:val="20"/>
        </w:rPr>
        <w:t>Лапін Микита Олексійович (автор-кореспондент)</w:t>
      </w:r>
      <w:r>
        <w:rPr>
          <w:rFonts w:ascii="Times New Roman" w:hAnsi="Times New Roman"/>
          <w:b w:val="0"/>
          <w:i w:val="0"/>
          <w:sz w:val="20"/>
        </w:rPr>
        <w:t xml:space="preserve"> – аспірант кафедри системного аналізу та інформаційно-аналітичних технологій, Національний технічний університет "Харківський політехнічний інститут", Харків, Україна.</w:t>
      </w:r>
    </w:p>
    <w:p>
      <w:pPr>
        <w:spacing w:lineRule="exact" w:line="280" w:before="0" w:after="0"/>
        <w:ind w:left="567"/>
        <w:jc w:val="both"/>
      </w:pPr>
      <w:r>
        <w:rPr>
          <w:rFonts w:ascii="Times New Roman" w:hAnsi="Times New Roman"/>
          <w:b/>
          <w:i w:val="0"/>
          <w:sz w:val="20"/>
        </w:rPr>
        <w:t>Mykyta Lapin (corresponding author)</w:t>
      </w:r>
      <w:r>
        <w:rPr>
          <w:rFonts w:ascii="Times New Roman" w:hAnsi="Times New Roman"/>
          <w:b w:val="0"/>
          <w:i w:val="0"/>
          <w:sz w:val="20"/>
        </w:rPr>
        <w:t xml:space="preserve"> – PhD student at the Department of Systems Analysis and Information-Analytical Technologies, National Technical University "Kharkiv Polytechnic Institute", Kharkiv, Ukraine;</w:t>
      </w:r>
    </w:p>
    <w:p>
      <w:pPr>
        <w:spacing w:lineRule="exact" w:line="280" w:before="0" w:after="0"/>
        <w:ind w:left="56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e-mail: Mykyta.Lapin@cit.khpi.edu.ua; </w:t>
      </w:r>
      <w:r>
        <w:rPr>
          <w:rFonts w:ascii="Times New Roman" w:hAnsi="Times New Roman"/>
          <w:b w:val="0"/>
          <w:i w:val="0"/>
          <w:sz w:val="20"/>
        </w:rPr>
        <w:t xml:space="preserve">ORCID Author ID: https://orcid.org/0009-0003-6307-1172; </w:t>
      </w:r>
      <w:r>
        <w:rPr>
          <w:rFonts w:ascii="Times New Roman" w:hAnsi="Times New Roman"/>
          <w:b w:val="0"/>
          <w:i w:val="0"/>
          <w:sz w:val="20"/>
        </w:rPr>
        <w:t>Scopus Author ID: https://www.scopus.com/authid/detail.uri?authorId=60171161300.</w:t>
      </w:r>
    </w:p>
    <w:p>
      <w:pPr>
        <w:spacing w:lineRule="exact" w:line="280" w:before="0" w:after="0"/>
        <w:ind w:left="567"/>
        <w:jc w:val="both"/>
      </w:pPr>
      <w:r>
        <w:rPr>
          <w:rFonts w:ascii="Times New Roman" w:hAnsi="Times New Roman"/>
          <w:b w:val="0"/>
          <w:i w:val="0"/>
          <w:sz w:val="20"/>
        </w:rPr>
        <w:t>моб. +38(0XX)XXX-XX-XX</w:t>
      </w:r>
    </w:p>
    <w:p>
      <w:pPr>
        <w:spacing w:lineRule="exact" w:line="280" w:before="0" w:after="0"/>
        <w:jc w:val="both"/>
      </w:pPr>
    </w:p>
    <w:p>
      <w:pPr>
        <w:spacing w:lineRule="exact" w:line="280" w:before="120" w:after="120"/>
        <w:jc w:val="center"/>
      </w:pPr>
      <w:r>
        <w:rPr>
          <w:rFonts w:ascii="Times New Roman" w:hAnsi="Times New Roman"/>
          <w:b/>
          <w:i w:val="0"/>
          <w:sz w:val="20"/>
        </w:rPr>
        <w:t>ПОЯСНЮВАНЕ РОЗПІЗНАВАННЯ РУКОПИСНИХ ЦИФР НА ОСНОВІ ГРАФОВИХ КОНЦЕПТІВ-АТРАКТОРІВ, СФОРМОВАНИХ З МАЛОЇ КІЛЬКОСТІ ПРИКЛАДІВ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/>
          <w:i/>
          <w:sz w:val="20"/>
        </w:rPr>
        <w:t xml:space="preserve">Предмет дослідження. </w:t>
      </w:r>
      <w:r>
        <w:rPr>
          <w:rFonts w:ascii="Times New Roman" w:hAnsi="Times New Roman"/>
          <w:b w:val="0"/>
          <w:i w:val="0"/>
          <w:sz w:val="20"/>
        </w:rPr>
        <w:t>Процес пояснюваного розпізнавання рукописних цифр на основі графового подання контурних зображень і концептів-атракторів, сформованих структурною редукцією без зворотного поширення помилки.</w:t>
      </w:r>
      <w:r>
        <w:rPr>
          <w:rFonts w:ascii="Times New Roman" w:hAnsi="Times New Roman"/>
          <w:b w:val="0"/>
          <w:i w:val="0"/>
          <w:sz w:val="20"/>
        </w:rPr>
        <w:t xml:space="preserve"> </w:t>
      </w:r>
      <w:r>
        <w:rPr>
          <w:rFonts w:ascii="Times New Roman" w:hAnsi="Times New Roman"/>
          <w:b/>
          <w:i/>
          <w:sz w:val="20"/>
        </w:rPr>
        <w:t xml:space="preserve">Мета. </w:t>
      </w:r>
      <w:r>
        <w:rPr>
          <w:rFonts w:ascii="Times New Roman" w:hAnsi="Times New Roman"/>
          <w:b w:val="0"/>
          <w:i w:val="0"/>
          <w:sz w:val="20"/>
        </w:rPr>
        <w:t>Показати, що концепти-атрактори, сформовані з малої кількості прикладів, дають розпізнавання з простежуваним рішенням, і задокументувати умови чинності результату.</w:t>
      </w:r>
      <w:r>
        <w:rPr>
          <w:rFonts w:ascii="Times New Roman" w:hAnsi="Times New Roman"/>
          <w:b w:val="0"/>
          <w:i w:val="0"/>
          <w:sz w:val="20"/>
        </w:rPr>
        <w:t xml:space="preserve"> </w:t>
      </w:r>
      <w:r>
        <w:rPr>
          <w:rFonts w:ascii="Times New Roman" w:hAnsi="Times New Roman"/>
          <w:b/>
          <w:i/>
          <w:sz w:val="20"/>
        </w:rPr>
        <w:t xml:space="preserve">Завдання. </w:t>
      </w:r>
      <w:r>
        <w:rPr>
          <w:rFonts w:ascii="Times New Roman" w:hAnsi="Times New Roman"/>
          <w:b w:val="0"/>
          <w:i w:val="0"/>
          <w:sz w:val="20"/>
        </w:rPr>
        <w:t>Подати контурні зображення двочастковими графами; сформувати алфавіт концептів структурною редукцією з інтервальним узагальненням параметрів; побудувати класифікацію за відстанню редагування графів з діагностичним зважуванням ознак; оцінити систему на повноконтурній підмножині MNIST з розкриттям фільтра повноти; продемонструвати пояснюваність трасуванням рішення.</w:t>
      </w:r>
      <w:r>
        <w:rPr>
          <w:rFonts w:ascii="Times New Roman" w:hAnsi="Times New Roman"/>
          <w:b w:val="0"/>
          <w:i w:val="0"/>
          <w:sz w:val="20"/>
        </w:rPr>
        <w:t xml:space="preserve"> </w:t>
      </w:r>
      <w:r>
        <w:rPr>
          <w:rFonts w:ascii="Times New Roman" w:hAnsi="Times New Roman"/>
          <w:b/>
          <w:i/>
          <w:sz w:val="20"/>
        </w:rPr>
        <w:t xml:space="preserve">Методи. </w:t>
      </w:r>
      <w:r>
        <w:rPr>
          <w:rFonts w:ascii="Times New Roman" w:hAnsi="Times New Roman"/>
          <w:b w:val="0"/>
          <w:i w:val="0"/>
          <w:sz w:val="20"/>
        </w:rPr>
        <w:t>Скелетизація зображень, зростаючий нейронний газ, спрощення Рамера—Дугласа—Пекера, структурна редукція графів, відстань редагування графів, інтервальне узагальнення параметрів.</w:t>
      </w:r>
      <w:r>
        <w:rPr>
          <w:rFonts w:ascii="Times New Roman" w:hAnsi="Times New Roman"/>
          <w:b w:val="0"/>
          <w:i w:val="0"/>
          <w:sz w:val="20"/>
        </w:rPr>
        <w:t xml:space="preserve"> </w:t>
      </w:r>
      <w:r>
        <w:rPr>
          <w:rFonts w:ascii="Times New Roman" w:hAnsi="Times New Roman"/>
          <w:b/>
          <w:i/>
          <w:sz w:val="20"/>
        </w:rPr>
        <w:t xml:space="preserve">Результати. </w:t>
      </w:r>
      <w:r>
        <w:rPr>
          <w:rFonts w:ascii="Times New Roman" w:hAnsi="Times New Roman"/>
          <w:b w:val="0"/>
          <w:i w:val="0"/>
          <w:sz w:val="20"/>
        </w:rPr>
        <w:t>13 концептів-атракторів сформовано з 76 вручну відібраних джерел, розширених до 805 зображень. Із 8 707 допущених зображень рішення одержано для 8 685: точність становить 91,13 % для оброблених і 90,90 % для всіх допущених з урахуванням 22 збоїв конвеєра; зважені влучність, повнота і F1 дорівнюють 91,92 %, 91,13 % і 91,34 %. Архівне відтворення одного рішення дає числовий ланцюг від операцій редагування до оцінки.</w:t>
      </w:r>
      <w:r>
        <w:rPr>
          <w:rFonts w:ascii="Times New Roman" w:hAnsi="Times New Roman"/>
          <w:b w:val="0"/>
          <w:i w:val="0"/>
          <w:sz w:val="20"/>
        </w:rPr>
        <w:t xml:space="preserve"> </w:t>
      </w:r>
      <w:r>
        <w:rPr>
          <w:rFonts w:ascii="Times New Roman" w:hAnsi="Times New Roman"/>
          <w:b/>
          <w:i/>
          <w:sz w:val="20"/>
        </w:rPr>
        <w:t xml:space="preserve">Висновки. </w:t>
      </w:r>
      <w:r>
        <w:rPr>
          <w:rFonts w:ascii="Times New Roman" w:hAnsi="Times New Roman"/>
          <w:b w:val="0"/>
          <w:i w:val="0"/>
          <w:sz w:val="20"/>
        </w:rPr>
        <w:t>Розпізнавання без зворотного поширення помилки за 76 навчальних джерел є здійсненним, а кожне рішення розкладається на операції редагування графів і поознакові вартості. Результат чинний у межах вручну відфільтрованої підмножини MNIST; порівняння з іншими моделями не проведено.</w:t>
      </w:r>
    </w:p>
    <w:p>
      <w:pPr>
        <w:spacing w:lineRule="exact" w:line="280" w:before="0" w:after="0"/>
        <w:ind w:firstLine="567"/>
        <w:jc w:val="both"/>
      </w:pPr>
      <w:r>
        <w:rPr>
          <w:rFonts w:ascii="Times New Roman" w:hAnsi="Times New Roman"/>
          <w:b/>
          <w:i/>
          <w:sz w:val="20"/>
        </w:rPr>
        <w:t xml:space="preserve">Ключові слова: </w:t>
      </w:r>
      <w:r>
        <w:rPr>
          <w:rFonts w:ascii="Times New Roman" w:hAnsi="Times New Roman"/>
          <w:b w:val="0"/>
          <w:i w:val="0"/>
          <w:sz w:val="20"/>
        </w:rPr>
        <w:t>пояснюваний штучний інтелект; графове подання зображень; концепт-атрактор; структурна редукція; відстань редагування графів; скелетизація; розпізнавання рукописних цифр; навчання з малої кількості прикладів.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