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15/06/2018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15/06/2018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6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6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6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6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6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7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7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49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Répercussion de la centralisation des référentiels</w:t>
            </w:r>
          </w:p>
          <w:p>
            <w:pPr>
              <w:numPr>
                <w:ilvl w:val="0"/>
                <w:numId w:val="50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0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1640€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22545,00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48405,00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dimanche 1 juillet 2018</w:t>
      </w:r>
      <w:r>
        <w:t xml:space="preserve">, et aura pour date de livraison finale le </w:t>
      </w:r>
      <w:proofErr w:type="spellStart"/>
      <w:proofErr w:type="spellEnd"/>
      <w:r>
        <w:t>mardi 31 juillet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Devis_All_NS_Reneco_2018_7.docx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