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18/06/2018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18/06/2018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w:t>
            </w:r>
          </w:p>
        </w:tc>
      </w:tr>
      <w:tr>
        <w:tc>
          <w:tcPr>
            <w:tcW w:w="2310" w:type="dxa"/>
          </w:tcPr>
          <w:p>
            <w:pPr/>
          </w:p>
          <w:p>
            <w:pPr/>
            <w:r>
              <w:rPr>
                <w:lang w:val="fr-FR"/>
              </w:rPr>
              <w:t>eCollection</w:t>
            </w:r>
          </w:p>
        </w:tc>
        <w:tc>
          <w:tcPr>
            <w:tcW w:w="2310" w:type="dxa"/>
          </w:tcPr>
          <w:p>
            <w:pPr/>
          </w:p>
        </w:tc>
        <w:tc>
          <w:tcPr>
            <w:tcW w:w="2310" w:type="dxa"/>
          </w:tcPr>
          <w:p>
            <w:pPr/>
          </w:p>
        </w:tc>
      </w:tr>
      <w:tr>
        <w:tc>
          <w:tcPr>
            <w:tcW w:w="2310" w:type="dxa"/>
          </w:tcPr>
          <w:p>
            <w:pPr/>
          </w:p>
          <w:p>
            <w:pPr/>
            <w:r>
              <w:rPr>
                <w:lang w:val="fr-FR"/>
              </w:rPr>
              <w:t>ecoRelevé-data</w:t>
            </w:r>
          </w:p>
        </w:tc>
        <w:tc>
          <w:tcPr>
            <w:tcW w:w="2310" w:type="dxa"/>
          </w:tcPr>
          <w:p>
            <w:pPr/>
          </w:p>
          <w:p>
            <w:pPr>
              <w:numPr>
                <w:ilvl w:val="0"/>
                <w:numId w:val="49"/>
              </w:numPr>
            </w:pPr>
            <w:r>
              <w:t>Analyse de l'ergonomie de la gestion des protocoles dans la page station</w:t>
            </w:r>
          </w:p>
          <w:p>
            <w:pPr>
              <w:numPr>
                <w:ilvl w:val="0"/>
                <w:numId w:val="49"/>
              </w:numPr>
            </w:pPr>
            <w:r>
              <w:t>Création de la route Observation</w:t>
            </w:r>
          </w:p>
          <w:p>
            <w:pPr>
              <w:numPr>
                <w:ilvl w:val="0"/>
                <w:numId w:val="49"/>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0"/>
              </w:numPr>
            </w:pPr>
            <w:r>
              <w:t>Intégration de la page d'accueil</w:t>
            </w:r>
          </w:p>
          <w:p>
            <w:pPr>
              <w:numPr>
                <w:ilvl w:val="0"/>
                <w:numId w:val="50"/>
              </w:numPr>
            </w:pPr>
            <w:r>
              <w:t>modification de la vue de consultation pour la prise en compte de propriétés dynamiques d'évènements</w:t>
            </w:r>
          </w:p>
          <w:p>
            <w:pPr>
              <w:numPr>
                <w:ilvl w:val="0"/>
                <w:numId w:val="50"/>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1"/>
              </w:numPr>
            </w:pPr>
            <w:r>
              <w:t>Vérification des configurations SQL</w:t>
            </w:r>
          </w:p>
          <w:p>
            <w:pPr>
              <w:numPr>
                <w:ilvl w:val="0"/>
                <w:numId w:val="51"/>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2"/>
              </w:numPr>
            </w:pPr>
            <w:r>
              <w:t>Vérification de la cohérence entre les icones icomoon et track</w:t>
            </w:r>
          </w:p>
          <w:p>
            <w:pPr>
              <w:numPr>
                <w:ilvl w:val="0"/>
                <w:numId w:val="52"/>
              </w:numPr>
            </w:pPr>
            <w:r>
              <w:t>Modification de l'affichage de l'age pour les oeufs morts</w:t>
            </w:r>
          </w:p>
          <w:p>
            <w:pPr>
              <w:numPr>
                <w:ilvl w:val="0"/>
                <w:numId w:val="52"/>
              </w:numPr>
            </w:pPr>
            <w:r>
              <w:t>Création d'un bouton pour la création d'une saisie, directement à partir de la page fiche individu. La page de saisie a le champ bagueId Id pré-rempli.</w:t>
            </w:r>
          </w:p>
          <w:p>
            <w:pPr>
              <w:numPr>
                <w:ilvl w:val="0"/>
                <w:numId w:val="52"/>
              </w:numPr>
            </w:pPr>
            <w:r>
              <w:t>Problème de sauvegarde des logs</w:t>
            </w:r>
          </w:p>
        </w:tc>
        <w:tc>
          <w:tcPr>
            <w:tcW w:w="2310" w:type="dxa"/>
          </w:tcPr>
          <w:p>
            <w:pPr/>
          </w:p>
          <w:p>
            <w:pPr/>
            <w:r>
              <w:rPr>
                <w:lang w:val="fr-FR"/>
              </w:rPr>
              <w:t>1640€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10405,00</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3"/>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3"/>
              </w:numPr>
            </w:pPr>
            <w:r>
              <w:t>Réunion sur le workflow complet de l'outil repro ACCESS, démonstrations, processus</w:t>
            </w:r>
          </w:p>
          <w:p>
            <w:pPr>
              <w:numPr>
                <w:ilvl w:val="0"/>
                <w:numId w:val="53"/>
              </w:numPr>
            </w:pPr>
            <w:r>
              <w:t>Analyse de l'architecture de l'outil actuel</w:t>
            </w:r>
          </w:p>
          <w:p>
            <w:pPr>
              <w:numPr>
                <w:ilvl w:val="0"/>
                <w:numId w:val="53"/>
              </w:numPr>
            </w:pPr>
            <w:r>
              <w:t>Analyse des règles et classification pour la transposition</w:t>
            </w:r>
          </w:p>
          <w:p>
            <w:pPr>
              <w:numPr>
                <w:ilvl w:val="0"/>
                <w:numId w:val="53"/>
              </w:numPr>
            </w:pPr>
            <w:r>
              <w:t>Analyse du code VB de l'outil ACCESS</w:t>
            </w:r>
          </w:p>
          <w:p>
            <w:pPr>
              <w:numPr>
                <w:ilvl w:val="0"/>
                <w:numId w:val="53"/>
              </w:numPr>
            </w:pPr>
            <w:r>
              <w:t>Réflexion autour de la conception du moteur de règles</w:t>
            </w:r>
          </w:p>
          <w:p>
            <w:pPr>
              <w:numPr>
                <w:ilvl w:val="0"/>
                <w:numId w:val="53"/>
              </w:numPr>
            </w:pPr>
            <w:r>
              <w:t>Définition de la fonction d'utilité (périmètre, contexte)</w:t>
            </w:r>
          </w:p>
          <w:p>
            <w:pPr>
              <w:numPr>
                <w:ilvl w:val="0"/>
                <w:numId w:val="53"/>
              </w:numPr>
            </w:pPr>
            <w:r>
              <w:t>Revue des maquettes Appli Repro pour la partie data entry avec dbsupport</w:t>
            </w:r>
          </w:p>
          <w:p>
            <w:pPr>
              <w:numPr>
                <w:ilvl w:val="0"/>
                <w:numId w:val="53"/>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4"/>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5"/>
              </w:numPr>
            </w:pPr>
            <w:r>
              <w:t>Correction du système d'import</w:t>
            </w:r>
          </w:p>
          <w:p>
            <w:pPr>
              <w:numPr>
                <w:ilvl w:val="0"/>
                <w:numId w:val="55"/>
              </w:numPr>
            </w:pPr>
            <w:r>
              <w:t>Traitement des retours suite à la mise en production, partie 2</w:t>
            </w:r>
          </w:p>
        </w:tc>
        <w:tc>
          <w:tcPr>
            <w:tcW w:w="2310" w:type="dxa"/>
          </w:tcPr>
          <w:p>
            <w:pPr/>
          </w:p>
          <w:p>
            <w:pPr/>
            <w:r>
              <w:rPr>
                <w:lang w:val="fr-FR"/>
              </w:rPr>
              <w:t>2120€</w:t>
            </w:r>
          </w:p>
        </w:tc>
      </w:tr>
      <w:tr>
        <w:tc>
          <w:tcPr>
            <w:tcW w:w="2310" w:type="dxa"/>
          </w:tcPr>
          <w:p>
            <w:pPr/>
          </w:p>
          <w:p>
            <w:pPr/>
            <w:r>
              <w:rPr>
                <w:lang w:val="fr-FR"/>
              </w:rPr>
              <w:t>ecoRelevé-data</w:t>
            </w:r>
          </w:p>
        </w:tc>
        <w:tc>
          <w:tcPr>
            <w:tcW w:w="2310" w:type="dxa"/>
          </w:tcPr>
          <w:p>
            <w:pPr/>
          </w:p>
          <w:p>
            <w:pPr>
              <w:numPr>
                <w:ilvl w:val="0"/>
                <w:numId w:val="57"/>
              </w:numPr>
            </w:pPr>
            <w:r>
              <w:t>Ajout de contraintes d'unicité et de foreign key manquantes dans la base de données ecoRelevé</w:t>
            </w:r>
          </w:p>
          <w:p>
            <w:pPr>
              <w:numPr>
                <w:ilvl w:val="0"/>
                <w:numId w:val="57"/>
              </w:numPr>
            </w:pPr>
            <w:r>
              <w:t>Intégration des retours suite à la présentation de la nouvelle maquette player</w:t>
            </w:r>
          </w:p>
          <w:p>
            <w:pPr>
              <w:numPr>
                <w:ilvl w:val="0"/>
                <w:numId w:val="57"/>
              </w:numPr>
            </w:pPr>
            <w:r>
              <w:t>Rédaction du cahier des charges pour un outil de reconnaissance des outardes</w:t>
            </w:r>
          </w:p>
          <w:p>
            <w:pPr>
              <w:numPr>
                <w:ilvl w:val="0"/>
                <w:numId w:val="57"/>
              </w:numPr>
            </w:pPr>
            <w:r>
              <w:t>Maquette pour la gestion d'ensembles complexes d'images</w:t>
            </w:r>
          </w:p>
          <w:p>
            <w:pPr>
              <w:numPr>
                <w:ilvl w:val="0"/>
                <w:numId w:val="57"/>
              </w:numPr>
            </w:pPr>
            <w:r>
              <w:t>Recette de l'intégration de la maquette cameraTrap (phase 1)</w:t>
            </w:r>
          </w:p>
          <w:p>
            <w:pPr>
              <w:numPr>
                <w:ilvl w:val="0"/>
                <w:numId w:val="57"/>
              </w:numPr>
            </w:pPr>
            <w:r>
              <w:t>Revue du document : cahier des charges pour la création d'un outil de reconnaissance automatique des outardes d'aprés les photographies de caméra trap</w:t>
            </w:r>
          </w:p>
          <w:p>
            <w:pPr>
              <w:numPr>
                <w:ilvl w:val="0"/>
                <w:numId w:val="57"/>
              </w:numPr>
            </w:pPr>
            <w:r>
              <w:t>Création des icones pour les maquettes des camera traps</w:t>
            </w:r>
          </w:p>
        </w:tc>
        <w:tc>
          <w:tcPr>
            <w:tcW w:w="2310" w:type="dxa"/>
          </w:tcPr>
          <w:p>
            <w:pPr/>
          </w:p>
          <w:p>
            <w:pPr/>
            <w:r>
              <w:rPr>
                <w:lang w:val="fr-FR"/>
              </w:rPr>
              <w:t>6220,00€</w:t>
            </w:r>
          </w:p>
        </w:tc>
      </w:tr>
      <w:tr>
        <w:tc>
          <w:tcPr>
            <w:tcW w:w="2310" w:type="dxa"/>
          </w:tcPr>
          <w:p>
            <w:pPr/>
          </w:p>
          <w:p>
            <w:pPr/>
            <w:r>
              <w:rPr>
                <w:lang w:val="fr-FR"/>
              </w:rPr>
              <w:t>Positions</w:t>
            </w:r>
          </w:p>
        </w:tc>
        <w:tc>
          <w:tcPr>
            <w:tcW w:w="2310" w:type="dxa"/>
          </w:tcPr>
          <w:p>
            <w:pPr/>
          </w:p>
          <w:p>
            <w:pPr>
              <w:numPr>
                <w:ilvl w:val="0"/>
                <w:numId w:val="59"/>
              </w:numPr>
            </w:pPr>
            <w:r>
              <w:t>Réunion sur l'utilisation du canevas bootstrap pour l'intégration</w:t>
            </w:r>
          </w:p>
          <w:p>
            <w:pPr>
              <w:numPr>
                <w:ilvl w:val="0"/>
                <w:numId w:val="59"/>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60"/>
              </w:numPr>
            </w:pPr>
            <w:r>
              <w:t>Gestion du backlog et planification</w:t>
            </w:r>
          </w:p>
          <w:p>
            <w:pPr>
              <w:numPr>
                <w:ilvl w:val="0"/>
                <w:numId w:val="60"/>
              </w:numPr>
            </w:pPr>
            <w:r>
              <w:t>Spike handsontable</w:t>
            </w:r>
          </w:p>
          <w:p>
            <w:pPr>
              <w:numPr>
                <w:ilvl w:val="0"/>
                <w:numId w:val="60"/>
              </w:numPr>
            </w:pPr>
            <w:r>
              <w:t>Analyse de l'article sur les photographies d'oeuf qui pourrait permettre de remplir le protocole description d'oeuf automatiquement et même déterminer sa masse</w:t>
            </w:r>
          </w:p>
          <w:p>
            <w:pPr>
              <w:numPr>
                <w:ilvl w:val="0"/>
                <w:numId w:val="60"/>
              </w:numPr>
            </w:pPr>
            <w:r>
              <w:t>Réunion sur les heures GMT dans ecoRelevé avec dbsupport</w:t>
            </w:r>
          </w:p>
          <w:p>
            <w:pPr>
              <w:numPr>
                <w:ilvl w:val="0"/>
                <w:numId w:val="60"/>
              </w:numPr>
            </w:pPr>
            <w:r>
              <w:t>Réunion de discussion sur le script SQL d'identification des indexes avec dbsupport</w:t>
            </w:r>
          </w:p>
          <w:p>
            <w:pPr>
              <w:numPr>
                <w:ilvl w:val="0"/>
                <w:numId w:val="60"/>
              </w:numPr>
            </w:pPr>
            <w:r>
              <w:t>Réunion d'évaluation des différentes bibliothèques js pour la création des nouveaux outils reneco (Appli Repro et Track NG)</w:t>
            </w:r>
          </w:p>
          <w:p>
            <w:pPr>
              <w:numPr>
                <w:ilvl w:val="0"/>
                <w:numId w:val="60"/>
              </w:numPr>
            </w:pPr>
            <w:r>
              <w:t>Mission Sandra démonstration des outils de reconnaissance d'outardes et de la mesure d'oeufs</w:t>
            </w:r>
          </w:p>
        </w:tc>
        <w:tc>
          <w:tcPr>
            <w:tcW w:w="2310" w:type="dxa"/>
          </w:tcPr>
          <w:p>
            <w:pPr/>
          </w:p>
          <w:p>
            <w:pPr/>
            <w:r>
              <w:rPr>
                <w:lang w:val="fr-FR"/>
              </w:rPr>
              <w:t>4975,00€</w:t>
            </w:r>
          </w:p>
        </w:tc>
      </w:tr>
      <w:tr>
        <w:tc>
          <w:tcPr>
            <w:tcW w:w="2310" w:type="dxa"/>
          </w:tcPr>
          <w:p>
            <w:pPr/>
          </w:p>
          <w:p>
            <w:pPr/>
            <w:r>
              <w:rPr>
                <w:lang w:val="fr-FR"/>
              </w:rPr>
              <w:t>TRACK</w:t>
            </w:r>
          </w:p>
        </w:tc>
        <w:tc>
          <w:tcPr>
            <w:tcW w:w="2310" w:type="dxa"/>
          </w:tcPr>
          <w:p>
            <w:pPr/>
          </w:p>
          <w:p>
            <w:pPr>
              <w:numPr>
                <w:ilvl w:val="0"/>
                <w:numId w:val="62"/>
              </w:numPr>
            </w:pPr>
            <w:r>
              <w:t>Amélioration de la génération de logs et correction des données</w:t>
            </w:r>
          </w:p>
          <w:p>
            <w:pPr>
              <w:numPr>
                <w:ilvl w:val="0"/>
                <w:numId w:val="62"/>
              </w:numPr>
            </w:pPr>
            <w:r>
              <w:t>Création d'un webservice de génération d'arbre plat traduit</w:t>
            </w:r>
          </w:p>
          <w:p>
            <w:pPr>
              <w:numPr>
                <w:ilvl w:val="0"/>
                <w:numId w:val="62"/>
              </w:numPr>
            </w:pPr>
            <w:r>
              <w:t>Transformation de l'accès a la base sécurité en accès synonyme Vlog</w:t>
            </w:r>
          </w:p>
          <w:p>
            <w:pPr>
              <w:numPr>
                <w:ilvl w:val="0"/>
                <w:numId w:val="62"/>
              </w:numPr>
            </w:pPr>
            <w:r>
              <w:t>Création du pictogramme "On site"</w:t>
            </w:r>
          </w:p>
          <w:p>
            <w:pPr>
              <w:numPr>
                <w:ilvl w:val="0"/>
                <w:numId w:val="62"/>
              </w:numPr>
            </w:pPr>
            <w:r>
              <w:t>Intégration des nouveaux boutons dans les pages de consultation et édition pour les application Position et Thésaurus</w:t>
            </w:r>
          </w:p>
          <w:p>
            <w:pPr>
              <w:numPr>
                <w:ilvl w:val="0"/>
                <w:numId w:val="62"/>
              </w:numPr>
            </w:pPr>
            <w:r>
              <w:t>Ajout d'une colonne TExport_Date</w:t>
            </w:r>
          </w:p>
          <w:p>
            <w:pPr>
              <w:numPr>
                <w:ilvl w:val="0"/>
                <w:numId w:val="62"/>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25460,00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tc>
          <w:tcPr>
            <w:tcW w:w="2310" w:type="dxa"/>
          </w:tcPr>
          <w:p>
            <w:pPr/>
          </w:p>
          <w:p>
            <w:pPr/>
            <w:r>
              <w:rPr>
                <w:lang w:val="fr-FR"/>
              </w:rPr>
              <w:t>eCollection</w:t>
            </w:r>
          </w:p>
        </w:tc>
        <w:tc>
          <w:tcPr>
            <w:tcW w:w="2310" w:type="dxa"/>
          </w:tcPr>
          <w:p>
            <w:pPr/>
          </w:p>
          <w:p>
            <w:pPr>
              <w:numPr>
                <w:ilvl w:val="0"/>
                <w:numId w:val="56"/>
              </w:numPr>
            </w:pPr>
            <w:r>
              <w:t>Amélioration de l'ergonomie des écrans de visualisation des données d'échantillon</w:t>
            </w:r>
          </w:p>
        </w:tc>
      </w:tr>
      <w:tr>
        <w:tc>
          <w:tcPr>
            <w:tcW w:w="2310" w:type="dxa"/>
          </w:tcPr>
          <w:p>
            <w:pPr/>
          </w:p>
          <w:p>
            <w:pPr/>
            <w:r>
              <w:rPr>
                <w:lang w:val="fr-FR"/>
              </w:rPr>
              <w:t>ecoRelevé-data</w:t>
            </w:r>
          </w:p>
        </w:tc>
        <w:tc>
          <w:tcPr>
            <w:tcW w:w="2310" w:type="dxa"/>
          </w:tcPr>
          <w:p>
            <w:pPr/>
          </w:p>
          <w:p>
            <w:pPr>
              <w:numPr>
                <w:ilvl w:val="0"/>
                <w:numId w:val="58"/>
              </w:numPr>
            </w:pPr>
            <w:r>
              <w:t>Etude des types de licences AGGrid : compatibilité opensource, accès à l’ensemble des fonctionnalités</w:t>
            </w:r>
          </w:p>
        </w:tc>
      </w:tr>
      <w:tr>
        <w:tc>
          <w:tcPr>
            <w:tcW w:w="2310" w:type="dxa"/>
          </w:tcPr>
          <w:p>
            <w:pPr/>
          </w:p>
          <w:p>
            <w:pPr/>
            <w:r>
              <w:rPr>
                <w:lang w:val="fr-FR"/>
              </w:rPr>
              <w:t>Reneco Apps</w:t>
            </w:r>
          </w:p>
        </w:tc>
        <w:tc>
          <w:tcPr>
            <w:tcW w:w="2310" w:type="dxa"/>
          </w:tcPr>
          <w:p>
            <w:pPr/>
          </w:p>
          <w:p>
            <w:pPr>
              <w:numPr>
                <w:ilvl w:val="0"/>
                <w:numId w:val="61"/>
              </w:numPr>
            </w:pPr>
            <w:r>
              <w:t>Optimisation de l'affichage des applications disponibles pour un site</w:t>
            </w:r>
          </w:p>
        </w:tc>
      </w:tr>
      <w:tr>
        <w:tc>
          <w:tcPr>
            <w:tcW w:w="2310" w:type="dxa"/>
          </w:tcPr>
          <w:p>
            <w:pPr/>
          </w:p>
          <w:p>
            <w:pPr/>
            <w:r>
              <w:rPr>
                <w:lang w:val="fr-FR"/>
              </w:rPr>
              <w:t>TRACK</w:t>
            </w:r>
          </w:p>
        </w:tc>
        <w:tc>
          <w:tcPr>
            <w:tcW w:w="2310" w:type="dxa"/>
          </w:tcPr>
          <w:p>
            <w:pPr/>
          </w:p>
          <w:p>
            <w:pPr>
              <w:numPr>
                <w:ilvl w:val="0"/>
                <w:numId w:val="63"/>
              </w:numPr>
            </w:pPr>
            <w:r>
              <w:t>Intégration du système de reconstruction d'un état à une date donnée pour la gestion des saisies et import, pour des protocoles avec importapressortie = 0</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4760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12200</w:t>
      </w:r>
      <w:r>
        <w:t>€</w:t>
      </w:r>
    </w:p>
    <w:p w:rsidR="00705FCD" w:rsidRDefault="00705FCD" w:rsidP="00705FCD">
      <w:pPr>
        <w:spacing w:line="280" w:lineRule="exact"/>
      </w:pPr>
      <w:r>
        <w:t xml:space="preserve">Montant total estimé : </w:t>
      </w:r>
      <w:proofErr w:type="spellStart"/>
      <w:proofErr w:type="spellEnd"/>
      <w:r>
        <w:t>16960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61725,00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 w:numId="60">
    <w:abstractNumId w:val="48"/>
    <w:lvlOverride w:ilvl="0">
      <w:startOverride w:val="1"/>
    </w:lvlOverride>
  </w:num>
  <w:num w:numId="61">
    <w:abstractNumId w:val="49"/>
    <w:lvlOverride w:ilvl="0">
      <w:startOverride w:val="1"/>
    </w:lvlOverride>
  </w:num>
  <w:num w:numId="62">
    <w:abstractNumId w:val="50"/>
    <w:lvlOverride w:ilvl="0">
      <w:startOverride w:val="1"/>
    </w:lvlOverride>
  </w:num>
  <w:num w:numId="63">
    <w:abstractNumId w:val="5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