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04/07/2018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04/07/2018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Recherche de matériel intégré pour la balance connectée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1540€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7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7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des écrans de visualisation des données d'échantillon (phase 1)</w:t>
            </w:r>
          </w:p>
          <w:p>
            <w:pPr>
              <w:numPr>
                <w:ilvl w:val="0"/>
                <w:numId w:val="47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7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47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robustesse du système d'import selon la configuration, les types d'objets et les types d'import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7755€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Corrections des maquettes suite aux retours pour la gestion des protocoles</w:t>
            </w:r>
          </w:p>
          <w:p>
            <w:pPr>
              <w:numPr>
                <w:ilvl w:val="0"/>
                <w:numId w:val="48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48"/>
              </w:numPr>
            </w:pPr>
            <w:r>
              <w:t>Mise en place d'un pré-filtrage des données pour la page individus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5470€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Corrections des maquettes de gestion des événements</w:t>
            </w:r>
          </w:p>
          <w:p>
            <w:pPr>
              <w:numPr>
                <w:ilvl w:val="0"/>
                <w:numId w:val="49"/>
              </w:numPr>
            </w:pPr>
            <w:r>
              <w:t>Traitement des retours DBSupport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1015€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Gestion du backlog et planification</w:t>
            </w:r>
          </w:p>
          <w:p>
            <w:pPr>
              <w:numPr>
                <w:ilvl w:val="0"/>
                <w:numId w:val="50"/>
              </w:numPr>
            </w:pPr>
            <w:r>
              <w:t>Choix de la stratégie de la validation des forms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5700€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Répercussion de la centralisation des référentiels [annulé]</w:t>
            </w:r>
          </w:p>
          <w:p>
            <w:pPr>
              <w:numPr>
                <w:ilvl w:val="0"/>
                <w:numId w:val="51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51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1230€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24470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50330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Devis_All_NS_Reneco_2018_8.docx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