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13/07/2018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13/07/2018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1540€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7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7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7755€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8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8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5470€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Corrections des maquettes de gestion des événements</w:t>
            </w:r>
          </w:p>
          <w:p>
            <w:pPr>
              <w:numPr>
                <w:ilvl w:val="0"/>
                <w:numId w:val="49"/>
              </w:numPr>
            </w:pPr>
            <w:r>
              <w:t>Traitement des retours DBSupport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1015€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50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5700€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Répercussion de la centralisation des référentiels [annulé]</w:t>
            </w:r>
          </w:p>
          <w:p>
            <w:pPr>
              <w:numPr>
                <w:ilvl w:val="0"/>
                <w:numId w:val="51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51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1230€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24470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50330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Devis_All_NS_Reneco_commande 6 - 30 juin 2018.docx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