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br/>
        <w:t>AGRISHIELD</w:t>
      </w:r>
    </w:p>
    <w:p>
      <w:pPr>
        <w:jc w:val="center"/>
      </w:pPr>
      <w:r>
        <w:rPr>
          <w:b/>
          <w:sz w:val="34"/>
        </w:rPr>
        <w:t>Technical, Economic, Operational &amp; Market Feasibility</w:t>
        <w:br/>
        <w:t>Innovation and Improvement Study</w:t>
      </w:r>
    </w:p>
    <w:p>
      <w:pPr>
        <w:jc w:val="center"/>
      </w:pPr>
      <w:r>
        <w:rPr>
          <w:i/>
        </w:rPr>
        <w:br/>
        <w:t>The Complete Super App for Smart, Climate-Resilient Agriculture</w:t>
      </w:r>
    </w:p>
    <w:p>
      <w:pPr>
        <w:jc w:val="center"/>
      </w:pPr>
      <w:r>
        <w:br/>
        <w:t>Prepared from the existing AgriShield project concept</w:t>
        <w:br/>
        <w:t>AgriTech Track</w:t>
      </w:r>
    </w:p>
    <w:p>
      <w:r>
        <w:br w:type="page"/>
      </w:r>
    </w:p>
    <w:p>
      <w:pPr>
        <w:pStyle w:val="Heading1"/>
      </w:pPr>
      <w:r>
        <w:t>Executive Summary</w:t>
      </w:r>
    </w:p>
    <w:p>
      <w:r>
        <w:t>AgriShield is proposed as a hybrid agricultural technology platform addressing problems across the farming season: crop disease before harvest, environmental and storage-related food loss after harvest, access to agricultural advice, weather uncertainty, market information and, in later phases, connections to buyers and cold-storage infrastructure. The existing project is deliberately structured around technologies and data sources that can realistically be accessed, while clearly identifying components that remain unbuilt or require further validation.</w:t>
      </w:r>
    </w:p>
    <w:p>
      <w:r>
        <w:t>The feasibility assessment finds that the strongest near-term opportunity is to develop AgriShield in phases rather than attempting to deliver every proposed capability at once. The technical foundation is feasible because the proposed stack uses a Flutter mobile application, a Python/FastAPI backend with PostgreSQL, TensorFlow for the plant-disease model, Sentinel-2/Google Earth Engine for satellite analysis, Open-Meteo for weather, and Africa's Talking for SMS, USSD and voice.</w:t>
      </w:r>
    </w:p>
    <w:p>
      <w:r>
        <w:t>Economically, the project is more feasible as a low-cost digital service supported by targeted hardware and partnerships than as an immediate large-scale infrastructure project. Operationally, offline-first design, simple farmer communication and human extension support are essential. Market feasibility is strongest where AgriShield can demonstrate measurable value: reducing post-harvest loss, improving early detection, increasing access to information and helping farmers make better selling and production decisions.</w:t>
      </w:r>
    </w:p>
    <w:p>
      <w:r>
        <w:t>The main innovation opportunity is not any single feature. It is the integration of multiple agricultural signals into one decision-support system that can move from monitoring to recommendations and eventually to predictive, personalised agricultural intelligence.</w:t>
      </w:r>
    </w:p>
    <w:p>
      <w:pPr>
        <w:pStyle w:val="Heading1"/>
      </w:pPr>
      <w:r>
        <w:t>1. Project Overview and Current Scope</w:t>
      </w:r>
    </w:p>
    <w:p>
      <w:r>
        <w:t>The source project describes AgriShield as a hybrid app combining three core parts: a solar-powered storage-monitoring sensor, an offline photo-based sick-plant checker, and satellite monitoring of a wider farming area. It further proposes weather, vegetable-market prices, planting advice, crop-waste-to-feed guidance, seasonal pest reminders, and a later market/hub-access layer.</w:t>
      </w:r>
    </w:p>
    <w:p>
      <w:r>
        <w:t>The existing plan also establishes a shared foundation: a farmer record, offline-first operation with later synchronisation, and a common communication channel through text, USSD or voice. This is important because it allows later modules to share data and infrastructure rather than becoming separate applications.</w:t>
      </w:r>
    </w:p>
    <w:p>
      <w:r>
        <w:t>Source basis: the existing project explicitly states that its foundation includes a farmer record, offline data handling and one farmer communication layer, while Parts 1–3 are the components intended for the live demonstration.</w:t>
      </w:r>
    </w:p>
    <w:p>
      <w:pPr>
        <w:pStyle w:val="Heading1"/>
      </w:pPr>
      <w:r>
        <w:t>2. Technical Feasibility</w:t>
      </w:r>
    </w:p>
    <w:p>
      <w:pPr>
        <w:pStyle w:val="Heading2"/>
      </w:pPr>
      <w:r>
        <w:t>2.1 Feasibility Assessment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Pr>
          <w:p>
            <w:r>
              <w:rPr>
                <w:b/>
              </w:rPr>
              <w:t>Component</w:t>
            </w:r>
          </w:p>
        </w:tc>
        <w:tc>
          <w:tcPr>
            <w:tcW w:type="dxa" w:w="2484"/>
            <w:shd w:fill="D9EAD3"/>
          </w:tcPr>
          <w:p>
            <w:r>
              <w:rPr>
                <w:b/>
              </w:rPr>
              <w:t>Proposed technology/data</w:t>
            </w:r>
          </w:p>
        </w:tc>
        <w:tc>
          <w:tcPr>
            <w:tcW w:type="dxa" w:w="2484"/>
            <w:shd w:fill="D9EAD3"/>
          </w:tcPr>
          <w:p>
            <w:r>
              <w:rPr>
                <w:b/>
              </w:rPr>
              <w:t>Feasibility</w:t>
            </w:r>
          </w:p>
        </w:tc>
        <w:tc>
          <w:tcPr>
            <w:tcW w:type="dxa" w:w="2484"/>
            <w:shd w:fill="D9EAD3"/>
          </w:tcPr>
          <w:p>
            <w:r>
              <w:rPr>
                <w:b/>
              </w:rPr>
              <w:t>Key consideration</w:t>
            </w:r>
          </w:p>
        </w:tc>
      </w:tr>
      <w:tr>
        <w:tc>
          <w:tcPr>
            <w:tcW w:type="dxa" w:w="2484"/>
            <w:vAlign w:val="center"/>
          </w:tcPr>
          <w:p>
            <w:r>
              <w:t>Mobile app</w:t>
            </w:r>
          </w:p>
        </w:tc>
        <w:tc>
          <w:tcPr>
            <w:tcW w:type="dxa" w:w="2484"/>
            <w:vAlign w:val="center"/>
          </w:tcPr>
          <w:p>
            <w:r>
              <w:t>Flutter</w:t>
            </w:r>
          </w:p>
        </w:tc>
        <w:tc>
          <w:tcPr>
            <w:tcW w:type="dxa" w:w="2484"/>
            <w:vAlign w:val="center"/>
          </w:tcPr>
          <w:p>
            <w:r>
              <w:t>High</w:t>
            </w:r>
          </w:p>
        </w:tc>
        <w:tc>
          <w:tcPr>
            <w:tcW w:type="dxa" w:w="2484"/>
            <w:vAlign w:val="center"/>
          </w:tcPr>
          <w:p>
            <w:r>
              <w:t>Single Android-focused codebase; offline-first architecture should be prioritised.</w:t>
            </w:r>
          </w:p>
        </w:tc>
      </w:tr>
      <w:tr>
        <w:tc>
          <w:tcPr>
            <w:tcW w:type="dxa" w:w="2484"/>
            <w:vAlign w:val="center"/>
          </w:tcPr>
          <w:p>
            <w:r>
              <w:t>Backend</w:t>
            </w:r>
          </w:p>
        </w:tc>
        <w:tc>
          <w:tcPr>
            <w:tcW w:type="dxa" w:w="2484"/>
            <w:vAlign w:val="center"/>
          </w:tcPr>
          <w:p>
            <w:r>
              <w:t>Python/FastAPI + PostgreSQL</w:t>
            </w:r>
          </w:p>
        </w:tc>
        <w:tc>
          <w:tcPr>
            <w:tcW w:type="dxa" w:w="2484"/>
            <w:vAlign w:val="center"/>
          </w:tcPr>
          <w:p>
            <w:r>
              <w:t>High</w:t>
            </w:r>
          </w:p>
        </w:tc>
        <w:tc>
          <w:tcPr>
            <w:tcW w:type="dxa" w:w="2484"/>
            <w:vAlign w:val="center"/>
          </w:tcPr>
          <w:p>
            <w:r>
              <w:t>Suitable for APIs, synchronisation, farmer records and analytics.</w:t>
            </w:r>
          </w:p>
        </w:tc>
      </w:tr>
      <w:tr>
        <w:tc>
          <w:tcPr>
            <w:tcW w:type="dxa" w:w="2484"/>
            <w:vAlign w:val="center"/>
          </w:tcPr>
          <w:p>
            <w:r>
              <w:t>Storage monitoring</w:t>
            </w:r>
          </w:p>
        </w:tc>
        <w:tc>
          <w:tcPr>
            <w:tcW w:type="dxa" w:w="2484"/>
            <w:vAlign w:val="center"/>
          </w:tcPr>
          <w:p>
            <w:r>
              <w:t>Temperature/humidity sensors + solar power</w:t>
            </w:r>
          </w:p>
        </w:tc>
        <w:tc>
          <w:tcPr>
            <w:tcW w:type="dxa" w:w="2484"/>
            <w:vAlign w:val="center"/>
          </w:tcPr>
          <w:p>
            <w:r>
              <w:t>High</w:t>
            </w:r>
          </w:p>
        </w:tc>
        <w:tc>
          <w:tcPr>
            <w:tcW w:type="dxa" w:w="2484"/>
            <w:vAlign w:val="center"/>
          </w:tcPr>
          <w:p>
            <w:r>
              <w:t>Hardware reliability, calibration and enclosure design must be tested.</w:t>
            </w:r>
          </w:p>
        </w:tc>
      </w:tr>
      <w:tr>
        <w:tc>
          <w:tcPr>
            <w:tcW w:type="dxa" w:w="2484"/>
            <w:vAlign w:val="center"/>
          </w:tcPr>
          <w:p>
            <w:r>
              <w:t>Plant disease detection</w:t>
            </w:r>
          </w:p>
        </w:tc>
        <w:tc>
          <w:tcPr>
            <w:tcW w:type="dxa" w:w="2484"/>
            <w:vAlign w:val="center"/>
          </w:tcPr>
          <w:p>
            <w:r>
              <w:t>TensorFlow + PlantVillage-derived model</w:t>
            </w:r>
          </w:p>
        </w:tc>
        <w:tc>
          <w:tcPr>
            <w:tcW w:type="dxa" w:w="2484"/>
            <w:vAlign w:val="center"/>
          </w:tcPr>
          <w:p>
            <w:r>
              <w:t>Medium–High</w:t>
            </w:r>
          </w:p>
        </w:tc>
        <w:tc>
          <w:tcPr>
            <w:tcW w:type="dxa" w:w="2484"/>
            <w:vAlign w:val="center"/>
          </w:tcPr>
          <w:p>
            <w:r>
              <w:t>Field images may reduce accuracy; local validation is required.</w:t>
            </w:r>
          </w:p>
        </w:tc>
      </w:tr>
      <w:tr>
        <w:tc>
          <w:tcPr>
            <w:tcW w:type="dxa" w:w="2484"/>
            <w:vAlign w:val="center"/>
          </w:tcPr>
          <w:p>
            <w:r>
              <w:t>Satellite monitoring</w:t>
            </w:r>
          </w:p>
        </w:tc>
        <w:tc>
          <w:tcPr>
            <w:tcW w:type="dxa" w:w="2484"/>
            <w:vAlign w:val="center"/>
          </w:tcPr>
          <w:p>
            <w:r>
              <w:t>Sentinel-2 + Google Earth Engine</w:t>
            </w:r>
          </w:p>
        </w:tc>
        <w:tc>
          <w:tcPr>
            <w:tcW w:type="dxa" w:w="2484"/>
            <w:vAlign w:val="center"/>
          </w:tcPr>
          <w:p>
            <w:r>
              <w:t>Medium–High</w:t>
            </w:r>
          </w:p>
        </w:tc>
        <w:tc>
          <w:tcPr>
            <w:tcW w:type="dxa" w:w="2484"/>
            <w:vAlign w:val="center"/>
          </w:tcPr>
          <w:p>
            <w:r>
              <w:t>Cloud cover and revisit limitations affect timeliness.</w:t>
            </w:r>
          </w:p>
        </w:tc>
      </w:tr>
      <w:tr>
        <w:tc>
          <w:tcPr>
            <w:tcW w:type="dxa" w:w="2484"/>
            <w:vAlign w:val="center"/>
          </w:tcPr>
          <w:p>
            <w:r>
              <w:t>Weather</w:t>
            </w:r>
          </w:p>
        </w:tc>
        <w:tc>
          <w:tcPr>
            <w:tcW w:type="dxa" w:w="2484"/>
            <w:vAlign w:val="center"/>
          </w:tcPr>
          <w:p>
            <w:r>
              <w:t>Open-Meteo</w:t>
            </w:r>
          </w:p>
        </w:tc>
        <w:tc>
          <w:tcPr>
            <w:tcW w:type="dxa" w:w="2484"/>
            <w:vAlign w:val="center"/>
          </w:tcPr>
          <w:p>
            <w:r>
              <w:t>High</w:t>
            </w:r>
          </w:p>
        </w:tc>
        <w:tc>
          <w:tcPr>
            <w:tcW w:type="dxa" w:w="2484"/>
            <w:vAlign w:val="center"/>
          </w:tcPr>
          <w:p>
            <w:r>
              <w:t>External service dependency and terms should be monitored.</w:t>
            </w:r>
          </w:p>
        </w:tc>
      </w:tr>
      <w:tr>
        <w:tc>
          <w:tcPr>
            <w:tcW w:type="dxa" w:w="2484"/>
            <w:vAlign w:val="center"/>
          </w:tcPr>
          <w:p>
            <w:r>
              <w:t>Market prices</w:t>
            </w:r>
          </w:p>
        </w:tc>
        <w:tc>
          <w:tcPr>
            <w:tcW w:type="dxa" w:w="2484"/>
            <w:vAlign w:val="center"/>
          </w:tcPr>
          <w:p>
            <w:r>
              <w:t>Agricultural Marketing Authority public prices</w:t>
            </w:r>
          </w:p>
        </w:tc>
        <w:tc>
          <w:tcPr>
            <w:tcW w:type="dxa" w:w="2484"/>
            <w:vAlign w:val="center"/>
          </w:tcPr>
          <w:p>
            <w:r>
              <w:t>Medium</w:t>
            </w:r>
          </w:p>
        </w:tc>
        <w:tc>
          <w:tcPr>
            <w:tcW w:type="dxa" w:w="2484"/>
            <w:vAlign w:val="center"/>
          </w:tcPr>
          <w:p>
            <w:r>
              <w:t>Current documented coverage is partial, especially for crop categories.</w:t>
            </w:r>
          </w:p>
        </w:tc>
      </w:tr>
      <w:tr>
        <w:tc>
          <w:tcPr>
            <w:tcW w:type="dxa" w:w="2484"/>
            <w:vAlign w:val="center"/>
          </w:tcPr>
          <w:p>
            <w:r>
              <w:t>Farmer communication</w:t>
            </w:r>
          </w:p>
        </w:tc>
        <w:tc>
          <w:tcPr>
            <w:tcW w:type="dxa" w:w="2484"/>
            <w:vAlign w:val="center"/>
          </w:tcPr>
          <w:p>
            <w:r>
              <w:t>Africa's Talking SMS/USSD/voice</w:t>
            </w:r>
          </w:p>
        </w:tc>
        <w:tc>
          <w:tcPr>
            <w:tcW w:type="dxa" w:w="2484"/>
            <w:vAlign w:val="center"/>
          </w:tcPr>
          <w:p>
            <w:r>
              <w:t>High</w:t>
            </w:r>
          </w:p>
        </w:tc>
        <w:tc>
          <w:tcPr>
            <w:tcW w:type="dxa" w:w="2484"/>
            <w:vAlign w:val="center"/>
          </w:tcPr>
          <w:p>
            <w:r>
              <w:t>Network availability and message/usage costs need budgeting.</w:t>
            </w:r>
          </w:p>
        </w:tc>
      </w:tr>
      <w:tr>
        <w:tc>
          <w:tcPr>
            <w:tcW w:type="dxa" w:w="2484"/>
            <w:vAlign w:val="center"/>
          </w:tcPr>
          <w:p>
            <w:r>
              <w:t>AI assistant</w:t>
            </w:r>
          </w:p>
        </w:tc>
        <w:tc>
          <w:tcPr>
            <w:tcW w:type="dxa" w:w="2484"/>
            <w:vAlign w:val="center"/>
          </w:tcPr>
          <w:p>
            <w:r>
              <w:t>Future integrated AI layer</w:t>
            </w:r>
          </w:p>
        </w:tc>
        <w:tc>
          <w:tcPr>
            <w:tcW w:type="dxa" w:w="2484"/>
            <w:vAlign w:val="center"/>
          </w:tcPr>
          <w:p>
            <w:r>
              <w:t>Medium</w:t>
            </w:r>
          </w:p>
        </w:tc>
        <w:tc>
          <w:tcPr>
            <w:tcW w:type="dxa" w:w="2484"/>
            <w:vAlign w:val="center"/>
          </w:tcPr>
          <w:p>
            <w:r>
              <w:t>Requires curated agricultural knowledge, guardrails and evaluation.</w:t>
            </w:r>
          </w:p>
        </w:tc>
      </w:tr>
    </w:tbl>
    <w:p>
      <w:pPr>
        <w:pStyle w:val="Heading2"/>
      </w:pPr>
      <w:r>
        <w:t>2.2 Technical Strengths</w:t>
      </w:r>
    </w:p>
    <w:p>
      <w:pPr>
        <w:pStyle w:val="ListBullet"/>
      </w:pPr>
      <w:r>
        <w:t>Offline-first operation directly addresses unreliable connectivity and allows important functions to remain available without continuous internet.</w:t>
      </w:r>
    </w:p>
    <w:p>
      <w:pPr>
        <w:pStyle w:val="ListBullet"/>
      </w:pPr>
      <w:r>
        <w:t>The architecture avoids forcing every feature onto the server: disease detection can run on-device, while shared data and external feeds can remain centralised.</w:t>
      </w:r>
    </w:p>
    <w:p>
      <w:pPr>
        <w:pStyle w:val="ListBullet"/>
      </w:pPr>
      <w:r>
        <w:t>The sensor, mobile, satellite and communication layers can share a common farmer/field record.</w:t>
      </w:r>
    </w:p>
    <w:p>
      <w:pPr>
        <w:pStyle w:val="ListBullet"/>
      </w:pPr>
      <w:r>
        <w:t>The project uses a mix of established technologies rather than depending on a single experimental technology.</w:t>
      </w:r>
    </w:p>
    <w:p>
      <w:pPr>
        <w:pStyle w:val="ListBullet"/>
      </w:pPr>
      <w:r>
        <w:t>The design is modular, allowing individual APIs or models to be replaced without rebuilding the entire system.</w:t>
      </w:r>
    </w:p>
    <w:p>
      <w:pPr>
        <w:pStyle w:val="Heading2"/>
      </w:pPr>
      <w:r>
        <w:t>2.3 Technical Weaknesses and Risks</w:t>
      </w:r>
    </w:p>
    <w:p>
      <w:pPr>
        <w:pStyle w:val="ListBullet"/>
      </w:pPr>
      <w:r>
        <w:t>Plant disease detection trained mainly on controlled images may perform differently in real farms. The project itself recognises this limitation and proposes testing with real local images.</w:t>
      </w:r>
    </w:p>
    <w:p>
      <w:pPr>
        <w:pStyle w:val="ListBullet"/>
      </w:pPr>
      <w:r>
        <w:t>Satellite observations are not an instant camera feed and can be affected by clouds and revisit intervals.</w:t>
      </w:r>
    </w:p>
    <w:p>
      <w:pPr>
        <w:pStyle w:val="ListBullet"/>
      </w:pPr>
      <w:r>
        <w:t>Free third-party APIs create dependency risk if limits, availability or commercial terms change.</w:t>
      </w:r>
    </w:p>
    <w:p>
      <w:pPr>
        <w:pStyle w:val="ListBullet"/>
      </w:pPr>
      <w:r>
        <w:t>Physical sensors introduce failure modes such as flat batteries, loose connections, calibration drift and environmental damage.</w:t>
      </w:r>
    </w:p>
    <w:p>
      <w:pPr>
        <w:pStyle w:val="ListBullet"/>
      </w:pPr>
      <w:r>
        <w:t>The system will become technically complex if all modules are developed simultaneously.</w:t>
      </w:r>
    </w:p>
    <w:p>
      <w:pPr>
        <w:pStyle w:val="Heading2"/>
      </w:pPr>
      <w:r>
        <w:t>2.4 Technical Recommendation</w:t>
      </w:r>
    </w:p>
    <w:p>
      <w:r>
        <w:t>Build a small, modular core first: farmer/field identity, offline synchronisation, authentication, notifications and data storage. Then add storage monitoring, plant diagnosis and satellite monitoring. Weather and market feeds should be thin integration layers. AI prediction and the wider market ecosystem should follow only after sufficient real-world data has been collected.</w:t>
      </w:r>
    </w:p>
    <w:p>
      <w:pPr>
        <w:pStyle w:val="Heading1"/>
      </w:pPr>
      <w:r>
        <w:t>3. Economic and Financial Feasibility</w:t>
      </w:r>
    </w:p>
    <w:p>
      <w:pPr>
        <w:pStyle w:val="Heading2"/>
      </w:pPr>
      <w:r>
        <w:t>3.1 Economic Rationale</w:t>
      </w:r>
    </w:p>
    <w:p>
      <w:r>
        <w:t>The economic case for AgriShield comes from preventing losses and improving decisions rather than simply selling an app. The project identifies food loss in storage, crop disease, climate uncertainty and weak market access as linked problems. Its approach is to use relatively inexpensive monitoring and information services before committing to expensive physical infrastructure.</w:t>
      </w:r>
    </w:p>
    <w:p>
      <w:r>
        <w:t>A particularly important economic principle in the existing project is evidence-before-infrastructure: instead of immediately building a large cold room, AgriShield can use storage data to establish actual demand and operating conditions first. The source document estimates a real solar cold room at roughly US$30,000, making data-driven justification valuable.</w:t>
      </w:r>
    </w:p>
    <w:p>
      <w:pPr>
        <w:pStyle w:val="Heading2"/>
      </w:pPr>
      <w:r>
        <w:t>3.2 Main Cost Categories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Pr>
          <w:p>
            <w:r>
              <w:rPr>
                <w:b/>
              </w:rPr>
              <w:t>Cost area</w:t>
            </w:r>
          </w:p>
        </w:tc>
        <w:tc>
          <w:tcPr>
            <w:tcW w:type="dxa" w:w="3312"/>
            <w:shd w:fill="D9EAD3"/>
          </w:tcPr>
          <w:p>
            <w:r>
              <w:rPr>
                <w:b/>
              </w:rPr>
              <w:t>Examples</w:t>
            </w:r>
          </w:p>
        </w:tc>
        <w:tc>
          <w:tcPr>
            <w:tcW w:type="dxa" w:w="3312"/>
            <w:shd w:fill="D9EAD3"/>
          </w:tcPr>
          <w:p>
            <w:r>
              <w:rPr>
                <w:b/>
              </w:rPr>
              <w:t>Cost-control approach</w:t>
            </w:r>
          </w:p>
        </w:tc>
      </w:tr>
      <w:tr>
        <w:tc>
          <w:tcPr>
            <w:tcW w:type="dxa" w:w="3312"/>
            <w:vAlign w:val="center"/>
          </w:tcPr>
          <w:p>
            <w:r>
              <w:t>Software development</w:t>
            </w:r>
          </w:p>
        </w:tc>
        <w:tc>
          <w:tcPr>
            <w:tcW w:type="dxa" w:w="3312"/>
            <w:vAlign w:val="center"/>
          </w:tcPr>
          <w:p>
            <w:r>
              <w:t>Mobile app, backend, database, AI/ML</w:t>
            </w:r>
          </w:p>
        </w:tc>
        <w:tc>
          <w:tcPr>
            <w:tcW w:type="dxa" w:w="3312"/>
            <w:vAlign w:val="center"/>
          </w:tcPr>
          <w:p>
            <w:r>
              <w:t>Build a focused MVP and reuse shared services.</w:t>
            </w:r>
          </w:p>
        </w:tc>
      </w:tr>
      <w:tr>
        <w:tc>
          <w:tcPr>
            <w:tcW w:type="dxa" w:w="3312"/>
            <w:vAlign w:val="center"/>
          </w:tcPr>
          <w:p>
            <w:r>
              <w:t>IoT hardware</w:t>
            </w:r>
          </w:p>
        </w:tc>
        <w:tc>
          <w:tcPr>
            <w:tcW w:type="dxa" w:w="3312"/>
            <w:vAlign w:val="center"/>
          </w:tcPr>
          <w:p>
            <w:r>
              <w:t>Sensors, microcontroller, solar power, enclosure</w:t>
            </w:r>
          </w:p>
        </w:tc>
        <w:tc>
          <w:tcPr>
            <w:tcW w:type="dxa" w:w="3312"/>
            <w:vAlign w:val="center"/>
          </w:tcPr>
          <w:p>
            <w:r>
              <w:t>Prototype with low-cost components; standardise hardware.</w:t>
            </w:r>
          </w:p>
        </w:tc>
      </w:tr>
      <w:tr>
        <w:tc>
          <w:tcPr>
            <w:tcW w:type="dxa" w:w="3312"/>
            <w:vAlign w:val="center"/>
          </w:tcPr>
          <w:p>
            <w:r>
              <w:t>Connectivity</w:t>
            </w:r>
          </w:p>
        </w:tc>
        <w:tc>
          <w:tcPr>
            <w:tcW w:type="dxa" w:w="3312"/>
            <w:vAlign w:val="center"/>
          </w:tcPr>
          <w:p>
            <w:r>
              <w:t>SMS, USSD, voice and internet</w:t>
            </w:r>
          </w:p>
        </w:tc>
        <w:tc>
          <w:tcPr>
            <w:tcW w:type="dxa" w:w="3312"/>
            <w:vAlign w:val="center"/>
          </w:tcPr>
          <w:p>
            <w:r>
              <w:t>Use alerts selectively; prioritise USSD/offline workflows.</w:t>
            </w:r>
          </w:p>
        </w:tc>
      </w:tr>
      <w:tr>
        <w:tc>
          <w:tcPr>
            <w:tcW w:type="dxa" w:w="3312"/>
            <w:vAlign w:val="center"/>
          </w:tcPr>
          <w:p>
            <w:r>
              <w:t>Cloud/server</w:t>
            </w:r>
          </w:p>
        </w:tc>
        <w:tc>
          <w:tcPr>
            <w:tcW w:type="dxa" w:w="3312"/>
            <w:vAlign w:val="center"/>
          </w:tcPr>
          <w:p>
            <w:r>
              <w:t>API, database, scheduled satellite processing</w:t>
            </w:r>
          </w:p>
        </w:tc>
        <w:tc>
          <w:tcPr>
            <w:tcW w:type="dxa" w:w="3312"/>
            <w:vAlign w:val="center"/>
          </w:tcPr>
          <w:p>
            <w:r>
              <w:t>Use scalable infrastructure and keep heavy processing scheduled.</w:t>
            </w:r>
          </w:p>
        </w:tc>
      </w:tr>
      <w:tr>
        <w:tc>
          <w:tcPr>
            <w:tcW w:type="dxa" w:w="3312"/>
            <w:vAlign w:val="center"/>
          </w:tcPr>
          <w:p>
            <w:r>
              <w:t>Data/AI development</w:t>
            </w:r>
          </w:p>
        </w:tc>
        <w:tc>
          <w:tcPr>
            <w:tcW w:type="dxa" w:w="3312"/>
            <w:vAlign w:val="center"/>
          </w:tcPr>
          <w:p>
            <w:r>
              <w:t>Local image collection, labelling, testing</w:t>
            </w:r>
          </w:p>
        </w:tc>
        <w:tc>
          <w:tcPr>
            <w:tcW w:type="dxa" w:w="3312"/>
            <w:vAlign w:val="center"/>
          </w:tcPr>
          <w:p>
            <w:r>
              <w:t>Partner with agricultural institutions and extension officers.</w:t>
            </w:r>
          </w:p>
        </w:tc>
      </w:tr>
      <w:tr>
        <w:tc>
          <w:tcPr>
            <w:tcW w:type="dxa" w:w="3312"/>
            <w:vAlign w:val="center"/>
          </w:tcPr>
          <w:p>
            <w:r>
              <w:t>Support/training</w:t>
            </w:r>
          </w:p>
        </w:tc>
        <w:tc>
          <w:tcPr>
            <w:tcW w:type="dxa" w:w="3312"/>
            <w:vAlign w:val="center"/>
          </w:tcPr>
          <w:p>
            <w:r>
              <w:t>Farmer onboarding and field support</w:t>
            </w:r>
          </w:p>
        </w:tc>
        <w:tc>
          <w:tcPr>
            <w:tcW w:type="dxa" w:w="3312"/>
            <w:vAlign w:val="center"/>
          </w:tcPr>
          <w:p>
            <w:r>
              <w:t>Train lead farmers/extension agents as local champions.</w:t>
            </w:r>
          </w:p>
        </w:tc>
      </w:tr>
      <w:tr>
        <w:tc>
          <w:tcPr>
            <w:tcW w:type="dxa" w:w="3312"/>
            <w:vAlign w:val="center"/>
          </w:tcPr>
          <w:p>
            <w:r>
              <w:t>Infrastructure</w:t>
            </w:r>
          </w:p>
        </w:tc>
        <w:tc>
          <w:tcPr>
            <w:tcW w:type="dxa" w:w="3312"/>
            <w:vAlign w:val="center"/>
          </w:tcPr>
          <w:p>
            <w:r>
              <w:t>Future cold rooms/collection points</w:t>
            </w:r>
          </w:p>
        </w:tc>
        <w:tc>
          <w:tcPr>
            <w:tcW w:type="dxa" w:w="3312"/>
            <w:vAlign w:val="center"/>
          </w:tcPr>
          <w:p>
            <w:r>
              <w:t>Only invest after sensor evidence demonstrates demand.</w:t>
            </w:r>
          </w:p>
        </w:tc>
      </w:tr>
    </w:tbl>
    <w:p>
      <w:pPr>
        <w:pStyle w:val="Heading2"/>
      </w:pPr>
      <w:r>
        <w:t>3.3 Potential Revenue and Sustainability Models</w:t>
      </w:r>
    </w:p>
    <w:p>
      <w:pPr>
        <w:pStyle w:val="ListBullet"/>
      </w:pPr>
      <w:r>
        <w:t>Freemium farmer model: essential alerts remain accessible while advanced analytics or services are paid.</w:t>
      </w:r>
    </w:p>
    <w:p>
      <w:pPr>
        <w:pStyle w:val="ListBullet"/>
      </w:pPr>
      <w:r>
        <w:t>Institutional subscriptions for cooperatives, agricultural organisations, NGOs, processors and collection centres.</w:t>
      </w:r>
    </w:p>
    <w:p>
      <w:pPr>
        <w:pStyle w:val="ListBullet"/>
      </w:pPr>
      <w:r>
        <w:t>Hardware-as-a-service: deploy monitoring devices through a monthly or seasonal service rather than requiring a large upfront payment.</w:t>
      </w:r>
    </w:p>
    <w:p>
      <w:pPr>
        <w:pStyle w:val="ListBullet"/>
      </w:pPr>
      <w:r>
        <w:t>Enterprise dashboards for organisations managing multiple farms, storage sites or farmer groups.</w:t>
      </w:r>
    </w:p>
    <w:p>
      <w:pPr>
        <w:pStyle w:val="ListBullet"/>
      </w:pPr>
      <w:r>
        <w:t>Partnership-funded deployments through development programmes, agricultural projects and climate-resilience initiatives.</w:t>
      </w:r>
    </w:p>
    <w:p>
      <w:pPr>
        <w:pStyle w:val="ListBullet"/>
      </w:pPr>
      <w:r>
        <w:t>Transaction or service fees for future verified market connections, subject to suitable partnerships and regulatory considerations.</w:t>
      </w:r>
    </w:p>
    <w:p>
      <w:pPr>
        <w:pStyle w:val="Heading2"/>
      </w:pPr>
      <w:r>
        <w:t>3.4 Financial Feasibility Recommendation</w:t>
      </w:r>
    </w:p>
    <w:p>
      <w:r>
        <w:t>A full financial model should be completed after obtaining actual hardware, hosting, connectivity and field-support quotations. At this stage, the most defensible approach is a phased investment model: fund the MVP, measure real farmer outcomes, validate willingness to pay, and use those results to determine the scale of later infrastructure.</w:t>
      </w:r>
    </w:p>
    <w:p>
      <w:pPr>
        <w:pStyle w:val="Heading1"/>
      </w:pPr>
      <w:r>
        <w:t>4. Operational Feasibility</w:t>
      </w:r>
    </w:p>
    <w:p>
      <w:pPr>
        <w:pStyle w:val="Heading2"/>
      </w:pPr>
      <w:r>
        <w:t>4.1 Users and Stakeholders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Pr>
          <w:p>
            <w:r>
              <w:rPr>
                <w:b/>
              </w:rPr>
              <w:t>Stakeholder</w:t>
            </w:r>
          </w:p>
        </w:tc>
        <w:tc>
          <w:tcPr>
            <w:tcW w:type="dxa" w:w="3312"/>
            <w:shd w:fill="D9EAD3"/>
          </w:tcPr>
          <w:p>
            <w:r>
              <w:rPr>
                <w:b/>
              </w:rPr>
              <w:t>Role in AgriShield</w:t>
            </w:r>
          </w:p>
        </w:tc>
        <w:tc>
          <w:tcPr>
            <w:tcW w:type="dxa" w:w="3312"/>
            <w:shd w:fill="D9EAD3"/>
          </w:tcPr>
          <w:p>
            <w:r>
              <w:rPr>
                <w:b/>
              </w:rPr>
              <w:t>Value received</w:t>
            </w:r>
          </w:p>
        </w:tc>
      </w:tr>
      <w:tr>
        <w:tc>
          <w:tcPr>
            <w:tcW w:type="dxa" w:w="3312"/>
            <w:vAlign w:val="center"/>
          </w:tcPr>
          <w:p>
            <w:r>
              <w:t>Smallholder farmer</w:t>
            </w:r>
          </w:p>
        </w:tc>
        <w:tc>
          <w:tcPr>
            <w:tcW w:type="dxa" w:w="3312"/>
            <w:vAlign w:val="center"/>
          </w:tcPr>
          <w:p>
            <w:r>
              <w:t>Primary user and data source</w:t>
            </w:r>
          </w:p>
        </w:tc>
        <w:tc>
          <w:tcPr>
            <w:tcW w:type="dxa" w:w="3312"/>
            <w:vAlign w:val="center"/>
          </w:tcPr>
          <w:p>
            <w:r>
              <w:t>Warnings, diagnosis, weather, prices and recommendations.</w:t>
            </w:r>
          </w:p>
        </w:tc>
      </w:tr>
      <w:tr>
        <w:tc>
          <w:tcPr>
            <w:tcW w:type="dxa" w:w="3312"/>
            <w:vAlign w:val="center"/>
          </w:tcPr>
          <w:p>
            <w:r>
              <w:t>Extension officer</w:t>
            </w:r>
          </w:p>
        </w:tc>
        <w:tc>
          <w:tcPr>
            <w:tcW w:type="dxa" w:w="3312"/>
            <w:vAlign w:val="center"/>
          </w:tcPr>
          <w:p>
            <w:r>
              <w:t>Human validation and escalation</w:t>
            </w:r>
          </w:p>
        </w:tc>
        <w:tc>
          <w:tcPr>
            <w:tcW w:type="dxa" w:w="3312"/>
            <w:vAlign w:val="center"/>
          </w:tcPr>
          <w:p>
            <w:r>
              <w:t>Structured cases and better visibility of farmer problems.</w:t>
            </w:r>
          </w:p>
        </w:tc>
      </w:tr>
      <w:tr>
        <w:tc>
          <w:tcPr>
            <w:tcW w:type="dxa" w:w="3312"/>
            <w:vAlign w:val="center"/>
          </w:tcPr>
          <w:p>
            <w:r>
              <w:t>Cooperative/collection centre</w:t>
            </w:r>
          </w:p>
        </w:tc>
        <w:tc>
          <w:tcPr>
            <w:tcW w:type="dxa" w:w="3312"/>
            <w:vAlign w:val="center"/>
          </w:tcPr>
          <w:p>
            <w:r>
              <w:t>Storage and aggregation point</w:t>
            </w:r>
          </w:p>
        </w:tc>
        <w:tc>
          <w:tcPr>
            <w:tcW w:type="dxa" w:w="3312"/>
            <w:vAlign w:val="center"/>
          </w:tcPr>
          <w:p>
            <w:r>
              <w:t>Storage monitoring, surplus visibility and market coordination.</w:t>
            </w:r>
          </w:p>
        </w:tc>
      </w:tr>
      <w:tr>
        <w:tc>
          <w:tcPr>
            <w:tcW w:type="dxa" w:w="3312"/>
            <w:vAlign w:val="center"/>
          </w:tcPr>
          <w:p>
            <w:r>
              <w:t>Buyer/processor</w:t>
            </w:r>
          </w:p>
        </w:tc>
        <w:tc>
          <w:tcPr>
            <w:tcW w:type="dxa" w:w="3312"/>
            <w:vAlign w:val="center"/>
          </w:tcPr>
          <w:p>
            <w:r>
              <w:t>Future market participant</w:t>
            </w:r>
          </w:p>
        </w:tc>
        <w:tc>
          <w:tcPr>
            <w:tcW w:type="dxa" w:w="3312"/>
            <w:vAlign w:val="center"/>
          </w:tcPr>
          <w:p>
            <w:r>
              <w:t>Potential visibility of verified supply and quality.</w:t>
            </w:r>
          </w:p>
        </w:tc>
      </w:tr>
      <w:tr>
        <w:tc>
          <w:tcPr>
            <w:tcW w:type="dxa" w:w="3312"/>
            <w:vAlign w:val="center"/>
          </w:tcPr>
          <w:p>
            <w:r>
              <w:t>Agricultural institutions</w:t>
            </w:r>
          </w:p>
        </w:tc>
        <w:tc>
          <w:tcPr>
            <w:tcW w:type="dxa" w:w="3312"/>
            <w:vAlign w:val="center"/>
          </w:tcPr>
          <w:p>
            <w:r>
              <w:t>Knowledge/data partners</w:t>
            </w:r>
          </w:p>
        </w:tc>
        <w:tc>
          <w:tcPr>
            <w:tcW w:type="dxa" w:w="3312"/>
            <w:vAlign w:val="center"/>
          </w:tcPr>
          <w:p>
            <w:r>
              <w:t>Research, validation and impact evidence.</w:t>
            </w:r>
          </w:p>
        </w:tc>
      </w:tr>
      <w:tr>
        <w:tc>
          <w:tcPr>
            <w:tcW w:type="dxa" w:w="3312"/>
            <w:vAlign w:val="center"/>
          </w:tcPr>
          <w:p>
            <w:r>
              <w:t>Project administrators</w:t>
            </w:r>
          </w:p>
        </w:tc>
        <w:tc>
          <w:tcPr>
            <w:tcW w:type="dxa" w:w="3312"/>
            <w:vAlign w:val="center"/>
          </w:tcPr>
          <w:p>
            <w:r>
              <w:t>Platform management</w:t>
            </w:r>
          </w:p>
        </w:tc>
        <w:tc>
          <w:tcPr>
            <w:tcW w:type="dxa" w:w="3312"/>
            <w:vAlign w:val="center"/>
          </w:tcPr>
          <w:p>
            <w:r>
              <w:t>Monitoring, reporting, users and system performance.</w:t>
            </w:r>
          </w:p>
        </w:tc>
      </w:tr>
    </w:tbl>
    <w:p>
      <w:pPr>
        <w:pStyle w:val="Heading2"/>
      </w:pPr>
      <w:r>
        <w:t>4.2 Operational Strengths</w:t>
      </w:r>
    </w:p>
    <w:p>
      <w:pPr>
        <w:pStyle w:val="ListBullet"/>
      </w:pPr>
      <w:r>
        <w:t>Farmers can receive information through channels that do not require a smartphone for every interaction.</w:t>
      </w:r>
    </w:p>
    <w:p>
      <w:pPr>
        <w:pStyle w:val="ListBullet"/>
      </w:pPr>
      <w:r>
        <w:t>The offline-first design reduces dependence on continuous internet connectivity.</w:t>
      </w:r>
    </w:p>
    <w:p>
      <w:pPr>
        <w:pStyle w:val="ListBullet"/>
      </w:pPr>
      <w:r>
        <w:t>A shared data foundation avoids maintaining separate records for each module.</w:t>
      </w:r>
    </w:p>
    <w:p>
      <w:pPr>
        <w:pStyle w:val="ListBullet"/>
      </w:pPr>
      <w:r>
        <w:t>The phased roadmap prevents unproven infrastructure from becoming an operational burden too early.</w:t>
      </w:r>
    </w:p>
    <w:p>
      <w:pPr>
        <w:pStyle w:val="Heading2"/>
      </w:pPr>
      <w:r>
        <w:t>4.3 Operational Challenges</w:t>
      </w:r>
    </w:p>
    <w:p>
      <w:pPr>
        <w:pStyle w:val="ListBullet"/>
      </w:pPr>
      <w:r>
        <w:t>Farmer adoption depends on simplicity, trust and visible benefits.</w:t>
      </w:r>
    </w:p>
    <w:p>
      <w:pPr>
        <w:pStyle w:val="ListBullet"/>
      </w:pPr>
      <w:r>
        <w:t>Sensor installation and maintenance require clear field procedures.</w:t>
      </w:r>
    </w:p>
    <w:p>
      <w:pPr>
        <w:pStyle w:val="ListBullet"/>
      </w:pPr>
      <w:r>
        <w:t>AI recommendations need escalation procedures for uncertain or high-risk cases.</w:t>
      </w:r>
    </w:p>
    <w:p>
      <w:pPr>
        <w:pStyle w:val="ListBullet"/>
      </w:pPr>
      <w:r>
        <w:t>Training, support and device replacement must be included in the operating model.</w:t>
      </w:r>
    </w:p>
    <w:p>
      <w:pPr>
        <w:pStyle w:val="ListBullet"/>
      </w:pPr>
      <w:r>
        <w:t>Market-access features cannot be treated as operationally complete until buyers, transporters and other participants are actually onboarded.</w:t>
      </w:r>
    </w:p>
    <w:p>
      <w:pPr>
        <w:pStyle w:val="Heading2"/>
      </w:pPr>
      <w:r>
        <w:t>4.4 Recommended Operating Model</w:t>
      </w:r>
    </w:p>
    <w:p>
      <w:r>
        <w:t>AgriShield should operate as a digital platform supported by a network of agricultural partners. A farmer uses the mobile/USSD interface; automated systems provide first-level intelligence; extension officers handle uncertain or high-impact cases; and collection centres or cooperatives provide physical points for storage and aggregation.</w:t>
      </w:r>
    </w:p>
    <w:p>
      <w:pPr>
        <w:pStyle w:val="Heading1"/>
      </w:pPr>
      <w:r>
        <w:t>5. Market Feasibility</w:t>
      </w:r>
    </w:p>
    <w:p>
      <w:pPr>
        <w:pStyle w:val="Heading2"/>
      </w:pPr>
      <w:r>
        <w:t>5.1 Target Market</w:t>
      </w:r>
    </w:p>
    <w:p>
      <w:pPr>
        <w:pStyle w:val="ListBullet"/>
      </w:pPr>
      <w:r>
        <w:t>Smallholder farmers who lack regular access to extension services.</w:t>
      </w:r>
    </w:p>
    <w:p>
      <w:pPr>
        <w:pStyle w:val="ListBullet"/>
      </w:pPr>
      <w:r>
        <w:t>Farmer cooperatives and aggregation centres.</w:t>
      </w:r>
    </w:p>
    <w:p>
      <w:pPr>
        <w:pStyle w:val="ListBullet"/>
      </w:pPr>
      <w:r>
        <w:t>Agricultural NGOs and development programmes.</w:t>
      </w:r>
    </w:p>
    <w:p>
      <w:pPr>
        <w:pStyle w:val="ListBullet"/>
      </w:pPr>
      <w:r>
        <w:t>Commercial agricultural organisations and processors.</w:t>
      </w:r>
    </w:p>
    <w:p>
      <w:pPr>
        <w:pStyle w:val="ListBullet"/>
      </w:pPr>
      <w:r>
        <w:t>Institutions interested in food security, climate resilience and post-harvest loss reduction.</w:t>
      </w:r>
    </w:p>
    <w:p>
      <w:pPr>
        <w:pStyle w:val="Heading2"/>
      </w:pPr>
      <w:r>
        <w:t>5.2 Customer Problem and Value Proposition</w:t>
      </w:r>
    </w:p>
    <w:p>
      <w:r>
        <w:t>The central value proposition is: AgriShield helps farmers make better decisions before, during and after production by bringing several agricultural information sources into one accessible platform.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Pr>
          <w:p>
            <w:r>
              <w:rPr>
                <w:b/>
              </w:rPr>
              <w:t>Customer problem</w:t>
            </w:r>
          </w:p>
        </w:tc>
        <w:tc>
          <w:tcPr>
            <w:tcW w:type="dxa" w:w="3312"/>
            <w:shd w:fill="D9EAD3"/>
          </w:tcPr>
          <w:p>
            <w:r>
              <w:rPr>
                <w:b/>
              </w:rPr>
              <w:t>AgriShield response</w:t>
            </w:r>
          </w:p>
        </w:tc>
        <w:tc>
          <w:tcPr>
            <w:tcW w:type="dxa" w:w="3312"/>
            <w:shd w:fill="D9EAD3"/>
          </w:tcPr>
          <w:p>
            <w:r>
              <w:rPr>
                <w:b/>
              </w:rPr>
              <w:t>Potential measurable outcome</w:t>
            </w:r>
          </w:p>
        </w:tc>
      </w:tr>
      <w:tr>
        <w:tc>
          <w:tcPr>
            <w:tcW w:type="dxa" w:w="3312"/>
            <w:vAlign w:val="center"/>
          </w:tcPr>
          <w:p>
            <w:r>
              <w:t>Disease noticed too late</w:t>
            </w:r>
          </w:p>
        </w:tc>
        <w:tc>
          <w:tcPr>
            <w:tcW w:type="dxa" w:w="3312"/>
            <w:vAlign w:val="center"/>
          </w:tcPr>
          <w:p>
            <w:r>
              <w:t>Photo-based first assessment</w:t>
            </w:r>
          </w:p>
        </w:tc>
        <w:tc>
          <w:tcPr>
            <w:tcW w:type="dxa" w:w="3312"/>
            <w:vAlign w:val="center"/>
          </w:tcPr>
          <w:p>
            <w:r>
              <w:t>Earlier intervention / reduced crop loss.</w:t>
            </w:r>
          </w:p>
        </w:tc>
      </w:tr>
      <w:tr>
        <w:tc>
          <w:tcPr>
            <w:tcW w:type="dxa" w:w="3312"/>
            <w:vAlign w:val="center"/>
          </w:tcPr>
          <w:p>
            <w:r>
              <w:t>Storage conditions are unknown</w:t>
            </w:r>
          </w:p>
        </w:tc>
        <w:tc>
          <w:tcPr>
            <w:tcW w:type="dxa" w:w="3312"/>
            <w:vAlign w:val="center"/>
          </w:tcPr>
          <w:p>
            <w:r>
              <w:t>Temperature/humidity monitoring</w:t>
            </w:r>
          </w:p>
        </w:tc>
        <w:tc>
          <w:tcPr>
            <w:tcW w:type="dxa" w:w="3312"/>
            <w:vAlign w:val="center"/>
          </w:tcPr>
          <w:p>
            <w:r>
              <w:t>Earlier warning and improved storage decisions.</w:t>
            </w:r>
          </w:p>
        </w:tc>
      </w:tr>
      <w:tr>
        <w:tc>
          <w:tcPr>
            <w:tcW w:type="dxa" w:w="3312"/>
            <w:vAlign w:val="center"/>
          </w:tcPr>
          <w:p>
            <w:r>
              <w:t>Weather is uncertain</w:t>
            </w:r>
          </w:p>
        </w:tc>
        <w:tc>
          <w:tcPr>
            <w:tcW w:type="dxa" w:w="3312"/>
            <w:vAlign w:val="center"/>
          </w:tcPr>
          <w:p>
            <w:r>
              <w:t>Forecast and satellite signals</w:t>
            </w:r>
          </w:p>
        </w:tc>
        <w:tc>
          <w:tcPr>
            <w:tcW w:type="dxa" w:w="3312"/>
            <w:vAlign w:val="center"/>
          </w:tcPr>
          <w:p>
            <w:r>
              <w:t>Better timing of farm activities.</w:t>
            </w:r>
          </w:p>
        </w:tc>
      </w:tr>
      <w:tr>
        <w:tc>
          <w:tcPr>
            <w:tcW w:type="dxa" w:w="3312"/>
            <w:vAlign w:val="center"/>
          </w:tcPr>
          <w:p>
            <w:r>
              <w:t>Market information is fragmented</w:t>
            </w:r>
          </w:p>
        </w:tc>
        <w:tc>
          <w:tcPr>
            <w:tcW w:type="dxa" w:w="3312"/>
            <w:vAlign w:val="center"/>
          </w:tcPr>
          <w:p>
            <w:r>
              <w:t>Public price integration</w:t>
            </w:r>
          </w:p>
        </w:tc>
        <w:tc>
          <w:tcPr>
            <w:tcW w:type="dxa" w:w="3312"/>
            <w:vAlign w:val="center"/>
          </w:tcPr>
          <w:p>
            <w:r>
              <w:t>Better-informed selling decisions.</w:t>
            </w:r>
          </w:p>
        </w:tc>
      </w:tr>
      <w:tr>
        <w:tc>
          <w:tcPr>
            <w:tcW w:type="dxa" w:w="3312"/>
            <w:vAlign w:val="center"/>
          </w:tcPr>
          <w:p>
            <w:r>
              <w:t>Advice is difficult to access</w:t>
            </w:r>
          </w:p>
        </w:tc>
        <w:tc>
          <w:tcPr>
            <w:tcW w:type="dxa" w:w="3312"/>
            <w:vAlign w:val="center"/>
          </w:tcPr>
          <w:p>
            <w:r>
              <w:t>AI/rule-based guidance + extension escalation</w:t>
            </w:r>
          </w:p>
        </w:tc>
        <w:tc>
          <w:tcPr>
            <w:tcW w:type="dxa" w:w="3312"/>
            <w:vAlign w:val="center"/>
          </w:tcPr>
          <w:p>
            <w:r>
              <w:t>Faster access to useful information.</w:t>
            </w:r>
          </w:p>
        </w:tc>
      </w:tr>
      <w:tr>
        <w:tc>
          <w:tcPr>
            <w:tcW w:type="dxa" w:w="3312"/>
            <w:vAlign w:val="center"/>
          </w:tcPr>
          <w:p>
            <w:r>
              <w:t>Crop residues are wasted</w:t>
            </w:r>
          </w:p>
        </w:tc>
        <w:tc>
          <w:tcPr>
            <w:tcW w:type="dxa" w:w="3312"/>
            <w:vAlign w:val="center"/>
          </w:tcPr>
          <w:p>
            <w:r>
              <w:t>Waste-to-feed guidance</w:t>
            </w:r>
          </w:p>
        </w:tc>
        <w:tc>
          <w:tcPr>
            <w:tcW w:type="dxa" w:w="3312"/>
            <w:vAlign w:val="center"/>
          </w:tcPr>
          <w:p>
            <w:r>
              <w:t>Potential additional value from farm residues.</w:t>
            </w:r>
          </w:p>
        </w:tc>
      </w:tr>
    </w:tbl>
    <w:p>
      <w:pPr>
        <w:pStyle w:val="Heading2"/>
      </w:pPr>
      <w:r>
        <w:t>5.3 Market Risks</w:t>
      </w:r>
    </w:p>
    <w:p>
      <w:pPr>
        <w:pStyle w:val="ListBullet"/>
      </w:pPr>
      <w:r>
        <w:t>Farmers may resist paying until the system demonstrates clear financial value.</w:t>
      </w:r>
    </w:p>
    <w:p>
      <w:pPr>
        <w:pStyle w:val="ListBullet"/>
      </w:pPr>
      <w:r>
        <w:t>Market-price coverage may be incomplete for some crops.</w:t>
      </w:r>
    </w:p>
    <w:p>
      <w:pPr>
        <w:pStyle w:val="ListBullet"/>
      </w:pPr>
      <w:r>
        <w:t>Existing extension services and agricultural apps create competition for attention.</w:t>
      </w:r>
    </w:p>
    <w:p>
      <w:pPr>
        <w:pStyle w:val="ListBullet"/>
      </w:pPr>
      <w:r>
        <w:t>Hardware costs and maintenance can reduce affordability.</w:t>
      </w:r>
    </w:p>
    <w:p>
      <w:pPr>
        <w:pStyle w:val="ListBullet"/>
      </w:pPr>
      <w:r>
        <w:t>Trust is critical: incorrect AI advice can damage adoption.</w:t>
      </w:r>
    </w:p>
    <w:p>
      <w:pPr>
        <w:pStyle w:val="Heading2"/>
      </w:pPr>
      <w:r>
        <w:t>5.4 Market Entry Strategy</w:t>
      </w:r>
    </w:p>
    <w:p>
      <w:r>
        <w:t>Start with a focused pilot around one or a few crops and selected collection/storage points. Measure actual losses, alert accuracy, farmer usage, intervention rates and willingness to pay. Use the results to approach cooperatives, NGOs, agricultural organisations and institutional partners. Expand geographically only after demonstrating repeatable value.</w:t>
      </w:r>
    </w:p>
    <w:p>
      <w:pPr>
        <w:pStyle w:val="Heading1"/>
      </w:pPr>
      <w:r>
        <w:t>6. Innovation and What Makes AgriShield Different</w:t>
      </w:r>
    </w:p>
    <w:p>
      <w:pPr>
        <w:pStyle w:val="Heading2"/>
      </w:pPr>
      <w:r>
        <w:t>6.1 The Core Innovation</w:t>
      </w:r>
    </w:p>
    <w:p>
      <w:r>
        <w:t>AgriShield's strongest innovation is the integration of multiple agricultural intelligence layers into one season-long platform. It is not simply a plant-disease app, a weather app or a storage sensor. The intended system links observations from the field, storage environment, satellite imagery, weather and market information.</w:t>
      </w:r>
    </w:p>
    <w:p>
      <w:pPr>
        <w:pStyle w:val="Heading2"/>
      </w:pPr>
      <w:r>
        <w:t>6.2 Differentiating Characteristics</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Differentiator</w:t>
            </w:r>
          </w:p>
        </w:tc>
        <w:tc>
          <w:tcPr>
            <w:tcW w:type="dxa" w:w="4968"/>
            <w:shd w:fill="D9EAD3"/>
          </w:tcPr>
          <w:p>
            <w:r>
              <w:rPr>
                <w:b/>
              </w:rPr>
              <w:t>Why it matters</w:t>
            </w:r>
          </w:p>
        </w:tc>
      </w:tr>
      <w:tr>
        <w:tc>
          <w:tcPr>
            <w:tcW w:type="dxa" w:w="4968"/>
            <w:vAlign w:val="center"/>
          </w:tcPr>
          <w:p>
            <w:r>
              <w:t>Whole-season approach</w:t>
            </w:r>
          </w:p>
        </w:tc>
        <w:tc>
          <w:tcPr>
            <w:tcW w:type="dxa" w:w="4968"/>
            <w:vAlign w:val="center"/>
          </w:tcPr>
          <w:p>
            <w:r>
              <w:t>Supports decisions before harvest, after harvest and at the selling stage.</w:t>
            </w:r>
          </w:p>
        </w:tc>
      </w:tr>
      <w:tr>
        <w:tc>
          <w:tcPr>
            <w:tcW w:type="dxa" w:w="4968"/>
            <w:vAlign w:val="center"/>
          </w:tcPr>
          <w:p>
            <w:r>
              <w:t>Offline-first design</w:t>
            </w:r>
          </w:p>
        </w:tc>
        <w:tc>
          <w:tcPr>
            <w:tcW w:type="dxa" w:w="4968"/>
            <w:vAlign w:val="center"/>
          </w:tcPr>
          <w:p>
            <w:r>
              <w:t>Designed around connectivity constraints rather than assuming permanent internet.</w:t>
            </w:r>
          </w:p>
        </w:tc>
      </w:tr>
      <w:tr>
        <w:tc>
          <w:tcPr>
            <w:tcW w:type="dxa" w:w="4968"/>
            <w:vAlign w:val="center"/>
          </w:tcPr>
          <w:p>
            <w:r>
              <w:t>Hardware + software</w:t>
            </w:r>
          </w:p>
        </w:tc>
        <w:tc>
          <w:tcPr>
            <w:tcW w:type="dxa" w:w="4968"/>
            <w:vAlign w:val="center"/>
          </w:tcPr>
          <w:p>
            <w:r>
              <w:t>Connects physical storage conditions with digital recommendations.</w:t>
            </w:r>
          </w:p>
        </w:tc>
      </w:tr>
      <w:tr>
        <w:tc>
          <w:tcPr>
            <w:tcW w:type="dxa" w:w="4968"/>
            <w:vAlign w:val="center"/>
          </w:tcPr>
          <w:p>
            <w:r>
              <w:t>Local communication options</w:t>
            </w:r>
          </w:p>
        </w:tc>
        <w:tc>
          <w:tcPr>
            <w:tcW w:type="dxa" w:w="4968"/>
            <w:vAlign w:val="center"/>
          </w:tcPr>
          <w:p>
            <w:r>
              <w:t>SMS, USSD and voice extend access beyond smartphone-only users.</w:t>
            </w:r>
          </w:p>
        </w:tc>
      </w:tr>
      <w:tr>
        <w:tc>
          <w:tcPr>
            <w:tcW w:type="dxa" w:w="4968"/>
            <w:vAlign w:val="center"/>
          </w:tcPr>
          <w:p>
            <w:r>
              <w:t>Multiple data sources</w:t>
            </w:r>
          </w:p>
        </w:tc>
        <w:tc>
          <w:tcPr>
            <w:tcW w:type="dxa" w:w="4968"/>
            <w:vAlign w:val="center"/>
          </w:tcPr>
          <w:p>
            <w:r>
              <w:t>Combines sensor, image, satellite, weather and market signals.</w:t>
            </w:r>
          </w:p>
        </w:tc>
      </w:tr>
      <w:tr>
        <w:tc>
          <w:tcPr>
            <w:tcW w:type="dxa" w:w="4968"/>
            <w:vAlign w:val="center"/>
          </w:tcPr>
          <w:p>
            <w:r>
              <w:t>Evidence-before-infrastructure</w:t>
            </w:r>
          </w:p>
        </w:tc>
        <w:tc>
          <w:tcPr>
            <w:tcW w:type="dxa" w:w="4968"/>
            <w:vAlign w:val="center"/>
          </w:tcPr>
          <w:p>
            <w:r>
              <w:t>Uses real operating data to justify expensive infrastructure such as cold storage.</w:t>
            </w:r>
          </w:p>
        </w:tc>
      </w:tr>
      <w:tr>
        <w:tc>
          <w:tcPr>
            <w:tcW w:type="dxa" w:w="4968"/>
            <w:vAlign w:val="center"/>
          </w:tcPr>
          <w:p>
            <w:r>
              <w:t>Honest AI boundaries</w:t>
            </w:r>
          </w:p>
        </w:tc>
        <w:tc>
          <w:tcPr>
            <w:tcW w:type="dxa" w:w="4968"/>
            <w:vAlign w:val="center"/>
          </w:tcPr>
          <w:p>
            <w:r>
              <w:t>Treats diagnosis as a first opinion and provides escalation to human expertise.</w:t>
            </w:r>
          </w:p>
        </w:tc>
      </w:tr>
      <w:tr>
        <w:tc>
          <w:tcPr>
            <w:tcW w:type="dxa" w:w="4968"/>
            <w:vAlign w:val="center"/>
          </w:tcPr>
          <w:p>
            <w:r>
              <w:t>Modular architecture</w:t>
            </w:r>
          </w:p>
        </w:tc>
        <w:tc>
          <w:tcPr>
            <w:tcW w:type="dxa" w:w="4968"/>
            <w:vAlign w:val="center"/>
          </w:tcPr>
          <w:p>
            <w:r>
              <w:t>New services can be added without replacing the core platform.</w:t>
            </w:r>
          </w:p>
        </w:tc>
      </w:tr>
    </w:tbl>
    <w:p>
      <w:pPr>
        <w:pStyle w:val="Heading2"/>
      </w:pPr>
      <w:r>
        <w:t>6.3 Innovation Maturity</w:t>
      </w:r>
    </w:p>
    <w:p>
      <w:r>
        <w:t>The concept is innovative at the system-integration level, but not every individual technology is novel. Sensors, satellite imagery, image classification, weather APIs and digital marketplaces already exist. The research value therefore lies in how these technologies can be adapted, integrated and validated for the realities of smallholder agriculture, particularly under low-connectivity and resource-constrained conditions.</w:t>
      </w:r>
    </w:p>
    <w:p>
      <w:pPr>
        <w:pStyle w:val="Heading1"/>
      </w:pPr>
      <w:r>
        <w:t>7. Proposed Improvements and Why They Should Be Added</w:t>
      </w:r>
    </w:p>
    <w:p>
      <w:r>
        <w:t>The following improvements are recommended to evolve AgriShield from a collection of useful modules into a stronger agricultural decision-support platform. They should be implemented in phases, not all at once.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Pr>
          <w:p>
            <w:r>
              <w:rPr>
                <w:b/>
              </w:rPr>
              <w:t>Improvement</w:t>
            </w:r>
          </w:p>
        </w:tc>
        <w:tc>
          <w:tcPr>
            <w:tcW w:type="dxa" w:w="2484"/>
            <w:shd w:fill="D9EAD3"/>
          </w:tcPr>
          <w:p>
            <w:r>
              <w:rPr>
                <w:b/>
              </w:rPr>
              <w:t>What it adds</w:t>
            </w:r>
          </w:p>
        </w:tc>
        <w:tc>
          <w:tcPr>
            <w:tcW w:type="dxa" w:w="2484"/>
            <w:shd w:fill="D9EAD3"/>
          </w:tcPr>
          <w:p>
            <w:r>
              <w:rPr>
                <w:b/>
              </w:rPr>
              <w:t>Why it should be added</w:t>
            </w:r>
          </w:p>
        </w:tc>
        <w:tc>
          <w:tcPr>
            <w:tcW w:type="dxa" w:w="2484"/>
            <w:shd w:fill="D9EAD3"/>
          </w:tcPr>
          <w:p>
            <w:r>
              <w:rPr>
                <w:b/>
              </w:rPr>
              <w:t>Priority</w:t>
            </w:r>
          </w:p>
        </w:tc>
      </w:tr>
      <w:tr>
        <w:tc>
          <w:tcPr>
            <w:tcW w:type="dxa" w:w="2484"/>
            <w:vAlign w:val="center"/>
          </w:tcPr>
          <w:p>
            <w:r>
              <w:t>AgriShield Farmer Risk Score</w:t>
            </w:r>
          </w:p>
        </w:tc>
        <w:tc>
          <w:tcPr>
            <w:tcW w:type="dxa" w:w="2484"/>
            <w:vAlign w:val="center"/>
          </w:tcPr>
          <w:p>
            <w:r>
              <w:t>Combines crop, weather, satellite, storage and pest signals into one understandable risk level.</w:t>
            </w:r>
          </w:p>
        </w:tc>
        <w:tc>
          <w:tcPr>
            <w:tcW w:type="dxa" w:w="2484"/>
            <w:vAlign w:val="center"/>
          </w:tcPr>
          <w:p>
            <w:r>
              <w:t>Makes complex data actionable and easier to understand.</w:t>
            </w:r>
          </w:p>
        </w:tc>
        <w:tc>
          <w:tcPr>
            <w:tcW w:type="dxa" w:w="2484"/>
            <w:vAlign w:val="center"/>
          </w:tcPr>
          <w:p>
            <w:r>
              <w:t>High</w:t>
            </w:r>
          </w:p>
        </w:tc>
      </w:tr>
      <w:tr>
        <w:tc>
          <w:tcPr>
            <w:tcW w:type="dxa" w:w="2484"/>
            <w:vAlign w:val="center"/>
          </w:tcPr>
          <w:p>
            <w:r>
              <w:t>AI Agricultural Assistant</w:t>
            </w:r>
          </w:p>
        </w:tc>
        <w:tc>
          <w:tcPr>
            <w:tcW w:type="dxa" w:w="2484"/>
            <w:vAlign w:val="center"/>
          </w:tcPr>
          <w:p>
            <w:r>
              <w:t>Allows farmers to ask questions in natural language and receive context-aware guidance.</w:t>
            </w:r>
          </w:p>
        </w:tc>
        <w:tc>
          <w:tcPr>
            <w:tcW w:type="dxa" w:w="2484"/>
            <w:vAlign w:val="center"/>
          </w:tcPr>
          <w:p>
            <w:r>
              <w:t>Creates one simple entry point instead of many separate modules.</w:t>
            </w:r>
          </w:p>
        </w:tc>
        <w:tc>
          <w:tcPr>
            <w:tcW w:type="dxa" w:w="2484"/>
            <w:vAlign w:val="center"/>
          </w:tcPr>
          <w:p>
            <w:r>
              <w:t>High</w:t>
            </w:r>
          </w:p>
        </w:tc>
      </w:tr>
      <w:tr>
        <w:tc>
          <w:tcPr>
            <w:tcW w:type="dxa" w:w="2484"/>
            <w:vAlign w:val="center"/>
          </w:tcPr>
          <w:p>
            <w:r>
              <w:t>Human-in-the-loop extension workflow</w:t>
            </w:r>
          </w:p>
        </w:tc>
        <w:tc>
          <w:tcPr>
            <w:tcW w:type="dxa" w:w="2484"/>
            <w:vAlign w:val="center"/>
          </w:tcPr>
          <w:p>
            <w:r>
              <w:t>Escalates uncertain cases to extension officers.</w:t>
            </w:r>
          </w:p>
        </w:tc>
        <w:tc>
          <w:tcPr>
            <w:tcW w:type="dxa" w:w="2484"/>
            <w:vAlign w:val="center"/>
          </w:tcPr>
          <w:p>
            <w:r>
              <w:t>Improves safety, trust and accountability.</w:t>
            </w:r>
          </w:p>
        </w:tc>
        <w:tc>
          <w:tcPr>
            <w:tcW w:type="dxa" w:w="2484"/>
            <w:vAlign w:val="center"/>
          </w:tcPr>
          <w:p>
            <w:r>
              <w:t>High</w:t>
            </w:r>
          </w:p>
        </w:tc>
      </w:tr>
      <w:tr>
        <w:tc>
          <w:tcPr>
            <w:tcW w:type="dxa" w:w="2484"/>
            <w:vAlign w:val="center"/>
          </w:tcPr>
          <w:p>
            <w:r>
              <w:t>Zimbabwe-specific agricultural dataset</w:t>
            </w:r>
          </w:p>
        </w:tc>
        <w:tc>
          <w:tcPr>
            <w:tcW w:type="dxa" w:w="2484"/>
            <w:vAlign w:val="center"/>
          </w:tcPr>
          <w:p>
            <w:r>
              <w:t>Collects local field images, conditions, interventions and outcomes.</w:t>
            </w:r>
          </w:p>
        </w:tc>
        <w:tc>
          <w:tcPr>
            <w:tcW w:type="dxa" w:w="2484"/>
            <w:vAlign w:val="center"/>
          </w:tcPr>
          <w:p>
            <w:r>
              <w:t>Improves local relevance and creates long-term research value.</w:t>
            </w:r>
          </w:p>
        </w:tc>
        <w:tc>
          <w:tcPr>
            <w:tcW w:type="dxa" w:w="2484"/>
            <w:vAlign w:val="center"/>
          </w:tcPr>
          <w:p>
            <w:r>
              <w:t>High</w:t>
            </w:r>
          </w:p>
        </w:tc>
      </w:tr>
      <w:tr>
        <w:tc>
          <w:tcPr>
            <w:tcW w:type="dxa" w:w="2484"/>
            <w:vAlign w:val="center"/>
          </w:tcPr>
          <w:p>
            <w:r>
              <w:t>Confidence scoring</w:t>
            </w:r>
          </w:p>
        </w:tc>
        <w:tc>
          <w:tcPr>
            <w:tcW w:type="dxa" w:w="2484"/>
            <w:vAlign w:val="center"/>
          </w:tcPr>
          <w:p>
            <w:r>
              <w:t>Shows how certain an AI recommendation is.</w:t>
            </w:r>
          </w:p>
        </w:tc>
        <w:tc>
          <w:tcPr>
            <w:tcW w:type="dxa" w:w="2484"/>
            <w:vAlign w:val="center"/>
          </w:tcPr>
          <w:p>
            <w:r>
              <w:t>Prevents users from treating uncertain predictions as facts.</w:t>
            </w:r>
          </w:p>
        </w:tc>
        <w:tc>
          <w:tcPr>
            <w:tcW w:type="dxa" w:w="2484"/>
            <w:vAlign w:val="center"/>
          </w:tcPr>
          <w:p>
            <w:r>
              <w:t>High</w:t>
            </w:r>
          </w:p>
        </w:tc>
      </w:tr>
      <w:tr>
        <w:tc>
          <w:tcPr>
            <w:tcW w:type="dxa" w:w="2484"/>
            <w:vAlign w:val="center"/>
          </w:tcPr>
          <w:p>
            <w:r>
              <w:t>Farmer action tracking</w:t>
            </w:r>
          </w:p>
        </w:tc>
        <w:tc>
          <w:tcPr>
            <w:tcW w:type="dxa" w:w="2484"/>
            <w:vAlign w:val="center"/>
          </w:tcPr>
          <w:p>
            <w:r>
              <w:t>Records what action was recommended and what the farmer did.</w:t>
            </w:r>
          </w:p>
        </w:tc>
        <w:tc>
          <w:tcPr>
            <w:tcW w:type="dxa" w:w="2484"/>
            <w:vAlign w:val="center"/>
          </w:tcPr>
          <w:p>
            <w:r>
              <w:t>Enables measurement of whether recommendations actually work.</w:t>
            </w:r>
          </w:p>
        </w:tc>
        <w:tc>
          <w:tcPr>
            <w:tcW w:type="dxa" w:w="2484"/>
            <w:vAlign w:val="center"/>
          </w:tcPr>
          <w:p>
            <w:r>
              <w:t>High</w:t>
            </w:r>
          </w:p>
        </w:tc>
      </w:tr>
      <w:tr>
        <w:tc>
          <w:tcPr>
            <w:tcW w:type="dxa" w:w="2484"/>
            <w:vAlign w:val="center"/>
          </w:tcPr>
          <w:p>
            <w:r>
              <w:t>Outcome/impact dashboard</w:t>
            </w:r>
          </w:p>
        </w:tc>
        <w:tc>
          <w:tcPr>
            <w:tcW w:type="dxa" w:w="2484"/>
            <w:vAlign w:val="center"/>
          </w:tcPr>
          <w:p>
            <w:r>
              <w:t>Tracks spoilage, interventions, disease cases and market outcomes.</w:t>
            </w:r>
          </w:p>
        </w:tc>
        <w:tc>
          <w:tcPr>
            <w:tcW w:type="dxa" w:w="2484"/>
            <w:vAlign w:val="center"/>
          </w:tcPr>
          <w:p>
            <w:r>
              <w:t>Provides evidence for funders, partners and continuous improvement.</w:t>
            </w:r>
          </w:p>
        </w:tc>
        <w:tc>
          <w:tcPr>
            <w:tcW w:type="dxa" w:w="2484"/>
            <w:vAlign w:val="center"/>
          </w:tcPr>
          <w:p>
            <w:r>
              <w:t>High</w:t>
            </w:r>
          </w:p>
        </w:tc>
      </w:tr>
      <w:tr>
        <w:tc>
          <w:tcPr>
            <w:tcW w:type="dxa" w:w="2484"/>
            <w:vAlign w:val="center"/>
          </w:tcPr>
          <w:p>
            <w:r>
              <w:t>Multi-language support</w:t>
            </w:r>
          </w:p>
        </w:tc>
        <w:tc>
          <w:tcPr>
            <w:tcW w:type="dxa" w:w="2484"/>
            <w:vAlign w:val="center"/>
          </w:tcPr>
          <w:p>
            <w:r>
              <w:t>Provides key alerts and guidance in locally appropriate languages.</w:t>
            </w:r>
          </w:p>
        </w:tc>
        <w:tc>
          <w:tcPr>
            <w:tcW w:type="dxa" w:w="2484"/>
            <w:vAlign w:val="center"/>
          </w:tcPr>
          <w:p>
            <w:r>
              <w:t>Can improve accessibility and adoption.</w:t>
            </w:r>
          </w:p>
        </w:tc>
        <w:tc>
          <w:tcPr>
            <w:tcW w:type="dxa" w:w="2484"/>
            <w:vAlign w:val="center"/>
          </w:tcPr>
          <w:p>
            <w:r>
              <w:t>Medium</w:t>
            </w:r>
          </w:p>
        </w:tc>
      </w:tr>
      <w:tr>
        <w:tc>
          <w:tcPr>
            <w:tcW w:type="dxa" w:w="2484"/>
            <w:vAlign w:val="center"/>
          </w:tcPr>
          <w:p>
            <w:r>
              <w:t>Voice-first advisory</w:t>
            </w:r>
          </w:p>
        </w:tc>
        <w:tc>
          <w:tcPr>
            <w:tcW w:type="dxa" w:w="2484"/>
            <w:vAlign w:val="center"/>
          </w:tcPr>
          <w:p>
            <w:r>
              <w:t>Uses spoken interactions for farmers with limited literacy or smartphone access.</w:t>
            </w:r>
          </w:p>
        </w:tc>
        <w:tc>
          <w:tcPr>
            <w:tcW w:type="dxa" w:w="2484"/>
            <w:vAlign w:val="center"/>
          </w:tcPr>
          <w:p>
            <w:r>
              <w:t>Builds on the existing voice-channel approach.</w:t>
            </w:r>
          </w:p>
        </w:tc>
        <w:tc>
          <w:tcPr>
            <w:tcW w:type="dxa" w:w="2484"/>
            <w:vAlign w:val="center"/>
          </w:tcPr>
          <w:p>
            <w:r>
              <w:t>Medium</w:t>
            </w:r>
          </w:p>
        </w:tc>
      </w:tr>
      <w:tr>
        <w:tc>
          <w:tcPr>
            <w:tcW w:type="dxa" w:w="2484"/>
            <w:vAlign w:val="center"/>
          </w:tcPr>
          <w:p>
            <w:r>
              <w:t>Market net-price calculator</w:t>
            </w:r>
          </w:p>
        </w:tc>
        <w:tc>
          <w:tcPr>
            <w:tcW w:type="dxa" w:w="2484"/>
            <w:vAlign w:val="center"/>
          </w:tcPr>
          <w:p>
            <w:r>
              <w:t>Compares price after transport and other costs.</w:t>
            </w:r>
          </w:p>
        </w:tc>
        <w:tc>
          <w:tcPr>
            <w:tcW w:type="dxa" w:w="2484"/>
            <w:vAlign w:val="center"/>
          </w:tcPr>
          <w:p>
            <w:r>
              <w:t>Makes market information more useful than simply displaying prices.</w:t>
            </w:r>
          </w:p>
        </w:tc>
        <w:tc>
          <w:tcPr>
            <w:tcW w:type="dxa" w:w="2484"/>
            <w:vAlign w:val="center"/>
          </w:tcPr>
          <w:p>
            <w:r>
              <w:t>Medium</w:t>
            </w:r>
          </w:p>
        </w:tc>
      </w:tr>
      <w:tr>
        <w:tc>
          <w:tcPr>
            <w:tcW w:type="dxa" w:w="2484"/>
            <w:vAlign w:val="center"/>
          </w:tcPr>
          <w:p>
            <w:r>
              <w:t>Farmer-to-buyer matching</w:t>
            </w:r>
          </w:p>
        </w:tc>
        <w:tc>
          <w:tcPr>
            <w:tcW w:type="dxa" w:w="2484"/>
            <w:vAlign w:val="center"/>
          </w:tcPr>
          <w:p>
            <w:r>
              <w:t>Connects verified surplus with potential buyers.</w:t>
            </w:r>
          </w:p>
        </w:tc>
        <w:tc>
          <w:tcPr>
            <w:tcW w:type="dxa" w:w="2484"/>
            <w:vAlign w:val="center"/>
          </w:tcPr>
          <w:p>
            <w:r>
              <w:t>Turns market data into a practical transaction pathway.</w:t>
            </w:r>
          </w:p>
        </w:tc>
        <w:tc>
          <w:tcPr>
            <w:tcW w:type="dxa" w:w="2484"/>
            <w:vAlign w:val="center"/>
          </w:tcPr>
          <w:p>
            <w:r>
              <w:t>Later</w:t>
            </w:r>
          </w:p>
        </w:tc>
      </w:tr>
      <w:tr>
        <w:tc>
          <w:tcPr>
            <w:tcW w:type="dxa" w:w="2484"/>
            <w:vAlign w:val="center"/>
          </w:tcPr>
          <w:p>
            <w:r>
              <w:t>Digital farm diary</w:t>
            </w:r>
          </w:p>
        </w:tc>
        <w:tc>
          <w:tcPr>
            <w:tcW w:type="dxa" w:w="2484"/>
            <w:vAlign w:val="center"/>
          </w:tcPr>
          <w:p>
            <w:r>
              <w:t>Records planting, spraying, harvesting, storage and sales events.</w:t>
            </w:r>
          </w:p>
        </w:tc>
        <w:tc>
          <w:tcPr>
            <w:tcW w:type="dxa" w:w="2484"/>
            <w:vAlign w:val="center"/>
          </w:tcPr>
          <w:p>
            <w:r>
              <w:t>Creates valuable longitudinal data for personalised recommendations.</w:t>
            </w:r>
          </w:p>
        </w:tc>
        <w:tc>
          <w:tcPr>
            <w:tcW w:type="dxa" w:w="2484"/>
            <w:vAlign w:val="center"/>
          </w:tcPr>
          <w:p>
            <w:r>
              <w:t>High</w:t>
            </w:r>
          </w:p>
        </w:tc>
      </w:tr>
      <w:tr>
        <w:tc>
          <w:tcPr>
            <w:tcW w:type="dxa" w:w="2484"/>
            <w:vAlign w:val="center"/>
          </w:tcPr>
          <w:p>
            <w:r>
              <w:t>Cold-room readiness score</w:t>
            </w:r>
          </w:p>
        </w:tc>
        <w:tc>
          <w:tcPr>
            <w:tcW w:type="dxa" w:w="2484"/>
            <w:vAlign w:val="center"/>
          </w:tcPr>
          <w:p>
            <w:r>
              <w:t>Uses storage data to determine whether a site has enough demand for cold infrastructure.</w:t>
            </w:r>
          </w:p>
        </w:tc>
        <w:tc>
          <w:tcPr>
            <w:tcW w:type="dxa" w:w="2484"/>
            <w:vAlign w:val="center"/>
          </w:tcPr>
          <w:p>
            <w:r>
              <w:t>Strengthens the evidence-before-investment model.</w:t>
            </w:r>
          </w:p>
        </w:tc>
        <w:tc>
          <w:tcPr>
            <w:tcW w:type="dxa" w:w="2484"/>
            <w:vAlign w:val="center"/>
          </w:tcPr>
          <w:p>
            <w:r>
              <w:t>Later</w:t>
            </w:r>
          </w:p>
        </w:tc>
      </w:tr>
    </w:tbl>
    <w:p>
      <w:pPr>
        <w:pStyle w:val="Heading2"/>
      </w:pPr>
      <w:r>
        <w:t>7.1 Recommended Improvement: From Alerts to Decisions</w:t>
      </w:r>
    </w:p>
    <w:p>
      <w:r>
        <w:t>The current concept is strongest when a warning is paired with an action. This should become a formal design principle. Every alert should answer three questions: What happened? Why does it matter? What should the farmer do next?</w:t>
      </w:r>
    </w:p>
    <w:p>
      <w:r>
        <w:t>Example: instead of displaying only 'High storage humidity', AgriShield could state: 'High humidity has been detected in your maize storage area. This may increase storage risk. Move grain to a drier, suitable storage environment and check the affected batch. If the condition continues, contact an extension officer.' The exact thresholds and technical advice should be validated before deployment.</w:t>
      </w:r>
    </w:p>
    <w:p>
      <w:pPr>
        <w:pStyle w:val="Heading2"/>
      </w:pPr>
      <w:r>
        <w:t>7.2 Recommended Improvement: Predictive Intelligence</w:t>
      </w:r>
    </w:p>
    <w:p>
      <w:r>
        <w:t>After enough historical data is collected, AgriShield should evolve from reactive monitoring toward prediction. The system could estimate risks such as likely crop stress, storage deterioration or pest-risk periods, but only where there is sufficient validated data. Predictions should be presented with confidence levels and clear limitations.</w:t>
      </w:r>
    </w:p>
    <w:p>
      <w:pPr>
        <w:pStyle w:val="Heading2"/>
      </w:pPr>
      <w:r>
        <w:t>7.3 Recommended Improvement: Local Data Flywheel</w:t>
      </w:r>
    </w:p>
    <w:p>
      <w:r>
        <w:t>Every farmer interaction can improve the system if collected responsibly: field image, crop, location at appropriate granularity, weather conditions, recommendation, farmer action and outcome. This creates a continuous learning cycle: collect → analyse → recommend → observe outcome → validate → improve. Data collection should remain minimal and transparent.</w:t>
      </w:r>
    </w:p>
    <w:p>
      <w:pPr>
        <w:pStyle w:val="Heading1"/>
      </w:pPr>
      <w:r>
        <w:t>8. Recommended Development Priorities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Pr>
          <w:p>
            <w:r>
              <w:rPr>
                <w:b/>
              </w:rPr>
              <w:t>Phase</w:t>
            </w:r>
          </w:p>
        </w:tc>
        <w:tc>
          <w:tcPr>
            <w:tcW w:type="dxa" w:w="3312"/>
            <w:shd w:fill="D9EAD3"/>
          </w:tcPr>
          <w:p>
            <w:r>
              <w:rPr>
                <w:b/>
              </w:rPr>
              <w:t>Main deliverables</w:t>
            </w:r>
          </w:p>
        </w:tc>
        <w:tc>
          <w:tcPr>
            <w:tcW w:type="dxa" w:w="3312"/>
            <w:shd w:fill="D9EAD3"/>
          </w:tcPr>
          <w:p>
            <w:r>
              <w:rPr>
                <w:b/>
              </w:rPr>
              <w:t>Purpose</w:t>
            </w:r>
          </w:p>
        </w:tc>
      </w:tr>
      <w:tr>
        <w:tc>
          <w:tcPr>
            <w:tcW w:type="dxa" w:w="3312"/>
            <w:vAlign w:val="center"/>
          </w:tcPr>
          <w:p>
            <w:r>
              <w:t>Phase 1 – MVP</w:t>
            </w:r>
          </w:p>
        </w:tc>
        <w:tc>
          <w:tcPr>
            <w:tcW w:type="dxa" w:w="3312"/>
            <w:vAlign w:val="center"/>
          </w:tcPr>
          <w:p>
            <w:r>
              <w:t>Farmer profile, offline app, storage sensor, plant checker, basic notifications</w:t>
            </w:r>
          </w:p>
        </w:tc>
        <w:tc>
          <w:tcPr>
            <w:tcW w:type="dxa" w:w="3312"/>
            <w:vAlign w:val="center"/>
          </w:tcPr>
          <w:p>
            <w:r>
              <w:t>Prove core technical and user feasibility.</w:t>
            </w:r>
          </w:p>
        </w:tc>
      </w:tr>
      <w:tr>
        <w:tc>
          <w:tcPr>
            <w:tcW w:type="dxa" w:w="3312"/>
            <w:vAlign w:val="center"/>
          </w:tcPr>
          <w:p>
            <w:r>
              <w:t>Phase 2 – Intelligence</w:t>
            </w:r>
          </w:p>
        </w:tc>
        <w:tc>
          <w:tcPr>
            <w:tcW w:type="dxa" w:w="3312"/>
            <w:vAlign w:val="center"/>
          </w:tcPr>
          <w:p>
            <w:r>
              <w:t>Satellite dashboard, weather, market prices, risk score, action-based alerts</w:t>
            </w:r>
          </w:p>
        </w:tc>
        <w:tc>
          <w:tcPr>
            <w:tcW w:type="dxa" w:w="3312"/>
            <w:vAlign w:val="center"/>
          </w:tcPr>
          <w:p>
            <w:r>
              <w:t>Combine data into useful decisions.</w:t>
            </w:r>
          </w:p>
        </w:tc>
      </w:tr>
      <w:tr>
        <w:tc>
          <w:tcPr>
            <w:tcW w:type="dxa" w:w="3312"/>
            <w:vAlign w:val="center"/>
          </w:tcPr>
          <w:p>
            <w:r>
              <w:t>Phase 3 – Validation</w:t>
            </w:r>
          </w:p>
        </w:tc>
        <w:tc>
          <w:tcPr>
            <w:tcW w:type="dxa" w:w="3312"/>
            <w:vAlign w:val="center"/>
          </w:tcPr>
          <w:p>
            <w:r>
              <w:t>Local dataset, extension workflow, outcome tracking, confidence scoring</w:t>
            </w:r>
          </w:p>
        </w:tc>
        <w:tc>
          <w:tcPr>
            <w:tcW w:type="dxa" w:w="3312"/>
            <w:vAlign w:val="center"/>
          </w:tcPr>
          <w:p>
            <w:r>
              <w:t>Improve accuracy, trust and evidence.</w:t>
            </w:r>
          </w:p>
        </w:tc>
      </w:tr>
      <w:tr>
        <w:tc>
          <w:tcPr>
            <w:tcW w:type="dxa" w:w="3312"/>
            <w:vAlign w:val="center"/>
          </w:tcPr>
          <w:p>
            <w:r>
              <w:t>Phase 4 – Ecosystem</w:t>
            </w:r>
          </w:p>
        </w:tc>
        <w:tc>
          <w:tcPr>
            <w:tcW w:type="dxa" w:w="3312"/>
            <w:vAlign w:val="center"/>
          </w:tcPr>
          <w:p>
            <w:r>
              <w:t>Buyer matching, transport coordination, multi-site dashboards</w:t>
            </w:r>
          </w:p>
        </w:tc>
        <w:tc>
          <w:tcPr>
            <w:tcW w:type="dxa" w:w="3312"/>
            <w:vAlign w:val="center"/>
          </w:tcPr>
          <w:p>
            <w:r>
              <w:t>Create wider economic value.</w:t>
            </w:r>
          </w:p>
        </w:tc>
      </w:tr>
      <w:tr>
        <w:tc>
          <w:tcPr>
            <w:tcW w:type="dxa" w:w="3312"/>
            <w:vAlign w:val="center"/>
          </w:tcPr>
          <w:p>
            <w:r>
              <w:t>Phase 5 – Infrastructure</w:t>
            </w:r>
          </w:p>
        </w:tc>
        <w:tc>
          <w:tcPr>
            <w:tcW w:type="dxa" w:w="3312"/>
            <w:vAlign w:val="center"/>
          </w:tcPr>
          <w:p>
            <w:r>
              <w:t>Cold-room investment informed by real sensor/market evidence</w:t>
            </w:r>
          </w:p>
        </w:tc>
        <w:tc>
          <w:tcPr>
            <w:tcW w:type="dxa" w:w="3312"/>
            <w:vAlign w:val="center"/>
          </w:tcPr>
          <w:p>
            <w:r>
              <w:t>Scale physical infrastructure where justified.</w:t>
            </w:r>
          </w:p>
        </w:tc>
      </w:tr>
    </w:tbl>
    <w:p>
      <w:pPr>
        <w:pStyle w:val="Heading1"/>
      </w:pPr>
      <w:r>
        <w:t>9. Key Feasibility and Innovation Metrics</w:t>
      </w:r>
    </w:p>
    <w:p>
      <w:pPr>
        <w:pStyle w:val="ListBullet"/>
      </w:pPr>
      <w:r>
        <w:t>Technical: sensor uptime, offline synchronisation success, app crash rate, model accuracy on local field images, satellite-processing reliability.</w:t>
      </w:r>
    </w:p>
    <w:p>
      <w:pPr>
        <w:pStyle w:val="ListBullet"/>
      </w:pPr>
      <w:r>
        <w:t>Economic: cost per farmer, cost per monitored storage site, farmer willingness to pay, estimated value of losses avoided, partner acquisition cost.</w:t>
      </w:r>
    </w:p>
    <w:p>
      <w:pPr>
        <w:pStyle w:val="ListBullet"/>
      </w:pPr>
      <w:r>
        <w:t>Operational: active farmers, alert delivery rate, response rate, extension escalation rate, training completion and hardware maintenance rate.</w:t>
      </w:r>
    </w:p>
    <w:p>
      <w:pPr>
        <w:pStyle w:val="ListBullet"/>
      </w:pPr>
      <w:r>
        <w:t>Market: pilot adoption, retention, customer satisfaction, number of participating organisations, repeat usage and conversion to paid services.</w:t>
      </w:r>
    </w:p>
    <w:p>
      <w:pPr>
        <w:pStyle w:val="ListBullet"/>
      </w:pPr>
      <w:r>
        <w:t>Innovation: percentage of recommendations supported by multiple data sources, number of validated local cases, improvement in model performance on local data, and measurable outcomes from farmer actions.</w:t>
      </w:r>
    </w:p>
    <w:p>
      <w:pPr>
        <w:pStyle w:val="Heading1"/>
      </w:pPr>
      <w:r>
        <w:t>10. Conclusion and Recommendations</w:t>
      </w:r>
    </w:p>
    <w:p>
      <w:r>
        <w:t>AgriShield is technically feasible as a phased platform because its core architecture relies on established mobile, backend, IoT, satellite, AI and communication technologies. The most significant technical challenges are not whether the components exist, but whether they can be made reliable, affordable, offline-capable and accurate enough under real agricultural conditions.</w:t>
      </w:r>
    </w:p>
    <w:p>
      <w:r>
        <w:t>Economic feasibility is strongest when AgriShield is positioned as a service that reduces measurable agricultural losses and improves decision-making, rather than as a technology project dependent on immediate construction of expensive infrastructure. The project's own strategy of collecting evidence before investing in a cold room is a particularly strong financial principle.</w:t>
      </w:r>
    </w:p>
    <w:p>
      <w:r>
        <w:t>Operational feasibility depends on simplicity, local support, farmer trust, reliable communication channels and a clear relationship between AI recommendations and human agricultural expertise. Market feasibility should be proven through a focused pilot with measurable outcomes before broad expansion.</w:t>
      </w:r>
    </w:p>
    <w:p>
      <w:r>
        <w:t>The major innovation opportunity is to transform AgriShield from a set of agricultural tools into an integrated decision-intelligence platform. The recommended direction is: monitor → understand → predict → recommend → act → measure outcomes → learn. This creates a stronger long-term proposition while preserving the project's original commitment to honest claims and realistic implementation.</w:t>
      </w:r>
    </w:p>
    <w:p>
      <w:pPr>
        <w:pStyle w:val="Heading1"/>
      </w:pPr>
      <w:r>
        <w:t>11. Source-Based Notes and Limitations</w:t>
      </w:r>
    </w:p>
    <w:p>
      <w:r>
        <w:t>This document is primarily based on the uploaded AgriShield project document. Its terminology, proposed architecture, roadmap, technology choices, stated limitations and identified evidence gaps have been retained. The uploaded document itself notes that several precise figures and claims still require verification, including exact PICS-bag pricing/loss reduction, a precise model-accuracy drop figure, food-safety thresholds, Zimbabwe-specific crop-calendar coverage, feed recipes and comprehensive grain-price sources.</w:t>
      </w:r>
    </w:p>
    <w:p>
      <w:r>
        <w:t>Accordingly, this study does not treat those unverified figures as established facts. A later investment-grade feasibility study should add primary-source research, field interviews, supplier quotations, pilot data, competitor analysis and a detailed five-year financial model.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AgriShield – Feasibility, Innovation and Improvement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