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45309"/>
          <w:spacing w:val="40"/>
          <w:sz w:val="16"/>
          <w:szCs w:val="16"/>
        </w:rPr>
        <w:t xml:space="preserve">AGRISHIELD  ·  THE BLUE-SKY VERSION</w:t>
      </w:r>
    </w:p>
    <w:p>
      <w:pPr>
        <w:spacing w:after="60"/>
      </w:pPr>
      <w:r>
        <w:rPr>
          <w:rFonts w:ascii="Calibri" w:cs="Calibri" w:eastAsia="Calibri" w:hAnsi="Calibri"/>
          <w:b/>
          <w:bCs/>
          <w:color w:val="1B4332"/>
          <w:sz w:val="56"/>
          <w:szCs w:val="56"/>
        </w:rPr>
        <w:t xml:space="preserve">AgriShield Innovate</w:t>
      </w:r>
    </w:p>
    <w:p>
      <w:pPr>
        <w:pBdr>
          <w:bottom w:val="single" w:color="B45309" w:sz="12" w:space="8"/>
        </w:pBdr>
        <w:spacing w:after="240"/>
      </w:pPr>
      <w:r>
        <w:rPr>
          <w:rFonts w:ascii="Calibri" w:cs="Calibri" w:eastAsia="Calibri" w:hAnsi="Calibri"/>
          <w:i/>
          <w:iCs/>
          <w:color w:val="2D6A4F"/>
          <w:sz w:val="21"/>
          <w:szCs w:val="21"/>
        </w:rPr>
        <w:t xml:space="preserve">Where AgriShield could go with no limits, grounded in two things this team already built</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What this document is</w:t>
            </w:r>
          </w:p>
          <w:p>
            <w:pPr>
              <w:spacing w:after="0" w:line="288"/>
            </w:pPr>
            <w:r>
              <w:rPr>
                <w:rFonts w:ascii="Calibri" w:cs="Calibri" w:eastAsia="Calibri" w:hAnsi="Calibri"/>
                <w:color w:val="1A1A1A"/>
                <w:sz w:val="21"/>
                <w:szCs w:val="21"/>
              </w:rPr>
              <w:t xml:space="preserve">Every other AgriShield document holds every claim to a strict rule: sourced, or flagged as unconfirmed. This one is different, on purpose. This is the ambitious, no-limits sketch — where AgriShield could grow if there were no build deadline, no budget cap, and no team-size limit. Two pieces of it are not just imagination, though: the Agri-Rover concept adapts a robot this exact team already built and demoed, and the market-intelligence engine adapts a real, working platform (Kuwana) with its own live architecture. Those two sections say plainly what is real and what is still a leap. Everything else here is intentionally freer — vision first, feasibility later.</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1. The Agri-Rover — Campus Compass, Sent Into the Fields</w:t>
      </w:r>
    </w:p>
    <w:p>
      <w:pPr>
        <w:spacing w:after="140" w:line="288"/>
      </w:pPr>
      <w:r>
        <w:rPr>
          <w:rFonts w:ascii="Calibri" w:cs="Calibri" w:eastAsia="Calibri" w:hAnsi="Calibri"/>
          <w:color w:val="1A1A1A"/>
          <w:sz w:val="21"/>
          <w:szCs w:val="21"/>
        </w:rPr>
        <w:t xml:space="preserve">Campus Compass (also called the Kinetic Directory) is a real capstone robot this team built at Africa University: a dual-layer navigation system pairing a stationary touchscreen kiosk with an autonomous wheeled robot that escorts visitors to a destination on campus. It is a working, demoed prototype — a Raspberry Pi 4 for high-level navigation, an Arduino for motors and sensors, the A* search algorithm for pathfinding, ultrasonic and LiDAR sensors for obstacle avoidance, and MQTT/WebSocket syncing between the robot and the kiosk. It was built for about $200 in personal funding, tested in a scaled "mini-campus" demo environment, and one of its own listed contributors — Mark Chindudzi — is also on the AgriShield team. That overlap is the real reason this is more than a fantasy sketch: the underlying navigation stack has already been designed, built, and shown working, by people already in this room.</w:t>
      </w:r>
    </w:p>
    <w:p>
      <w:pPr>
        <w:pStyle w:val="Heading2"/>
        <w:spacing w:after="110" w:before="240"/>
      </w:pPr>
      <w:r>
        <w:rPr>
          <w:rFonts w:ascii="Calibri" w:cs="Calibri" w:eastAsia="Calibri" w:hAnsi="Calibri"/>
          <w:b/>
          <w:bCs/>
          <w:color w:val="2D6A4F"/>
          <w:sz w:val="22"/>
          <w:szCs w:val="22"/>
        </w:rPr>
        <w:t xml:space="preserve">1.1 The depot kiosk and the field rover</w:t>
      </w:r>
    </w:p>
    <w:p>
      <w:pPr>
        <w:spacing w:after="140" w:line="288"/>
      </w:pPr>
      <w:r>
        <w:rPr>
          <w:rFonts w:ascii="Calibri" w:cs="Calibri" w:eastAsia="Calibri" w:hAnsi="Calibri"/>
          <w:color w:val="1A1A1A"/>
          <w:sz w:val="21"/>
          <w:szCs w:val="21"/>
        </w:rPr>
        <w:t xml:space="preserve">The stationary half becomes a farm depot kiosk: the same kind of touchscreen interface, now showing AgriShield's live dashboard — shelf-life countdowns, drought and satellite maps, weather, and market prices — at a collection point farmers already visit. The mobile half becomes the Agri-Rover: a solar-charged field robot that docks at the base of the kiosk and heads out on scheduled scouting runs.</w:t>
      </w:r>
    </w:p>
    <w:p>
      <w:pPr>
        <w:pStyle w:val="Heading2"/>
        <w:spacing w:after="110" w:before="240"/>
      </w:pPr>
      <w:r>
        <w:rPr>
          <w:rFonts w:ascii="Calibri" w:cs="Calibri" w:eastAsia="Calibri" w:hAnsi="Calibri"/>
          <w:b/>
          <w:bCs/>
          <w:color w:val="2D6A4F"/>
          <w:sz w:val="22"/>
          <w:szCs w:val="22"/>
        </w:rPr>
        <w:t xml:space="preserve">1.2 What moves over directly, and what has to change</w:t>
      </w:r>
    </w:p>
    <w:tbl>
      <w:tblPr>
        <w:tblW w:type="dxa" w:w="9026"/>
        <w:tblBorders>
          <w:top w:val="single" w:color="C8D6CE" w:sz="4"/>
          <w:left w:val="none"/>
          <w:bottom w:val="single" w:color="C8D6CE" w:sz="4"/>
          <w:right w:val="none"/>
          <w:insideH w:val="single" w:color="DCE6E0" w:sz="2"/>
          <w:insideV w:val="none"/>
        </w:tblBorders>
      </w:tblPr>
      <w:tblGrid>
        <w:gridCol w:w="1700"/>
        <w:gridCol w:w="3600"/>
        <w:gridCol w:w="3726"/>
      </w:tblGrid>
      <w:tr>
        <w:trPr>
          <w:tblHeader/>
        </w:trPr>
        <w:tc>
          <w:tcPr>
            <w:tcW w:type="dxa" w:w="17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Piece</w:t>
            </w:r>
          </w:p>
        </w:tc>
        <w:tc>
          <w:tcPr>
            <w:tcW w:type="dxa" w:w="36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From Campus Compass</w:t>
            </w:r>
          </w:p>
        </w:tc>
        <w:tc>
          <w:tcPr>
            <w:tcW w:type="dxa" w:w="37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changes for a field</w:t>
            </w:r>
          </w:p>
        </w:tc>
      </w:tr>
      <w:tr>
        <w:tc>
          <w:tcPr>
            <w:tcW w:type="dxa" w:w="17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Computing split</w:t>
            </w:r>
          </w:p>
        </w:tc>
        <w:tc>
          <w:tcPr>
            <w:tcW w:type="dxa" w:w="36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Raspberry Pi 4 (navigation) + Arduino (motors/sensors)</w:t>
            </w:r>
          </w:p>
        </w:tc>
        <w:tc>
          <w:tcPr>
            <w:tcW w:type="dxa" w:w="37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Unchanged — the same distributed-processing architecture applies outdoors.</w:t>
            </w:r>
          </w:p>
        </w:tc>
      </w:tr>
      <w:tr>
        <w:tc>
          <w:tcPr>
            <w:tcW w:type="dxa" w:w="17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Pathfinding</w:t>
            </w:r>
          </w:p>
        </w:tc>
        <w:tc>
          <w:tcPr>
            <w:tcW w:type="dxa" w:w="36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 search over a mapped indoor route</w:t>
            </w:r>
          </w:p>
        </w:tc>
        <w:tc>
          <w:tcPr>
            <w:tcW w:type="dxa" w:w="37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 still applies, but crop rows and furrows replace corridors and doorways as the path structure.</w:t>
            </w:r>
          </w:p>
        </w:tc>
      </w:tr>
      <w:tr>
        <w:tc>
          <w:tcPr>
            <w:tcW w:type="dxa" w:w="17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Vision</w:t>
            </w:r>
          </w:p>
        </w:tc>
        <w:tc>
          <w:tcPr>
            <w:tcW w:type="dxa" w:w="36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OpenCV lane-tracking (HSV thresholding, perspective warp) for painted campus lanes</w:t>
            </w:r>
          </w:p>
        </w:tc>
        <w:tc>
          <w:tcPr>
            <w:tcW w:type="dxa" w:w="37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same computer-vision techniques get retrained to track crop rows and furrows instead of paint.</w:t>
            </w:r>
          </w:p>
        </w:tc>
      </w:tr>
      <w:tr>
        <w:tc>
          <w:tcPr>
            <w:tcW w:type="dxa" w:w="17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Obstacle avoidance</w:t>
            </w:r>
          </w:p>
        </w:tc>
        <w:tc>
          <w:tcPr>
            <w:tcW w:type="dxa" w:w="36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Ultrasonic sensors, for pedestrians indoors</w:t>
            </w:r>
          </w:p>
        </w:tc>
        <w:tc>
          <w:tcPr>
            <w:tcW w:type="dxa" w:w="37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Same sensors, now watching for livestock and field workers instead of students.</w:t>
            </w:r>
          </w:p>
        </w:tc>
      </w:tr>
      <w:tr>
        <w:tc>
          <w:tcPr>
            <w:tcW w:type="dxa" w:w="17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Sync</w:t>
            </w:r>
          </w:p>
        </w:tc>
        <w:tc>
          <w:tcPr>
            <w:tcW w:type="dxa" w:w="36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MQTT/WebSocket handshake to the kiosk</w:t>
            </w:r>
          </w:p>
        </w:tc>
        <w:tc>
          <w:tcPr>
            <w:tcW w:type="dxa" w:w="37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Unchanged in principle — field range and connectivity gaps are the open question.</w:t>
            </w:r>
          </w:p>
        </w:tc>
      </w:tr>
      <w:tr>
        <w:tc>
          <w:tcPr>
            <w:tcW w:type="dxa" w:w="17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Power</w:t>
            </w:r>
          </w:p>
        </w:tc>
        <w:tc>
          <w:tcPr>
            <w:tcW w:type="dxa" w:w="36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AA batteries, which the team's own documentation flags as failing under motor load</w:t>
            </w:r>
          </w:p>
        </w:tc>
        <w:tc>
          <w:tcPr>
            <w:tcW w:type="dxa" w:w="37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Upgraded to a 12V LiPo pack with solar top-charging — this is a genuine improvement the field version needs and the campus version did not have.</w:t>
            </w:r>
          </w:p>
        </w:tc>
      </w:tr>
    </w:tbl>
    <w:p>
      <w:pPr>
        <w:pStyle w:val="Heading2"/>
        <w:spacing w:after="110" w:before="240"/>
      </w:pPr>
      <w:r>
        <w:rPr>
          <w:rFonts w:ascii="Calibri" w:cs="Calibri" w:eastAsia="Calibri" w:hAnsi="Calibri"/>
          <w:b/>
          <w:bCs/>
          <w:color w:val="2D6A4F"/>
          <w:sz w:val="22"/>
          <w:szCs w:val="22"/>
        </w:rPr>
        <w:t xml:space="preserve">1.3 Attachments — what the rover actually does in a field</w:t>
      </w:r>
    </w:p>
    <w:p>
      <w:pPr>
        <w:pStyle w:val="ListParagraph"/>
        <w:numPr>
          <w:ilvl w:val="0"/>
          <w:numId w:val="2"/>
        </w:numPr>
        <w:spacing w:after="90" w:line="288"/>
      </w:pPr>
      <w:r>
        <w:rPr>
          <w:rFonts w:ascii="Calibri" w:cs="Calibri" w:eastAsia="Calibri" w:hAnsi="Calibri"/>
          <w:b/>
          <w:bCs/>
          <w:color w:val="1A1A1A"/>
          <w:sz w:val="21"/>
          <w:szCs w:val="21"/>
        </w:rPr>
        <w:t xml:space="preserve">An auto-swiveling camera and soil probe. </w:t>
      </w:r>
      <w:r>
        <w:rPr>
          <w:rFonts w:ascii="Calibri" w:cs="Calibri" w:eastAsia="Calibri" w:hAnsi="Calibri"/>
          <w:color w:val="1A1A1A"/>
          <w:sz w:val="21"/>
          <w:szCs w:val="21"/>
        </w:rPr>
        <w:t xml:space="preserve">Feeds photos straight into Part 2's disease model and adds real-time soil moisture, temperature, and pH — turning a farmer's occasional phone photo into a continuous, automated scan of the whole field.</w:t>
      </w:r>
    </w:p>
    <w:p>
      <w:pPr>
        <w:pStyle w:val="ListParagraph"/>
        <w:numPr>
          <w:ilvl w:val="0"/>
          <w:numId w:val="2"/>
        </w:numPr>
        <w:spacing w:after="90" w:line="288"/>
      </w:pPr>
      <w:r>
        <w:rPr>
          <w:rFonts w:ascii="Calibri" w:cs="Calibri" w:eastAsia="Calibri" w:hAnsi="Calibri"/>
          <w:b/>
          <w:bCs/>
          <w:color w:val="1A1A1A"/>
          <w:sz w:val="21"/>
          <w:szCs w:val="21"/>
        </w:rPr>
        <w:t xml:space="preserve">A solar weed trimmer. </w:t>
      </w:r>
      <w:r>
        <w:rPr>
          <w:rFonts w:ascii="Calibri" w:cs="Calibri" w:eastAsia="Calibri" w:hAnsi="Calibri"/>
          <w:color w:val="1A1A1A"/>
          <w:sz w:val="21"/>
          <w:szCs w:val="21"/>
        </w:rPr>
        <w:t xml:space="preserve">Mechanical, not chemical — clears weeds between rows without herbicides.</w:t>
      </w:r>
    </w:p>
    <w:p>
      <w:pPr>
        <w:pStyle w:val="ListParagraph"/>
        <w:numPr>
          <w:ilvl w:val="0"/>
          <w:numId w:val="2"/>
        </w:numPr>
        <w:spacing w:after="90" w:line="288"/>
      </w:pPr>
      <w:r>
        <w:rPr>
          <w:rFonts w:ascii="Calibri" w:cs="Calibri" w:eastAsia="Calibri" w:hAnsi="Calibri"/>
          <w:b/>
          <w:bCs/>
          <w:color w:val="1A1A1A"/>
          <w:sz w:val="21"/>
          <w:szCs w:val="21"/>
        </w:rPr>
        <w:t xml:space="preserve">A seed or fertilizer dispenser tray. </w:t>
      </w:r>
      <w:r>
        <w:rPr>
          <w:rFonts w:ascii="Calibri" w:cs="Calibri" w:eastAsia="Calibri" w:hAnsi="Calibri"/>
          <w:color w:val="1A1A1A"/>
          <w:sz w:val="21"/>
          <w:szCs w:val="21"/>
        </w:rPr>
        <w:t xml:space="preserve">Deposits set quantities along a row, precision-placed rather than broadcast by hand.</w:t>
      </w:r>
    </w:p>
    <w:p>
      <w:pPr>
        <w:pStyle w:val="ListParagraph"/>
        <w:numPr>
          <w:ilvl w:val="0"/>
          <w:numId w:val="2"/>
        </w:numPr>
        <w:spacing w:after="90" w:line="288"/>
      </w:pPr>
      <w:r>
        <w:rPr>
          <w:rFonts w:ascii="Calibri" w:cs="Calibri" w:eastAsia="Calibri" w:hAnsi="Calibri"/>
          <w:b/>
          <w:bCs/>
          <w:color w:val="1A1A1A"/>
          <w:sz w:val="21"/>
          <w:szCs w:val="21"/>
        </w:rPr>
        <w:t xml:space="preserve">A USB speaker. </w:t>
      </w:r>
      <w:r>
        <w:rPr>
          <w:rFonts w:ascii="Calibri" w:cs="Calibri" w:eastAsia="Calibri" w:hAnsi="Calibri"/>
          <w:color w:val="1A1A1A"/>
          <w:sz w:val="21"/>
          <w:szCs w:val="21"/>
        </w:rPr>
        <w:t xml:space="preserve">The same voice-alert idea already used everywhere else in AgriShield — "low soil moisture in Zone 2," "pest risk detected" — spoken on the spot, not just sent as a text later.</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Said honestly</w:t>
            </w:r>
          </w:p>
          <w:p>
            <w:pPr>
              <w:spacing w:after="0" w:line="288"/>
            </w:pPr>
            <w:r>
              <w:rPr>
                <w:rFonts w:ascii="Calibri" w:cs="Calibri" w:eastAsia="Calibri" w:hAnsi="Calibri"/>
                <w:color w:val="1A1A1A"/>
                <w:sz w:val="21"/>
                <w:szCs w:val="21"/>
              </w:rPr>
              <w:t xml:space="preserve">Campus Compass proves the navigation brain works — indoors, on a small mapped demo course. An outdoor field is a much harder environment: mud, slopes, weather, uneven ground, and a much bigger area than a mini-campus board. The row-tracking computer vision, the weatherproofing, and the weeding/seeding attachments are all new engineering, not already-solved problems. This is a genuine multi-year hardware programme, not a weekend build.</w:t>
            </w:r>
          </w:p>
        </w:tc>
      </w:tr>
    </w:tbl>
    <w:p>
      <w:r>
        <w:br w:type="page"/>
      </w:r>
    </w:p>
    <w:p>
      <w:pPr>
        <w:pStyle w:val="Heading1"/>
        <w:pBdr>
          <w:bottom w:val="single" w:color="2D6A4F" w:sz="8" w:space="6"/>
        </w:pBdr>
        <w:spacing w:after="160" w:before="340"/>
      </w:pPr>
      <w:r>
        <w:rPr>
          <w:rFonts w:ascii="Calibri" w:cs="Calibri" w:eastAsia="Calibri" w:hAnsi="Calibri"/>
          <w:b/>
          <w:bCs/>
          <w:color w:val="1B4332"/>
          <w:sz w:val="27"/>
          <w:szCs w:val="27"/>
        </w:rPr>
        <w:t xml:space="preserve">2. A Kuwana-Powered Market &amp; Input Price Engine</w:t>
      </w:r>
    </w:p>
    <w:p>
      <w:pPr>
        <w:spacing w:after="140" w:line="288"/>
      </w:pPr>
      <w:r>
        <w:rPr>
          <w:rFonts w:ascii="Calibri" w:cs="Calibri" w:eastAsia="Calibri" w:hAnsi="Calibri"/>
          <w:color w:val="1A1A1A"/>
          <w:sz w:val="21"/>
          <w:szCs w:val="21"/>
        </w:rPr>
        <w:t xml:space="preserve">Kuwana is a real, working platform (in active development) built around one strict rule that happens to be exactly AgriShield's own rule: explainable AI over generative AI. Its recommendation pipeline never lets a language model invent a number — it looks up real catalog listings first, computes a real score, and only then has the AI explain a decision that was already made from real data. Its own architecture document calls this "compute first, explain second."</w:t>
      </w:r>
    </w:p>
    <w:p>
      <w:pPr>
        <w:pStyle w:val="Heading2"/>
        <w:spacing w:after="110" w:before="240"/>
      </w:pPr>
      <w:r>
        <w:rPr>
          <w:rFonts w:ascii="Calibri" w:cs="Calibri" w:eastAsia="Calibri" w:hAnsi="Calibri"/>
          <w:b/>
          <w:bCs/>
          <w:color w:val="2D6A4F"/>
          <w:sz w:val="22"/>
          <w:szCs w:val="22"/>
        </w:rPr>
        <w:t xml:space="preserve">2.1 What Kuwana actually is</w:t>
      </w:r>
    </w:p>
    <w:p>
      <w:pPr>
        <w:spacing w:after="140" w:line="288"/>
      </w:pPr>
      <w:r>
        <w:rPr>
          <w:rFonts w:ascii="Calibri" w:cs="Calibri" w:eastAsia="Calibri" w:hAnsi="Calibri"/>
          <w:color w:val="1A1A1A"/>
          <w:sz w:val="21"/>
          <w:szCs w:val="21"/>
        </w:rPr>
        <w:t xml:space="preserve">Consumers describe a need in plain language; the system classifies it, looks it up against a real catalog of listings, and returns a recommendation using a Best-Comparison-Index (BCI) — a single score that blends total cost with a quality rating, never cost alone. Providers update their own listings through a simple, low-literacy-friendly wizard. New price data enters either through a provider's own update, or through an automated scrape/social-scan pipeline that only auto-applies a change when it is confident, and queues anything uncertain for a human to check. Bulk-loading a brand-new category of product is deliberately manual and cited: a research prompt forces whoever fills in the price sheet to attach a real source link to every row, with an explicit instruction to skip a row rather than guess.</w:t>
      </w:r>
    </w:p>
    <w:p>
      <w:pPr>
        <w:pStyle w:val="Heading2"/>
        <w:spacing w:after="110" w:before="240"/>
      </w:pPr>
      <w:r>
        <w:rPr>
          <w:rFonts w:ascii="Calibri" w:cs="Calibri" w:eastAsia="Calibri" w:hAnsi="Calibri"/>
          <w:b/>
          <w:bCs/>
          <w:color w:val="2D6A4F"/>
          <w:sz w:val="22"/>
          <w:szCs w:val="22"/>
        </w:rPr>
        <w:t xml:space="preserve">2.2 The AgriShield version</w:t>
      </w:r>
    </w:p>
    <w:p>
      <w:pPr>
        <w:spacing w:after="140" w:line="288"/>
      </w:pPr>
      <w:r>
        <w:rPr>
          <w:rFonts w:ascii="Calibri" w:cs="Calibri" w:eastAsia="Calibri" w:hAnsi="Calibri"/>
          <w:color w:val="1A1A1A"/>
          <w:sz w:val="21"/>
          <w:szCs w:val="21"/>
        </w:rPr>
        <w:t xml:space="preserve">Point this same engine at farm inputs and transport instead of telecom bundles and insurance policies: fertilizer, seed, and solar-kit prices from different suppliers, scored on cost and quality together, not just cost. Kombi and transport fares between a farm and the nearest market or depot, so a farmer can weigh a cheaper price at a further market against the transport cost of reaching it. This becomes the natural, much more capable big brother of AgriShield's own Module 5 (vegetable prices) and Section 14 (the market &amp; hub access layer) — the same idea, powered by a real scoring engine instead of a single flat price list.</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Said honestly</w:t>
            </w:r>
          </w:p>
          <w:p>
            <w:pPr>
              <w:spacing w:after="0" w:line="288"/>
            </w:pPr>
            <w:r>
              <w:rPr>
                <w:rFonts w:ascii="Calibri" w:cs="Calibri" w:eastAsia="Calibri" w:hAnsi="Calibri"/>
                <w:color w:val="1A1A1A"/>
                <w:sz w:val="21"/>
                <w:szCs w:val="21"/>
              </w:rPr>
              <w:t xml:space="preserve">Kuwana's own documentation flags that its live payment feature (Paynow, for mobile-money top-ups) is currently blocked at the payment-provider level, not something AgriShield would inherit as solved. Kuwana is also built for many general consumer sectors, not farming inputs specifically — adapting it means configuring a new sector inside its existing schema-driven catalog, which its own design already supports (a new sector is "a data-configuration act, not a schema migration"), not rebuilding the engine from scratch. That is a genuine head start, not a finished integration.</w:t>
            </w:r>
          </w:p>
        </w:tc>
      </w:tr>
    </w:tbl>
    <w:p>
      <w:r>
        <w:br w:type="page"/>
      </w:r>
    </w:p>
    <w:p>
      <w:pPr>
        <w:pStyle w:val="Heading1"/>
        <w:pBdr>
          <w:bottom w:val="single" w:color="2D6A4F" w:sz="8" w:space="6"/>
        </w:pBdr>
        <w:spacing w:after="160" w:before="340"/>
      </w:pPr>
      <w:r>
        <w:rPr>
          <w:rFonts w:ascii="Calibri" w:cs="Calibri" w:eastAsia="Calibri" w:hAnsi="Calibri"/>
          <w:b/>
          <w:bCs/>
          <w:color w:val="1B4332"/>
          <w:sz w:val="27"/>
          <w:szCs w:val="27"/>
        </w:rPr>
        <w:t xml:space="preserve">3. Everything Else — the Wider Blue Sky</w:t>
      </w:r>
    </w:p>
    <w:p>
      <w:pPr>
        <w:spacing w:after="140" w:line="288"/>
      </w:pPr>
      <w:r>
        <w:rPr>
          <w:rFonts w:ascii="Calibri" w:cs="Calibri" w:eastAsia="Calibri" w:hAnsi="Calibri"/>
          <w:color w:val="1A1A1A"/>
          <w:sz w:val="21"/>
          <w:szCs w:val="21"/>
        </w:rPr>
        <w:t xml:space="preserve">These are more freely sketched — real technologies that exist in the world, adapted here without the same source-by-source discipline as Sections 1 and 2, because the point of this document is to paint the whole picture first.</w:t>
      </w:r>
    </w:p>
    <w:p>
      <w:pPr>
        <w:pStyle w:val="Heading2"/>
        <w:spacing w:after="110" w:before="240"/>
      </w:pPr>
      <w:r>
        <w:rPr>
          <w:rFonts w:ascii="Calibri" w:cs="Calibri" w:eastAsia="Calibri" w:hAnsi="Calibri"/>
          <w:b/>
          <w:bCs/>
          <w:color w:val="2D6A4F"/>
          <w:sz w:val="22"/>
          <w:szCs w:val="22"/>
        </w:rPr>
        <w:t xml:space="preserve">3.1 Black soldier fly waste-to-feed automation</w:t>
      </w:r>
    </w:p>
    <w:p>
      <w:pPr>
        <w:spacing w:after="140" w:line="288"/>
      </w:pPr>
      <w:r>
        <w:rPr>
          <w:rFonts w:ascii="Calibri" w:cs="Calibri" w:eastAsia="Calibri" w:hAnsi="Calibri"/>
          <w:color w:val="1A1A1A"/>
          <w:sz w:val="21"/>
          <w:szCs w:val="21"/>
        </w:rPr>
        <w:t xml:space="preserve">The most natural pairing with a module already on the roadmap: automate the farm-waste-to-livestock-feed guide with a real BSF larvae setup — climate sensors watching temperature and humidity in the breeding chamber, an automated feeding schedule, and larvae harvested into high-protein poultry and fish feed. Crop leftovers stop being a rule-based guide and become an actual production loop.</w:t>
      </w:r>
    </w:p>
    <w:p>
      <w:pPr>
        <w:pStyle w:val="Heading2"/>
        <w:spacing w:after="110" w:before="240"/>
      </w:pPr>
      <w:r>
        <w:rPr>
          <w:rFonts w:ascii="Calibri" w:cs="Calibri" w:eastAsia="Calibri" w:hAnsi="Calibri"/>
          <w:b/>
          <w:bCs/>
          <w:color w:val="2D6A4F"/>
          <w:sz w:val="22"/>
          <w:szCs w:val="22"/>
        </w:rPr>
        <w:t xml:space="preserve">3.2 Controlled-environment and hydroponic monitoring</w:t>
      </w:r>
    </w:p>
    <w:p>
      <w:pPr>
        <w:spacing w:after="140" w:line="288"/>
      </w:pPr>
      <w:r>
        <w:rPr>
          <w:rFonts w:ascii="Calibri" w:cs="Calibri" w:eastAsia="Calibri" w:hAnsi="Calibri"/>
          <w:color w:val="1A1A1A"/>
          <w:sz w:val="21"/>
          <w:szCs w:val="21"/>
        </w:rPr>
        <w:t xml:space="preserve">Extend Part 1's sensor logic — the same temperature/humidity thinking that watches stored food — into a greenhouse or a hydroponic grow chamber: water level, nutrient solution, and temperature, automatically driving a cooling fan or a water pump instead of just alerting a person.</w:t>
      </w:r>
    </w:p>
    <w:p>
      <w:pPr>
        <w:pStyle w:val="Heading2"/>
        <w:spacing w:after="110" w:before="240"/>
      </w:pPr>
      <w:r>
        <w:rPr>
          <w:rFonts w:ascii="Calibri" w:cs="Calibri" w:eastAsia="Calibri" w:hAnsi="Calibri"/>
          <w:b/>
          <w:bCs/>
          <w:color w:val="2D6A4F"/>
          <w:sz w:val="22"/>
          <w:szCs w:val="22"/>
        </w:rPr>
        <w:t xml:space="preserve">3.3 Electric farm equipment tracking</w:t>
      </w:r>
    </w:p>
    <w:p>
      <w:pPr>
        <w:spacing w:after="140" w:line="288"/>
      </w:pPr>
      <w:r>
        <w:rPr>
          <w:rFonts w:ascii="Calibri" w:cs="Calibri" w:eastAsia="Calibri" w:hAnsi="Calibri"/>
          <w:color w:val="1A1A1A"/>
          <w:sz w:val="21"/>
          <w:szCs w:val="21"/>
        </w:rPr>
        <w:t xml:space="preserve">IoT battery-health and charge-cycle monitoring for electric tillers and power weeders, plus simple tilling-progress tracking across a field — a small, cheap sensor add-on to equipment that is becoming more common on its own.</w:t>
      </w:r>
    </w:p>
    <w:p>
      <w:pPr>
        <w:pStyle w:val="Heading2"/>
        <w:spacing w:after="110" w:before="240"/>
      </w:pPr>
      <w:r>
        <w:rPr>
          <w:rFonts w:ascii="Calibri" w:cs="Calibri" w:eastAsia="Calibri" w:hAnsi="Calibri"/>
          <w:b/>
          <w:bCs/>
          <w:color w:val="2D6A4F"/>
          <w:sz w:val="22"/>
          <w:szCs w:val="22"/>
        </w:rPr>
        <w:t xml:space="preserve">3.4 Smart aquaculture</w:t>
      </w:r>
    </w:p>
    <w:p>
      <w:pPr>
        <w:spacing w:after="140" w:line="288"/>
      </w:pPr>
      <w:r>
        <w:rPr>
          <w:rFonts w:ascii="Calibri" w:cs="Calibri" w:eastAsia="Calibri" w:hAnsi="Calibri"/>
          <w:color w:val="1A1A1A"/>
          <w:sz w:val="21"/>
          <w:szCs w:val="21"/>
        </w:rPr>
        <w:t xml:space="preserve">pH, water temperature, and dissolved oxygen sensors in a fish or shrimp pond, tied to an automated, scheduled feeder — the same "sensor plus alert plus action" shape as everything else in AgriShield, applied to a different kind of farming.</w:t>
      </w:r>
    </w:p>
    <w:p>
      <w:pPr>
        <w:pStyle w:val="Heading2"/>
        <w:spacing w:after="110" w:before="240"/>
      </w:pPr>
      <w:r>
        <w:rPr>
          <w:rFonts w:ascii="Calibri" w:cs="Calibri" w:eastAsia="Calibri" w:hAnsi="Calibri"/>
          <w:b/>
          <w:bCs/>
          <w:color w:val="2D6A4F"/>
          <w:sz w:val="22"/>
          <w:szCs w:val="22"/>
        </w:rPr>
        <w:t xml:space="preserve">3.5 Solar electric-fence protection</w:t>
      </w:r>
    </w:p>
    <w:p>
      <w:pPr>
        <w:spacing w:after="140" w:line="288"/>
      </w:pPr>
      <w:r>
        <w:rPr>
          <w:rFonts w:ascii="Calibri" w:cs="Calibri" w:eastAsia="Calibri" w:hAnsi="Calibri"/>
          <w:color w:val="1A1A1A"/>
          <w:sz w:val="21"/>
          <w:szCs w:val="21"/>
        </w:rPr>
        <w:t xml:space="preserve">A cheap, solar-powered sensor on a perimeter fence that detects a voltage drop, a wire fault, or a breach, and sends the same kind of voice call or text alert as every other AgriShield warning — protecting a field the same way Part 1 protects stored food.</w:t>
      </w:r>
    </w:p>
    <w:p>
      <w:r>
        <w:br w:type="page"/>
      </w:r>
    </w:p>
    <w:p>
      <w:pPr>
        <w:pStyle w:val="Heading1"/>
        <w:pBdr>
          <w:bottom w:val="single" w:color="2D6A4F" w:sz="8" w:space="6"/>
        </w:pBdr>
        <w:spacing w:after="160" w:before="340"/>
      </w:pPr>
      <w:r>
        <w:rPr>
          <w:rFonts w:ascii="Calibri" w:cs="Calibri" w:eastAsia="Calibri" w:hAnsi="Calibri"/>
          <w:b/>
          <w:bCs/>
          <w:color w:val="1B4332"/>
          <w:sz w:val="27"/>
          <w:szCs w:val="27"/>
        </w:rPr>
        <w:t xml:space="preserve">4. Going All-In on Solar</w:t>
      </w:r>
    </w:p>
    <w:p>
      <w:pPr>
        <w:spacing w:after="140" w:line="288"/>
      </w:pPr>
      <w:r>
        <w:rPr>
          <w:rFonts w:ascii="Calibri" w:cs="Calibri" w:eastAsia="Calibri" w:hAnsi="Calibri"/>
          <w:color w:val="1A1A1A"/>
          <w:sz w:val="21"/>
          <w:szCs w:val="21"/>
        </w:rPr>
        <w:t xml:space="preserve">Solar already runs Part 1's sensor box. This section asks one question across the whole document: what if solar power were pushed into every hardware piece above, not just the one it already runs? Some of this repeats an idea already sketched elsewhere in this document — that repetition is the point, since it shows the same power source threading through every layer of AgriShield, not just one part of it.</w:t>
      </w:r>
    </w:p>
    <w:p>
      <w:pPr>
        <w:pStyle w:val="Heading2"/>
        <w:spacing w:after="110" w:before="240"/>
      </w:pPr>
      <w:r>
        <w:rPr>
          <w:rFonts w:ascii="Calibri" w:cs="Calibri" w:eastAsia="Calibri" w:hAnsi="Calibri"/>
          <w:b/>
          <w:bCs/>
          <w:color w:val="2D6A4F"/>
          <w:sz w:val="22"/>
          <w:szCs w:val="22"/>
        </w:rPr>
        <w:t xml:space="preserve">4.1 Scaling the cold-storage idea further</w:t>
      </w:r>
    </w:p>
    <w:p>
      <w:pPr>
        <w:pStyle w:val="ListParagraph"/>
        <w:numPr>
          <w:ilvl w:val="0"/>
          <w:numId w:val="2"/>
        </w:numPr>
        <w:spacing w:after="90" w:line="288"/>
      </w:pPr>
      <w:r>
        <w:rPr>
          <w:rFonts w:ascii="Calibri" w:cs="Calibri" w:eastAsia="Calibri" w:hAnsi="Calibri"/>
          <w:b/>
          <w:bCs/>
          <w:color w:val="1A1A1A"/>
          <w:sz w:val="21"/>
          <w:szCs w:val="21"/>
        </w:rPr>
        <w:t xml:space="preserve">A solar-run communal cold room. </w:t>
      </w:r>
      <w:r>
        <w:rPr>
          <w:rFonts w:ascii="Calibri" w:cs="Calibri" w:eastAsia="Calibri" w:hAnsi="Calibri"/>
          <w:color w:val="1A1A1A"/>
          <w:sz w:val="21"/>
          <w:szCs w:val="21"/>
        </w:rPr>
        <w:t xml:space="preserve">The same sensors that watch a passive zeer cooler in Part 1 could, at real scale, regulate a solar inverter, a battery bank, and the temperature controls of an actual walk-in solar cold room at a depot — modeled on ColdHubs and SoKo Fresh, the same two real companies already cited as evidence in the main proposal. This is the "Section 13" real cold room, described one layer more specifically: not just solar-powered, but managed by AgriShield's own sensors.</w:t>
      </w:r>
    </w:p>
    <w:p>
      <w:pPr>
        <w:pStyle w:val="ListParagraph"/>
        <w:numPr>
          <w:ilvl w:val="0"/>
          <w:numId w:val="2"/>
        </w:numPr>
        <w:spacing w:after="90" w:line="288"/>
      </w:pPr>
      <w:r>
        <w:rPr>
          <w:rFonts w:ascii="Calibri" w:cs="Calibri" w:eastAsia="Calibri" w:hAnsi="Calibri"/>
          <w:b/>
          <w:bCs/>
          <w:color w:val="1A1A1A"/>
          <w:sz w:val="21"/>
          <w:szCs w:val="21"/>
        </w:rPr>
        <w:t xml:space="preserve">A tiny solar-boosted fan for the zeer cooler itself. </w:t>
      </w:r>
      <w:r>
        <w:rPr>
          <w:rFonts w:ascii="Calibri" w:cs="Calibri" w:eastAsia="Calibri" w:hAnsi="Calibri"/>
          <w:color w:val="1A1A1A"/>
          <w:sz w:val="21"/>
          <w:szCs w:val="21"/>
        </w:rPr>
        <w:t xml:space="preserve">A small 5V solar panel driving a mini exhaust fan on the existing pot-in-pot cooler, pulling evaporation along faster — a cheap, incremental upgrade to a device that already needs no electricity at all, rather than a replacement for it.</w:t>
      </w:r>
    </w:p>
    <w:p>
      <w:pPr>
        <w:pStyle w:val="Heading2"/>
        <w:spacing w:after="110" w:before="240"/>
      </w:pPr>
      <w:r>
        <w:rPr>
          <w:rFonts w:ascii="Calibri" w:cs="Calibri" w:eastAsia="Calibri" w:hAnsi="Calibri"/>
          <w:b/>
          <w:bCs/>
          <w:color w:val="2D6A4F"/>
          <w:sz w:val="22"/>
          <w:szCs w:val="22"/>
        </w:rPr>
        <w:t xml:space="preserve">4.2 The Agri-Rover, solar end to end</w:t>
      </w:r>
    </w:p>
    <w:p>
      <w:pPr>
        <w:spacing w:after="140" w:line="288"/>
      </w:pPr>
      <w:r>
        <w:rPr>
          <w:rFonts w:ascii="Calibri" w:cs="Calibri" w:eastAsia="Calibri" w:hAnsi="Calibri"/>
          <w:color w:val="1A1A1A"/>
          <w:sz w:val="21"/>
          <w:szCs w:val="21"/>
        </w:rPr>
        <w:t xml:space="preserve">Section 1 already gives the Agri-Rover a top-mounted solar panel and a LiPo pack to fix Campus Compass's battery-sag problem. The other half of that same idea is the depot kiosk itself: a solar-powered charging garage, so the rover docks, charges, and redeploys on scheduled runs without ever touching mains power, the same way the kiosk's own screen and sensors would run on solar too.</w:t>
      </w:r>
    </w:p>
    <w:p>
      <w:pPr>
        <w:pStyle w:val="Heading2"/>
        <w:spacing w:after="110" w:before="240"/>
      </w:pPr>
      <w:r>
        <w:rPr>
          <w:rFonts w:ascii="Calibri" w:cs="Calibri" w:eastAsia="Calibri" w:hAnsi="Calibri"/>
          <w:b/>
          <w:bCs/>
          <w:color w:val="2D6A4F"/>
          <w:sz w:val="22"/>
          <w:szCs w:val="22"/>
        </w:rPr>
        <w:t xml:space="preserve">4.3 Solar-powered mechanization</w:t>
      </w:r>
    </w:p>
    <w:p>
      <w:pPr>
        <w:spacing w:after="140" w:line="288"/>
      </w:pPr>
      <w:r>
        <w:rPr>
          <w:rFonts w:ascii="Calibri" w:cs="Calibri" w:eastAsia="Calibri" w:hAnsi="Calibri"/>
          <w:color w:val="1A1A1A"/>
          <w:sz w:val="21"/>
          <w:szCs w:val="21"/>
        </w:rPr>
        <w:t xml:space="preserve">The weed trimmer and seed/fertilizer dispenser already sketched as rover attachments in Section 1.3 are, by the same logic, solar-powered tools in their own right — a solar variable-head weed cutter and a solar seed sprayer could just as easily run standalone, mounted on a simple push-frame, for a farm that never builds the full rover. Electric tillers and power weeders plug into the same idea from the other side: a solar charging hub at the depot tracks their battery health and charge cycles, the same way Section 3.3 already describes, powered the same way as everything else.</w:t>
      </w:r>
    </w:p>
    <w:p>
      <w:pPr>
        <w:pStyle w:val="Heading2"/>
        <w:spacing w:after="110" w:before="240"/>
      </w:pPr>
      <w:r>
        <w:rPr>
          <w:rFonts w:ascii="Calibri" w:cs="Calibri" w:eastAsia="Calibri" w:hAnsi="Calibri"/>
          <w:b/>
          <w:bCs/>
          <w:color w:val="2D6A4F"/>
          <w:sz w:val="22"/>
          <w:szCs w:val="22"/>
        </w:rPr>
        <w:t xml:space="preserve">4.4 Solar electric-fence protection</w:t>
      </w:r>
    </w:p>
    <w:p>
      <w:pPr>
        <w:spacing w:after="140" w:line="288"/>
      </w:pPr>
      <w:r>
        <w:rPr>
          <w:rFonts w:ascii="Calibri" w:cs="Calibri" w:eastAsia="Calibri" w:hAnsi="Calibri"/>
          <w:color w:val="1A1A1A"/>
          <w:sz w:val="21"/>
          <w:szCs w:val="21"/>
        </w:rPr>
        <w:t xml:space="preserve">Section 3.5 already describes this: a solar-powered sensor on a perimeter fence, watching for a voltage drop, a wire fault, or a breach, and sending the same voice or text alert as every other AgriShield warning. It belongs here too, because it is one more real example of the same pattern — solar power, a sensor, and an honest alert.</w:t>
      </w:r>
    </w:p>
    <w:p>
      <w:pPr>
        <w:pStyle w:val="Heading2"/>
        <w:spacing w:after="110" w:before="240"/>
      </w:pPr>
      <w:r>
        <w:rPr>
          <w:rFonts w:ascii="Calibri" w:cs="Calibri" w:eastAsia="Calibri" w:hAnsi="Calibri"/>
          <w:b/>
          <w:bCs/>
          <w:color w:val="2D6A4F"/>
          <w:sz w:val="22"/>
          <w:szCs w:val="22"/>
        </w:rPr>
        <w:t xml:space="preserve">4.5 Solar hydroponics and greenhouse automation</w:t>
      </w:r>
    </w:p>
    <w:p>
      <w:pPr>
        <w:spacing w:after="140" w:line="288"/>
      </w:pPr>
      <w:r>
        <w:rPr>
          <w:rFonts w:ascii="Calibri" w:cs="Calibri" w:eastAsia="Calibri" w:hAnsi="Calibri"/>
          <w:color w:val="1A1A1A"/>
          <w:sz w:val="21"/>
          <w:szCs w:val="21"/>
        </w:rPr>
        <w:t xml:space="preserve">Section 3.2's hydroponic and greenhouse monitoring idea, powered specifically by solar: a dedicated panel and battery running the LED grow lights, the nutrient-circulation pump, the water-level sensor, and a cooling fan in a multi-layer grow tent, or driving ventilation fans and shade cloths in a greenhouse tunnel automatically, based on the same kind of temperature and humidity reading Part 1 already takes.</w:t>
      </w:r>
    </w:p>
    <w:p>
      <w:pPr>
        <w:pStyle w:val="Heading2"/>
        <w:spacing w:after="110" w:before="240"/>
      </w:pPr>
      <w:r>
        <w:rPr>
          <w:rFonts w:ascii="Calibri" w:cs="Calibri" w:eastAsia="Calibri" w:hAnsi="Calibri"/>
          <w:b/>
          <w:bCs/>
          <w:color w:val="2D6A4F"/>
          <w:sz w:val="22"/>
          <w:szCs w:val="22"/>
        </w:rPr>
        <w:t xml:space="preserve">4.6 Solar drip irrigation</w:t>
      </w:r>
    </w:p>
    <w:p>
      <w:pPr>
        <w:spacing w:after="140" w:line="288"/>
      </w:pPr>
      <w:r>
        <w:rPr>
          <w:rFonts w:ascii="Calibri" w:cs="Calibri" w:eastAsia="Calibri" w:hAnsi="Calibri"/>
          <w:color w:val="1A1A1A"/>
          <w:sz w:val="21"/>
          <w:szCs w:val="21"/>
        </w:rPr>
        <w:t xml:space="preserve">The one genuinely new idea in this section: connect a soil-moisture sensor directly to a solar-powered water pump and an automated valve, so the system starts drip irrigation the moment soil moisture drops and stops it once the soil is back to a good level. Solar water pumping for drip irrigation is a real, established technique in off-grid farming, and the water-saving principle behind it — only ever irrigating exactly as much as the soil needs — is the same idea already driving Part 1's shelf-life logic: measure the real thing, act on the real number, not a fixed schedule.</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Why this matters beyond the technology</w:t>
            </w:r>
          </w:p>
          <w:p>
            <w:pPr>
              <w:spacing w:after="0" w:line="288"/>
            </w:pPr>
            <w:r>
              <w:rPr>
                <w:rFonts w:ascii="Calibri" w:cs="Calibri" w:eastAsia="Calibri" w:hAnsi="Calibri"/>
                <w:color w:val="1A1A1A"/>
                <w:sz w:val="21"/>
                <w:szCs w:val="21"/>
              </w:rPr>
              <w:t xml:space="preserve">A solar theme across every hardware piece in AgriShield lines up with UN Sustainable Development Goal 7, Clean Energy — already one of the smaller goals named in the main proposal, now a much bigger part of the story. It also speaks directly to a "Smart Communities, Green Technologies, and Renewable Energy" theme, if that is a track or sub-theme AgriShield is presented against — worth double-checking the exact wording of that theme before quoting it back verbatim in a pitch.</w:t>
            </w:r>
          </w:p>
        </w:tc>
      </w:tr>
    </w:tbl>
    <w:p>
      <w:r>
        <w:br w:type="page"/>
      </w:r>
    </w:p>
    <w:p>
      <w:pPr>
        <w:pStyle w:val="Heading1"/>
        <w:pBdr>
          <w:bottom w:val="single" w:color="2D6A4F" w:sz="8" w:space="6"/>
        </w:pBdr>
        <w:spacing w:after="160" w:before="340"/>
      </w:pPr>
      <w:r>
        <w:rPr>
          <w:rFonts w:ascii="Calibri" w:cs="Calibri" w:eastAsia="Calibri" w:hAnsi="Calibri"/>
          <w:b/>
          <w:bCs/>
          <w:color w:val="1B4332"/>
          <w:sz w:val="27"/>
          <w:szCs w:val="27"/>
        </w:rPr>
        <w:t xml:space="preserve">5. Taking the Satellite Layer Further</w:t>
      </w:r>
    </w:p>
    <w:p>
      <w:pPr>
        <w:spacing w:after="140" w:line="288"/>
      </w:pPr>
      <w:r>
        <w:rPr>
          <w:rFonts w:ascii="Calibri" w:cs="Calibri" w:eastAsia="Calibri" w:hAnsi="Calibri"/>
          <w:color w:val="1A1A1A"/>
          <w:sz w:val="21"/>
          <w:szCs w:val="21"/>
        </w:rPr>
        <w:t xml:space="preserve">Part 3's baseline is Sentinel-2: free, 10-metre pixels, a new picture roughly every five days if a cloud isn't in the way. That is genuinely useful for a district-wide early signal, but it stops well short of what a single field could use. Here is the real upgrade path, and where the honest limits of that path sit.</w:t>
      </w:r>
    </w:p>
    <w:p>
      <w:pPr>
        <w:pStyle w:val="Heading2"/>
        <w:spacing w:after="110" w:before="240"/>
      </w:pPr>
      <w:r>
        <w:rPr>
          <w:rFonts w:ascii="Calibri" w:cs="Calibri" w:eastAsia="Calibri" w:hAnsi="Calibri"/>
          <w:b/>
          <w:bCs/>
          <w:color w:val="2D6A4F"/>
          <w:sz w:val="22"/>
          <w:szCs w:val="22"/>
        </w:rPr>
        <w:t xml:space="preserve">5.1 Sharper, faster pictures — at a real cost</w:t>
      </w:r>
    </w:p>
    <w:p>
      <w:pPr>
        <w:spacing w:after="140" w:line="288"/>
      </w:pPr>
      <w:r>
        <w:rPr>
          <w:rFonts w:ascii="Calibri" w:cs="Calibri" w:eastAsia="Calibri" w:hAnsi="Calibri"/>
          <w:color w:val="1A1A1A"/>
          <w:sz w:val="21"/>
          <w:szCs w:val="21"/>
        </w:rPr>
        <w:t xml:space="preserve">PlanetScope, checked directly, is a real satellite imagery product: 3-metre pixels, and daily global coverage — Planet's own description is that its satellites pass over the entire land surface of the Earth every day. That is a genuine jump from district-level trends to field-level detail: single anomalous patches, row-by-row health, far fewer days lost to cloud. The honest catch is the one Sentinel-2 does not have: PlanetScope is a commercial, paid product, not a free one — the exact opposite trade-off to the free-but-coarser imagery Part 3 already uses. Moving to it is a real cost decision, not just a technical upgrade, and would only make sense once Part 3's free version has already proven the idea is worth paying for.</w:t>
      </w:r>
    </w:p>
    <w:p>
      <w:pPr>
        <w:pStyle w:val="Heading2"/>
        <w:spacing w:after="110" w:before="240"/>
      </w:pPr>
      <w:r>
        <w:rPr>
          <w:rFonts w:ascii="Calibri" w:cs="Calibri" w:eastAsia="Calibri" w:hAnsi="Calibri"/>
          <w:b/>
          <w:bCs/>
          <w:color w:val="2D6A4F"/>
          <w:sz w:val="22"/>
          <w:szCs w:val="22"/>
        </w:rPr>
        <w:t xml:space="preserve">5.2 Seeing more than one kind of stress</w:t>
      </w:r>
    </w:p>
    <w:p>
      <w:pPr>
        <w:spacing w:after="140" w:line="288"/>
      </w:pPr>
      <w:r>
        <w:rPr>
          <w:rFonts w:ascii="Calibri" w:cs="Calibri" w:eastAsia="Calibri" w:hAnsi="Calibri"/>
          <w:color w:val="1A1A1A"/>
          <w:sz w:val="21"/>
          <w:szCs w:val="21"/>
        </w:rPr>
        <w:t xml:space="preserve">Part 3 currently looks for one general stress signal. Remote-sensing science actually has several standard, well-established index calculations, each looking for something different from the same satellite picture: NDVI for overall plant vigor and biomass, NDMI for how much water a crop is holding — an early warning before a plant visibly wilts, NDRE and MSAVI for chlorophyll and early nitrogen shortage, particularly useful early in a season when a lot of bare soil confuses a plain NDVI reading, and thermal/infrared bands for heat and micro-climate moisture patterns a normal picture can't show. None of these are new inventions — they are standard tools in agricultural remote sensing — and adding them turns Part 3 from "something looks off here" into "here specifically is a water problem, and here specifically is a nitrogen problem."</w:t>
      </w:r>
    </w:p>
    <w:p>
      <w:pPr>
        <w:pStyle w:val="Heading2"/>
        <w:spacing w:after="110" w:before="240"/>
      </w:pPr>
      <w:r>
        <w:rPr>
          <w:rFonts w:ascii="Calibri" w:cs="Calibri" w:eastAsia="Calibri" w:hAnsi="Calibri"/>
          <w:b/>
          <w:bCs/>
          <w:color w:val="2D6A4F"/>
          <w:sz w:val="22"/>
          <w:szCs w:val="22"/>
        </w:rPr>
        <w:t xml:space="preserve">5.3 Turning a map into an instruction</w:t>
      </w:r>
    </w:p>
    <w:p>
      <w:pPr>
        <w:spacing w:after="140" w:line="288"/>
      </w:pPr>
      <w:r>
        <w:rPr>
          <w:rFonts w:ascii="Calibri" w:cs="Calibri" w:eastAsia="Calibri" w:hAnsi="Calibri"/>
          <w:color w:val="1A1A1A"/>
          <w:sz w:val="21"/>
          <w:szCs w:val="21"/>
        </w:rPr>
        <w:t xml:space="preserve">Once a district map shows exactly where the stress is and roughly what kind, that map can drive an actual application map: telling a farmer, or an automated spreader, to put fertilizer only where the satellite data shows real nutrient uptake is low, or to spray pesticide only over a mapped pest zone rather than a whole field. This is a real, established idea in commercial precision agriculture (usually called variable-rate application). The specific savings figures often quoted for this — cutting fertilizer cost by a given percentage, or shrinking the sprayed area by a given percentage — were not confirmed from a primary source this session, so treat any specific number here as an industry-reported claim to verify, not a fact to repeat, the same discipline this project has held to every other unverified figure.</w:t>
      </w:r>
    </w:p>
    <w:p>
      <w:pPr>
        <w:pStyle w:val="Heading2"/>
        <w:spacing w:after="110" w:before="240"/>
      </w:pPr>
      <w:r>
        <w:rPr>
          <w:rFonts w:ascii="Calibri" w:cs="Calibri" w:eastAsia="Calibri" w:hAnsi="Calibri"/>
          <w:b/>
          <w:bCs/>
          <w:color w:val="2D6A4F"/>
          <w:sz w:val="22"/>
          <w:szCs w:val="22"/>
        </w:rPr>
        <w:t xml:space="preserve">5.4 A remote first opinion after a disaster</w:t>
      </w:r>
    </w:p>
    <w:p>
      <w:pPr>
        <w:spacing w:after="140" w:line="288"/>
      </w:pPr>
      <w:r>
        <w:rPr>
          <w:rFonts w:ascii="Calibri" w:cs="Calibri" w:eastAsia="Calibri" w:hAnsi="Calibri"/>
          <w:color w:val="1A1A1A"/>
          <w:sz w:val="21"/>
          <w:szCs w:val="21"/>
        </w:rPr>
        <w:t xml:space="preserve">Comparing a district's satellite index before and after a flood, hail storm, or severe drought gives a rough, remote estimate of how much damage a field actually took — a real, plausible use of the same data Part 3 already pulls. This could genuinely support faster insurance or relief claims than waiting for an in-person field visit. A specific multiple for how much faster claims move was not confirmed from a primary source and should be treated the same way as the figures in Section 5.3 — a claim to check, not a number to quote.</w:t>
      </w:r>
    </w:p>
    <w:p>
      <w:pPr>
        <w:pStyle w:val="Heading2"/>
        <w:spacing w:after="110" w:before="240"/>
      </w:pPr>
      <w:r>
        <w:rPr>
          <w:rFonts w:ascii="Calibri" w:cs="Calibri" w:eastAsia="Calibri" w:hAnsi="Calibri"/>
          <w:b/>
          <w:bCs/>
          <w:color w:val="2D6A4F"/>
          <w:sz w:val="22"/>
          <w:szCs w:val="22"/>
        </w:rPr>
        <w:t xml:space="preserve">5.5 Yield forecasting and carbon markets — real fields, long horizons</w:t>
      </w:r>
    </w:p>
    <w:p>
      <w:pPr>
        <w:spacing w:after="140" w:line="288"/>
      </w:pPr>
      <w:r>
        <w:rPr>
          <w:rFonts w:ascii="Calibri" w:cs="Calibri" w:eastAsia="Calibri" w:hAnsi="Calibri"/>
          <w:color w:val="1A1A1A"/>
          <w:sz w:val="21"/>
          <w:szCs w:val="21"/>
        </w:rPr>
        <w:t xml:space="preserve">Combining several seasons of satellite data with a trained model to forecast a harvest before it happens, and using the same kind of remote data to verify soil-carbon or cover-cropping claims for a carbon-credit market, are both real, active fields of research and commercial practice. Both need something AgriShield does not have yet: multiple real seasons of local data to train or verify against. These belong on the multi-year end of the roadmap, not the next build.</w:t>
      </w:r>
    </w:p>
    <w:p>
      <w:pPr>
        <w:pStyle w:val="Heading1"/>
        <w:pBdr>
          <w:bottom w:val="single" w:color="2D6A4F" w:sz="8" w:space="6"/>
        </w:pBdr>
        <w:spacing w:after="160" w:before="340"/>
      </w:pPr>
      <w:r>
        <w:rPr>
          <w:rFonts w:ascii="Calibri" w:cs="Calibri" w:eastAsia="Calibri" w:hAnsi="Calibri"/>
          <w:b/>
          <w:bCs/>
          <w:color w:val="1B4332"/>
          <w:sz w:val="27"/>
          <w:szCs w:val="27"/>
        </w:rPr>
        <w:t xml:space="preserve">6. One Unified Architecture — Every Piece, Talking to Every Other Piece</w:t>
      </w:r>
    </w:p>
    <w:p>
      <w:pPr>
        <w:spacing w:after="140" w:line="288"/>
      </w:pPr>
      <w:r>
        <w:rPr>
          <w:rFonts w:ascii="Calibri" w:cs="Calibri" w:eastAsia="Calibri" w:hAnsi="Calibri"/>
          <w:color w:val="1A1A1A"/>
          <w:sz w:val="21"/>
          <w:szCs w:val="21"/>
        </w:rPr>
        <w:t xml:space="preserve">Everything sketched so far in this document — the Agri-Rover, the Kuwana-powered price engine, the waste-to-feed and hydroponic and aquaculture sensors, solar power, and the upgraded satellite layer — does not have to stay separate. All of it can sit on one shared backend, so a signal from any one piece can trigger action in any other. This section describes what that single system would look like, and how a farmer would actually experience it.</w:t>
      </w:r>
    </w:p>
    <w:p>
      <w:pPr>
        <w:pStyle w:val="Heading2"/>
        <w:spacing w:after="110" w:before="240"/>
      </w:pPr>
      <w:r>
        <w:rPr>
          <w:rFonts w:ascii="Calibri" w:cs="Calibri" w:eastAsia="Calibri" w:hAnsi="Calibri"/>
          <w:b/>
          <w:bCs/>
          <w:color w:val="2D6A4F"/>
          <w:sz w:val="22"/>
          <w:szCs w:val="22"/>
        </w:rPr>
        <w:t xml:space="preserve">6.1 The five layers, and what sits in each one</w:t>
      </w:r>
    </w:p>
    <w:tbl>
      <w:tblPr>
        <w:tblW w:type="dxa" w:w="9026"/>
        <w:tblBorders>
          <w:top w:val="single" w:color="C8D6CE" w:sz="4"/>
          <w:left w:val="none"/>
          <w:bottom w:val="single" w:color="C8D6CE" w:sz="4"/>
          <w:right w:val="none"/>
          <w:insideH w:val="single" w:color="DCE6E0" w:sz="2"/>
          <w:insideV w:val="none"/>
        </w:tblBorders>
      </w:tblPr>
      <w:tblGrid>
        <w:gridCol w:w="1800"/>
        <w:gridCol w:w="3000"/>
        <w:gridCol w:w="4226"/>
      </w:tblGrid>
      <w:tr>
        <w:trPr>
          <w:tblHeader/>
        </w:trPr>
        <w:tc>
          <w:tcPr>
            <w:tcW w:type="dxa" w:w="18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Layer</w:t>
            </w:r>
          </w:p>
        </w:tc>
        <w:tc>
          <w:tcPr>
            <w:tcW w:type="dxa" w:w="30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it is</w:t>
            </w:r>
          </w:p>
        </w:tc>
        <w:tc>
          <w:tcPr>
            <w:tcW w:type="dxa" w:w="42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runs there</w:t>
            </w:r>
          </w:p>
        </w:tc>
      </w:tr>
      <w:tr>
        <w:tc>
          <w:tcPr>
            <w:tcW w:type="dxa" w:w="1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1. Central brain</w:t>
            </w:r>
          </w:p>
        </w:tc>
        <w:tc>
          <w:tcPr>
            <w:tcW w:type="dxa" w:w="30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shared backend everything else reports to and takes instructions from</w:t>
            </w:r>
          </w:p>
        </w:tc>
        <w:tc>
          <w:tcPr>
            <w:tcW w:type="dxa" w:w="42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 Python (FastAPI) server and database, the Kuwana pricing/scoring engine, and Africa's Talking for SMS/USSD/voice alerts to farmers with no smartphone or data plan</w:t>
            </w:r>
          </w:p>
        </w:tc>
      </w:tr>
      <w:tr>
        <w:tc>
          <w:tcPr>
            <w:tcW w:type="dxa" w:w="18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2. Depot kiosk</w:t>
            </w:r>
          </w:p>
        </w:tc>
        <w:tc>
          <w:tcPr>
            <w:tcW w:type="dxa" w:w="30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 stationary touchscreen at a farm or community collection point</w:t>
            </w:r>
          </w:p>
        </w:tc>
        <w:tc>
          <w:tcPr>
            <w:tcW w:type="dxa" w:w="42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Campus Compass's kiosk concept, repurposed to show shelf-life counts, satellite maps, weather, and prices, plus a docking garage for the rover</w:t>
            </w:r>
          </w:p>
        </w:tc>
      </w:tr>
      <w:tr>
        <w:tc>
          <w:tcPr>
            <w:tcW w:type="dxa" w:w="1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3. Agri-Rover</w:t>
            </w:r>
          </w:p>
        </w:tc>
        <w:tc>
          <w:tcPr>
            <w:tcW w:type="dxa" w:w="30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mobile field robot from Section 1</w:t>
            </w:r>
          </w:p>
        </w:tc>
        <w:tc>
          <w:tcPr>
            <w:tcW w:type="dxa" w:w="42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Raspberry Pi 4 + Arduino, A* pathfinding, row-tracking cameras, and its disease-camera/weeder/seeder attachments</w:t>
            </w:r>
          </w:p>
        </w:tc>
      </w:tr>
      <w:tr>
        <w:tc>
          <w:tcPr>
            <w:tcW w:type="dxa" w:w="18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4. Field &amp; storage sensors</w:t>
            </w:r>
          </w:p>
        </w:tc>
        <w:tc>
          <w:tcPr>
            <w:tcW w:type="dxa" w:w="30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Everything fixed in place, out in the field or in a shed</w:t>
            </w:r>
          </w:p>
        </w:tc>
        <w:tc>
          <w:tcPr>
            <w:tcW w:type="dxa" w:w="42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Storage heat/damp/CO2 sensors (Part 1), soil-moisture irrigation triggers, hydroponic/greenhouse controls, BSF waste-to-feed chamber sensors, aquaculture pond sensors, and the electric-fence monitor</w:t>
            </w:r>
          </w:p>
        </w:tc>
      </w:tr>
      <w:tr>
        <w:tc>
          <w:tcPr>
            <w:tcW w:type="dxa" w:w="1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5. Aerial &amp; satellite</w:t>
            </w:r>
          </w:p>
        </w:tc>
        <w:tc>
          <w:tcPr>
            <w:tcW w:type="dxa" w:w="30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Everything looking down from above</w:t>
            </w:r>
          </w:p>
        </w:tc>
        <w:tc>
          <w:tcPr>
            <w:tcW w:type="dxa" w:w="42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Sentinel-2 and PlanetScope imagery (Section 5) feeding the multi-index maps, plus, as a further-out idea, agricultural drones for spot-spraying and aerial seeding</w:t>
            </w:r>
          </w:p>
        </w:tc>
      </w:tr>
    </w:tbl>
    <w:p>
      <w:pPr>
        <w:pStyle w:val="Heading2"/>
        <w:spacing w:after="110" w:before="240"/>
      </w:pPr>
      <w:r>
        <w:rPr>
          <w:rFonts w:ascii="Calibri" w:cs="Calibri" w:eastAsia="Calibri" w:hAnsi="Calibri"/>
          <w:b/>
          <w:bCs/>
          <w:color w:val="2D6A4F"/>
          <w:sz w:val="22"/>
          <w:szCs w:val="22"/>
        </w:rPr>
        <w:t xml:space="preserve">6.2 How the pieces would actually talk to each other</w:t>
      </w:r>
    </w:p>
    <w:p>
      <w:pPr>
        <w:spacing w:after="140" w:line="288"/>
      </w:pPr>
      <w:r>
        <w:rPr>
          <w:rFonts w:ascii="Calibri" w:cs="Calibri" w:eastAsia="Calibri" w:hAnsi="Calibri"/>
          <w:color w:val="1A1A1A"/>
          <w:sz w:val="21"/>
          <w:szCs w:val="21"/>
        </w:rPr>
        <w:t xml:space="preserve">A shared wireless link — MQTT for the short-range kiosk-to-rover and sensor-to-hub hops, ordinary cellular data where a signal exists, WebSockets for anything needing a live two-way connection — carries messages between all five layers back to the central brain. That is the same kind of always-on messaging Campus Compass already uses between its kiosk and its robot, just extended to cover every device instead of two.</w:t>
      </w:r>
    </w:p>
    <w:p>
      <w:pPr>
        <w:pStyle w:val="Heading2"/>
        <w:spacing w:after="110" w:before="240"/>
      </w:pPr>
      <w:r>
        <w:rPr>
          <w:rFonts w:ascii="Calibri" w:cs="Calibri" w:eastAsia="Calibri" w:hAnsi="Calibri"/>
          <w:b/>
          <w:bCs/>
          <w:color w:val="2D6A4F"/>
          <w:sz w:val="22"/>
          <w:szCs w:val="22"/>
        </w:rPr>
        <w:t xml:space="preserve">6.3 What one full loop could look like</w:t>
      </w:r>
    </w:p>
    <w:p>
      <w:pPr>
        <w:pStyle w:val="ListParagraph"/>
        <w:numPr>
          <w:ilvl w:val="0"/>
          <w:numId w:val="2"/>
        </w:numPr>
        <w:spacing w:after="90" w:line="288"/>
      </w:pPr>
      <w:r>
        <w:rPr>
          <w:rFonts w:ascii="Calibri" w:cs="Calibri" w:eastAsia="Calibri" w:hAnsi="Calibri"/>
          <w:b/>
          <w:bCs/>
          <w:color w:val="1A1A1A"/>
          <w:sz w:val="21"/>
          <w:szCs w:val="21"/>
        </w:rPr>
        <w:t xml:space="preserve">1. A signal comes in from above. </w:t>
      </w:r>
      <w:r>
        <w:rPr>
          <w:rFonts w:ascii="Calibri" w:cs="Calibri" w:eastAsia="Calibri" w:hAnsi="Calibri"/>
          <w:color w:val="1A1A1A"/>
          <w:sz w:val="21"/>
          <w:szCs w:val="21"/>
        </w:rPr>
        <w:t xml:space="preserve">The satellite layer flags an unusual drop in one of Section 5's moisture indices over a specific zone of a field.</w:t>
      </w:r>
    </w:p>
    <w:p>
      <w:pPr>
        <w:pStyle w:val="ListParagraph"/>
        <w:numPr>
          <w:ilvl w:val="0"/>
          <w:numId w:val="2"/>
        </w:numPr>
        <w:spacing w:after="90" w:line="288"/>
      </w:pPr>
      <w:r>
        <w:rPr>
          <w:rFonts w:ascii="Calibri" w:cs="Calibri" w:eastAsia="Calibri" w:hAnsi="Calibri"/>
          <w:b/>
          <w:bCs/>
          <w:color w:val="1A1A1A"/>
          <w:sz w:val="21"/>
          <w:szCs w:val="21"/>
        </w:rPr>
        <w:t xml:space="preserve">2. The rover gets sent out. </w:t>
      </w:r>
      <w:r>
        <w:rPr>
          <w:rFonts w:ascii="Calibri" w:cs="Calibri" w:eastAsia="Calibri" w:hAnsi="Calibri"/>
          <w:color w:val="1A1A1A"/>
          <w:sz w:val="21"/>
          <w:szCs w:val="21"/>
        </w:rPr>
        <w:t xml:space="preserve">The central brain passes that zone's coordinates to the depot kiosk, which opens the rover's dock and sends it out using A* pathfinding to reach the flagged zone.</w:t>
      </w:r>
    </w:p>
    <w:p>
      <w:pPr>
        <w:pStyle w:val="ListParagraph"/>
        <w:numPr>
          <w:ilvl w:val="0"/>
          <w:numId w:val="2"/>
        </w:numPr>
        <w:spacing w:after="90" w:line="288"/>
      </w:pPr>
      <w:r>
        <w:rPr>
          <w:rFonts w:ascii="Calibri" w:cs="Calibri" w:eastAsia="Calibri" w:hAnsi="Calibri"/>
          <w:b/>
          <w:bCs/>
          <w:color w:val="1A1A1A"/>
          <w:sz w:val="21"/>
          <w:szCs w:val="21"/>
        </w:rPr>
        <w:t xml:space="preserve">3. The rover checks in person. </w:t>
      </w:r>
      <w:r>
        <w:rPr>
          <w:rFonts w:ascii="Calibri" w:cs="Calibri" w:eastAsia="Calibri" w:hAnsi="Calibri"/>
          <w:color w:val="1A1A1A"/>
          <w:sz w:val="21"/>
          <w:szCs w:val="21"/>
        </w:rPr>
        <w:t xml:space="preserve">It takes leaf photos for Part 2's disease screening and reads its own soil-moisture probe, to see whether the satellite signal matches what is really happening on the ground.</w:t>
      </w:r>
    </w:p>
    <w:p>
      <w:pPr>
        <w:pStyle w:val="ListParagraph"/>
        <w:numPr>
          <w:ilvl w:val="0"/>
          <w:numId w:val="2"/>
        </w:numPr>
        <w:spacing w:after="90" w:line="288"/>
      </w:pPr>
      <w:r>
        <w:rPr>
          <w:rFonts w:ascii="Calibri" w:cs="Calibri" w:eastAsia="Calibri" w:hAnsi="Calibri"/>
          <w:b/>
          <w:bCs/>
          <w:color w:val="1A1A1A"/>
          <w:sz w:val="21"/>
          <w:szCs w:val="21"/>
        </w:rPr>
        <w:t xml:space="preserve">4. The system can act, not just alert. </w:t>
      </w:r>
      <w:r>
        <w:rPr>
          <w:rFonts w:ascii="Calibri" w:cs="Calibri" w:eastAsia="Calibri" w:hAnsi="Calibri"/>
          <w:color w:val="1A1A1A"/>
          <w:sz w:val="21"/>
          <w:szCs w:val="21"/>
        </w:rPr>
        <w:t xml:space="preserve">If the rover confirms low soil moisture, the same central brain can switch on a drip-irrigation valve in that zone automatically, rather than waiting for a person to read an alert and respond.</w:t>
      </w:r>
    </w:p>
    <w:p>
      <w:pPr>
        <w:pStyle w:val="ListParagraph"/>
        <w:numPr>
          <w:ilvl w:val="0"/>
          <w:numId w:val="2"/>
        </w:numPr>
        <w:spacing w:after="90" w:line="288"/>
      </w:pPr>
      <w:r>
        <w:rPr>
          <w:rFonts w:ascii="Calibri" w:cs="Calibri" w:eastAsia="Calibri" w:hAnsi="Calibri"/>
          <w:b/>
          <w:bCs/>
          <w:color w:val="1A1A1A"/>
          <w:sz w:val="21"/>
          <w:szCs w:val="21"/>
        </w:rPr>
        <w:t xml:space="preserve">5. The farmer is told either way. </w:t>
      </w:r>
      <w:r>
        <w:rPr>
          <w:rFonts w:ascii="Calibri" w:cs="Calibri" w:eastAsia="Calibri" w:hAnsi="Calibri"/>
          <w:color w:val="1A1A1A"/>
          <w:sz w:val="21"/>
          <w:szCs w:val="21"/>
        </w:rPr>
        <w:t xml:space="preserve">A voice call or text through Africa's Talking reports what happened in plain language — "Zone 3 soil was dry; irrigation switched on for 20 minutes" — the same honest, no-jargon reporting style every other AgriShield module already uses.</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Said honestly</w:t>
            </w:r>
          </w:p>
          <w:p>
            <w:pPr>
              <w:spacing w:after="0" w:line="288"/>
            </w:pPr>
            <w:r>
              <w:rPr>
                <w:rFonts w:ascii="Calibri" w:cs="Calibri" w:eastAsia="Calibri" w:hAnsi="Calibri"/>
                <w:color w:val="1A1A1A"/>
                <w:sz w:val="21"/>
                <w:szCs w:val="21"/>
              </w:rPr>
              <w:t xml:space="preserve">This section does not make any one piece more real than it already was — the rover is still the Section 1 hardware programme, the satellite indices are still Section 5's upgrade path, and the price engine still carries Section 2's caveats. What this section adds is a new kind of work on top of all of them: wiring genuinely different systems (a robot, fixed sensors, a satellite feed, a pricing engine, a phone-alert service) into one reliable, always-synchronized whole is itself a real, non-trivial engineering project — usually the hardest part of any "smart farm" system, harder than building any single piece alone. Treat this as the long-term shape of the system, not a shortcut to it.</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7. What We Are Deliberately Leaving Out, For Now</w:t>
      </w:r>
    </w:p>
    <w:p>
      <w:pPr>
        <w:spacing w:after="140" w:line="288"/>
      </w:pPr>
      <w:r>
        <w:rPr>
          <w:rFonts w:ascii="Calibri" w:cs="Calibri" w:eastAsia="Calibri" w:hAnsi="Calibri"/>
          <w:color w:val="1A1A1A"/>
          <w:sz w:val="21"/>
          <w:szCs w:val="21"/>
        </w:rPr>
        <w:t xml:space="preserve">Even in a blue-sky document, some ideas are a stretch too far from AgriShield's actual mechanism — real technologies, but not a natural extension of what AgriShield already does: drone spraying, seeding, and aerial mapping; fully autonomous tractors, combine harvesters, and robotic weeders as standalone products; heavy machinery implements (rotavators, ploughs, balers); RTK centimeter-accuracy positioning; and general agronomic practice advice like permaculture or crop rotation. These are all real, but "farming gets more automated in general" is a different project from "AgriShield specifically grows into this."</w:t>
      </w:r>
    </w:p>
    <w:p>
      <w:pPr>
        <w:pStyle w:val="Heading1"/>
        <w:pBdr>
          <w:bottom w:val="single" w:color="2D6A4F" w:sz="8" w:space="6"/>
        </w:pBdr>
        <w:spacing w:after="160" w:before="340"/>
      </w:pPr>
      <w:r>
        <w:rPr>
          <w:rFonts w:ascii="Calibri" w:cs="Calibri" w:eastAsia="Calibri" w:hAnsi="Calibri"/>
          <w:b/>
          <w:bCs/>
          <w:color w:val="1B4332"/>
          <w:sz w:val="27"/>
          <w:szCs w:val="27"/>
        </w:rPr>
        <w:t xml:space="preserve">Where This Leaves Us</w:t>
      </w:r>
    </w:p>
    <w:p>
      <w:pPr>
        <w:spacing w:after="140" w:line="288"/>
      </w:pPr>
      <w:r>
        <w:rPr>
          <w:rFonts w:ascii="Calibri" w:cs="Calibri" w:eastAsia="Calibri" w:hAnsi="Calibri"/>
          <w:color w:val="1A1A1A"/>
          <w:sz w:val="21"/>
          <w:szCs w:val="21"/>
        </w:rPr>
        <w:t xml:space="preserve">Two ideas in this document are not really speculation: the Agri-Rover has a working navigation brain behind it, built by people on this team; the market engine has a real, running platform behind it, built on the exact same honesty principle AgriShield already holds itself to. Everything else here is the size of the opportunity, sketched honestly as a sketch — not a promise for 28 September, and not dressed up as more finished than it 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AgriShield Innovate</dc:title>
  <dc:creator>Aiia</dc:creator>
  <dc:description>The blue-sky extension of AgriShield: the Agri-Rover (adapted from Campus Compass) and a Kuwana-powered market engine, plus a wider wishlist of future modules.</dc:description>
  <cp:lastModifiedBy>Un-named</cp:lastModifiedBy>
  <cp:revision>1</cp:revision>
  <dcterms:created xsi:type="dcterms:W3CDTF">2026-09-14T14:36:48.421Z</dcterms:created>
  <dcterms:modified xsi:type="dcterms:W3CDTF">2026-09-14T14:36:48.421Z</dcterms:modified>
</cp:coreProperties>
</file>

<file path=docProps/custom.xml><?xml version="1.0" encoding="utf-8"?>
<Properties xmlns="http://schemas.openxmlformats.org/officeDocument/2006/custom-properties" xmlns:vt="http://schemas.openxmlformats.org/officeDocument/2006/docPropsVTypes"/>
</file>