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45309"/>
          <w:spacing w:val="40"/>
          <w:sz w:val="16"/>
          <w:szCs w:val="16"/>
        </w:rPr>
        <w:t xml:space="preserve">AGRISHIELD  ·  THE COMPLETE SUPER APP</w:t>
      </w:r>
    </w:p>
    <w:p>
      <w:pPr>
        <w:spacing w:after="60"/>
      </w:pPr>
      <w:r>
        <w:rPr>
          <w:rFonts w:ascii="Calibri" w:cs="Calibri" w:eastAsia="Calibri" w:hAnsi="Calibri"/>
          <w:b/>
          <w:bCs/>
          <w:color w:val="1B4332"/>
          <w:sz w:val="56"/>
          <w:szCs w:val="56"/>
        </w:rPr>
        <w:t xml:space="preserve">AgriShield</w:t>
      </w:r>
    </w:p>
    <w:p>
      <w:pPr>
        <w:spacing w:after="40"/>
      </w:pPr>
      <w:r>
        <w:rPr>
          <w:rFonts w:ascii="Calibri" w:cs="Calibri" w:eastAsia="Calibri" w:hAnsi="Calibri"/>
          <w:color w:val="2D6A4F"/>
          <w:sz w:val="26"/>
          <w:szCs w:val="26"/>
        </w:rPr>
        <w:t xml:space="preserve">One Hybrid App, Every Real Idea, the Whole Season</w:t>
      </w:r>
    </w:p>
    <w:p>
      <w:pPr>
        <w:pBdr>
          <w:bottom w:val="single" w:color="B45309" w:sz="12" w:space="8"/>
        </w:pBdr>
        <w:spacing w:after="240"/>
      </w:pPr>
      <w:r>
        <w:rPr>
          <w:rFonts w:ascii="Calibri" w:cs="Calibri" w:eastAsia="Calibri" w:hAnsi="Calibri"/>
          <w:i/>
          <w:iCs/>
          <w:color w:val="5A6B62"/>
          <w:sz w:val="21"/>
          <w:szCs w:val="21"/>
        </w:rPr>
        <w:t xml:space="preserve">Every idea we were given a second, honest look — kept, merged, or named as still unbuilt  ·  AgriTech Track</w:t>
      </w:r>
    </w:p>
    <w:tbl>
      <w:tblPr>
        <w:tblW w:type="dxa" w:w="9026"/>
        <w:tblBorders>
          <w:top w:val="single" w:color="C8D6CE" w:sz="4"/>
          <w:left w:val="none"/>
          <w:bottom w:val="single" w:color="C8D6CE" w:sz="4"/>
          <w:right w:val="none"/>
          <w:insideH w:val="single" w:color="DCE6E0" w:sz="2"/>
          <w:insideV w:val="none"/>
        </w:tblBorders>
      </w:tblPr>
      <w:tblGrid>
        <w:gridCol w:w="2100"/>
        <w:gridCol w:w="2400"/>
        <w:gridCol w:w="2100"/>
        <w:gridCol w:w="2426"/>
      </w:tblGrid>
      <w:tr>
        <w:trPr>
          <w:tblHeader/>
        </w:trPr>
        <w:tc>
          <w:tcPr>
            <w:tcW w:type="dxa" w:w="21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Overall rating</w:t>
            </w:r>
          </w:p>
        </w:tc>
        <w:tc>
          <w:tcPr>
            <w:tcW w:type="dxa" w:w="24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Track</w:t>
            </w:r>
          </w:p>
        </w:tc>
        <w:tc>
          <w:tcPr>
            <w:tcW w:type="dxa" w:w="21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Prepared for</w:t>
            </w:r>
          </w:p>
        </w:tc>
        <w:tc>
          <w:tcPr>
            <w:tcW w:type="dxa" w:w="2426"/>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Status</w:t>
            </w:r>
          </w:p>
        </w:tc>
      </w:tr>
      <w:tr>
        <w:tc>
          <w:tcPr>
            <w:tcW w:type="dxa" w:w="2100"/>
            <w:tcMar>
              <w:top w:type="dxa" w:w="90"/>
              <w:left w:type="dxa" w:w="120"/>
              <w:bottom w:type="dxa" w:w="90"/>
              <w:right w:type="dxa" w:w="120"/>
            </w:tcMar>
          </w:tcPr>
          <w:p>
            <w:pPr>
              <w:spacing w:after="0" w:line="264"/>
              <w:jc w:val="center"/>
            </w:pPr>
            <w:r>
              <w:rPr>
                <w:rFonts w:ascii="Calibri" w:cs="Calibri" w:eastAsia="Calibri" w:hAnsi="Calibri"/>
                <w:color w:val="1A1A1A"/>
                <w:sz w:val="19"/>
                <w:szCs w:val="19"/>
              </w:rPr>
              <w:t xml:space="preserve">8 / 10</w:t>
            </w:r>
          </w:p>
        </w:tc>
        <w:tc>
          <w:tcPr>
            <w:tcW w:type="dxa" w:w="2400"/>
            <w:tcMar>
              <w:top w:type="dxa" w:w="90"/>
              <w:left w:type="dxa" w:w="120"/>
              <w:bottom w:type="dxa" w:w="90"/>
              <w:right w:type="dxa" w:w="120"/>
            </w:tcMar>
          </w:tcPr>
          <w:p>
            <w:pPr>
              <w:spacing w:after="0" w:line="264"/>
              <w:jc w:val="center"/>
            </w:pPr>
            <w:r>
              <w:rPr>
                <w:rFonts w:ascii="Calibri" w:cs="Calibri" w:eastAsia="Calibri" w:hAnsi="Calibri"/>
                <w:color w:val="1A1A1A"/>
                <w:sz w:val="19"/>
                <w:szCs w:val="19"/>
              </w:rPr>
              <w:t xml:space="preserve">AgriTech (primary)</w:t>
            </w:r>
          </w:p>
        </w:tc>
        <w:tc>
          <w:tcPr>
            <w:tcW w:type="dxa" w:w="2100"/>
            <w:tcMar>
              <w:top w:type="dxa" w:w="90"/>
              <w:left w:type="dxa" w:w="120"/>
              <w:bottom w:type="dxa" w:w="90"/>
              <w:right w:type="dxa" w:w="120"/>
            </w:tcMar>
          </w:tcPr>
          <w:p>
            <w:pPr>
              <w:spacing w:after="0" w:line="264"/>
              <w:jc w:val="center"/>
            </w:pPr>
            <w:r>
              <w:rPr>
                <w:rFonts w:ascii="Calibri" w:cs="Calibri" w:eastAsia="Calibri" w:hAnsi="Calibri"/>
                <w:color w:val="1A1A1A"/>
                <w:sz w:val="19"/>
                <w:szCs w:val="19"/>
              </w:rPr>
              <w:t xml:space="preserve">Aiia</w:t>
            </w:r>
          </w:p>
        </w:tc>
        <w:tc>
          <w:tcPr>
            <w:tcW w:type="dxa" w:w="2426"/>
            <w:tcMar>
              <w:top w:type="dxa" w:w="90"/>
              <w:left w:type="dxa" w:w="120"/>
              <w:bottom w:type="dxa" w:w="90"/>
              <w:right w:type="dxa" w:w="120"/>
            </w:tcMar>
          </w:tcPr>
          <w:p>
            <w:pPr>
              <w:spacing w:after="0" w:line="264"/>
              <w:jc w:val="center"/>
            </w:pPr>
            <w:r>
              <w:rPr>
                <w:rFonts w:ascii="Calibri" w:cs="Calibri" w:eastAsia="Calibri" w:hAnsi="Calibri"/>
                <w:color w:val="1A1A1A"/>
                <w:sz w:val="19"/>
                <w:szCs w:val="19"/>
              </w:rPr>
              <w:t xml:space="preserve">Hackathon submitted; full plan below</w:t>
            </w:r>
          </w:p>
        </w:tc>
      </w:tr>
    </w:tbl>
    <w:p>
      <w:pPr>
        <w:spacing w:after="140"/>
      </w:pPr>
    </w:p>
    <w:tbl>
      <w:tblPr>
        <w:tblW w:type="dxa" w:w="9026"/>
        <w:tblBorders>
          <w:top w:val="single" w:color="C8D6CE" w:sz="4"/>
          <w:left w:val="none"/>
          <w:bottom w:val="single" w:color="C8D6CE" w:sz="4"/>
          <w:right w:val="none"/>
          <w:insideH w:val="single" w:color="DCE6E0" w:sz="2"/>
          <w:insideV w:val="none"/>
        </w:tblBorders>
      </w:tblPr>
      <w:tblGrid>
        <w:gridCol w:w="3200"/>
        <w:gridCol w:w="3413"/>
        <w:gridCol w:w="2413"/>
      </w:tblGrid>
      <w:tr>
        <w:trPr>
          <w:tblHeader/>
        </w:trPr>
        <w:tc>
          <w:tcPr>
            <w:tcW w:type="dxa" w:w="32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Team member</w:t>
            </w:r>
          </w:p>
        </w:tc>
        <w:tc>
          <w:tcPr>
            <w:tcW w:type="dxa" w:w="3413"/>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Programme</w:t>
            </w:r>
          </w:p>
        </w:tc>
        <w:tc>
          <w:tcPr>
            <w:tcW w:type="dxa" w:w="2413"/>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ID number</w:t>
            </w:r>
          </w:p>
        </w:tc>
      </w:tr>
      <w:tr>
        <w:tc>
          <w:tcPr>
            <w:tcW w:type="dxa" w:w="32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Aiia</w:t>
            </w:r>
          </w:p>
        </w:tc>
        <w:tc>
          <w:tcPr>
            <w:tcW w:type="dxa" w:w="3413"/>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Team lead</w:t>
            </w:r>
          </w:p>
        </w:tc>
        <w:tc>
          <w:tcPr>
            <w:tcW w:type="dxa" w:w="2413"/>
            <w:tcMar>
              <w:top w:type="dxa" w:w="90"/>
              <w:left w:type="dxa" w:w="120"/>
              <w:bottom w:type="dxa" w:w="90"/>
              <w:right w:type="dxa" w:w="120"/>
            </w:tcMar>
          </w:tcPr>
          <w:p>
            <w:pPr>
              <w:spacing w:after="0" w:line="264"/>
              <w:jc w:val="center"/>
            </w:pPr>
            <w:r>
              <w:rPr>
                <w:rFonts w:ascii="Calibri" w:cs="Calibri" w:eastAsia="Calibri" w:hAnsi="Calibri"/>
                <w:color w:val="1A1A1A"/>
                <w:sz w:val="19"/>
                <w:szCs w:val="19"/>
              </w:rPr>
              <w:t xml:space="preserve">—</w:t>
            </w:r>
          </w:p>
        </w:tc>
      </w:tr>
      <w:tr>
        <w:tc>
          <w:tcPr>
            <w:tcW w:type="dxa" w:w="32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Shallin T Tairo</w:t>
            </w:r>
          </w:p>
        </w:tc>
        <w:tc>
          <w:tcPr>
            <w:tcW w:type="dxa" w:w="3413"/>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3.1 Software Engineering</w:t>
            </w:r>
          </w:p>
        </w:tc>
        <w:tc>
          <w:tcPr>
            <w:tcW w:type="dxa" w:w="2413"/>
            <w:shd w:fill="F1F8F4" w:val="clear"/>
            <w:tcMar>
              <w:top w:type="dxa" w:w="90"/>
              <w:left w:type="dxa" w:w="120"/>
              <w:bottom w:type="dxa" w:w="90"/>
              <w:right w:type="dxa" w:w="120"/>
            </w:tcMar>
          </w:tcPr>
          <w:p>
            <w:pPr>
              <w:spacing w:after="0" w:line="264"/>
              <w:jc w:val="center"/>
            </w:pPr>
            <w:r>
              <w:rPr>
                <w:rFonts w:ascii="Calibri" w:cs="Calibri" w:eastAsia="Calibri" w:hAnsi="Calibri"/>
                <w:color w:val="1A1A1A"/>
                <w:sz w:val="19"/>
                <w:szCs w:val="19"/>
              </w:rPr>
              <w:t xml:space="preserve">240462</w:t>
            </w:r>
          </w:p>
        </w:tc>
      </w:tr>
      <w:tr>
        <w:tc>
          <w:tcPr>
            <w:tcW w:type="dxa" w:w="32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Christopher Gochero</w:t>
            </w:r>
          </w:p>
        </w:tc>
        <w:tc>
          <w:tcPr>
            <w:tcW w:type="dxa" w:w="3413"/>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3.1 Computer Science</w:t>
            </w:r>
          </w:p>
        </w:tc>
        <w:tc>
          <w:tcPr>
            <w:tcW w:type="dxa" w:w="2413"/>
            <w:tcMar>
              <w:top w:type="dxa" w:w="90"/>
              <w:left w:type="dxa" w:w="120"/>
              <w:bottom w:type="dxa" w:w="90"/>
              <w:right w:type="dxa" w:w="120"/>
            </w:tcMar>
          </w:tcPr>
          <w:p>
            <w:pPr>
              <w:spacing w:after="0" w:line="264"/>
              <w:jc w:val="center"/>
            </w:pPr>
            <w:r>
              <w:rPr>
                <w:rFonts w:ascii="Calibri" w:cs="Calibri" w:eastAsia="Calibri" w:hAnsi="Calibri"/>
                <w:color w:val="1A1A1A"/>
                <w:sz w:val="19"/>
                <w:szCs w:val="19"/>
              </w:rPr>
              <w:t xml:space="preserve">240470</w:t>
            </w:r>
          </w:p>
        </w:tc>
      </w:tr>
      <w:tr>
        <w:tc>
          <w:tcPr>
            <w:tcW w:type="dxa" w:w="32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Mark Chindudzi</w:t>
            </w:r>
          </w:p>
        </w:tc>
        <w:tc>
          <w:tcPr>
            <w:tcW w:type="dxa" w:w="3413"/>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4.1 Computer Science</w:t>
            </w:r>
          </w:p>
        </w:tc>
        <w:tc>
          <w:tcPr>
            <w:tcW w:type="dxa" w:w="2413"/>
            <w:shd w:fill="F1F8F4" w:val="clear"/>
            <w:tcMar>
              <w:top w:type="dxa" w:w="90"/>
              <w:left w:type="dxa" w:w="120"/>
              <w:bottom w:type="dxa" w:w="90"/>
              <w:right w:type="dxa" w:w="120"/>
            </w:tcMar>
          </w:tcPr>
          <w:p>
            <w:pPr>
              <w:spacing w:after="0" w:line="264"/>
              <w:jc w:val="center"/>
            </w:pPr>
            <w:r>
              <w:rPr>
                <w:rFonts w:ascii="Calibri" w:cs="Calibri" w:eastAsia="Calibri" w:hAnsi="Calibri"/>
                <w:color w:val="1A1A1A"/>
                <w:sz w:val="19"/>
                <w:szCs w:val="19"/>
              </w:rPr>
              <w:t xml:space="preserve">230378</w:t>
            </w:r>
          </w:p>
        </w:tc>
      </w:tr>
    </w:tbl>
    <w:p>
      <w:pPr>
        <w:spacing w:after="200"/>
      </w:pP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The UN goals this project helps with</w:t>
            </w:r>
          </w:p>
          <w:p>
            <w:pPr>
              <w:spacing w:after="0" w:line="288"/>
            </w:pPr>
            <w:r>
              <w:rPr>
                <w:rFonts w:ascii="Calibri" w:cs="Calibri" w:eastAsia="Calibri" w:hAnsi="Calibri"/>
                <w:color w:val="1A1A1A"/>
                <w:sz w:val="21"/>
                <w:szCs w:val="21"/>
              </w:rPr>
              <w:t xml:space="preserve">AgriShield mainly helps with two of the United Nations' 17 global goals: Goal 2, Zero Hunger (less food is wasted or lost), and Goal 1, No Poverty (farmers keep more of what they earn). It also helps, in a smaller way, with Goal 7, Clean Energy, Goal 13, Climate Action, Goal 9, Innovation and Infrastructure, and Goal 12, Responsible Consumption. Section 9 explains each one in one line.</w:t>
            </w:r>
          </w:p>
        </w:tc>
      </w:tr>
    </w:tbl>
    <w:p>
      <w:pPr>
        <w:spacing w:after="140"/>
      </w:pPr>
    </w:p>
    <w:p>
      <w:pPr>
        <w:pStyle w:val="Heading1"/>
        <w:pBdr>
          <w:bottom w:val="single" w:color="2D6A4F" w:sz="8" w:space="6"/>
        </w:pBdr>
        <w:spacing w:after="160" w:before="340"/>
      </w:pPr>
      <w:r>
        <w:rPr>
          <w:rFonts w:ascii="Calibri" w:cs="Calibri" w:eastAsia="Calibri" w:hAnsi="Calibri"/>
          <w:b/>
          <w:bCs/>
          <w:color w:val="1B4332"/>
          <w:sz w:val="27"/>
          <w:szCs w:val="27"/>
        </w:rPr>
        <w:t xml:space="preserve">1. What This Is, in Plain Words</w:t>
      </w:r>
    </w:p>
    <w:p>
      <w:pPr>
        <w:spacing w:after="140" w:line="288"/>
      </w:pPr>
      <w:r>
        <w:rPr>
          <w:rFonts w:ascii="Calibri" w:cs="Calibri" w:eastAsia="Calibri" w:hAnsi="Calibri"/>
          <w:color w:val="1A1A1A"/>
          <w:sz w:val="21"/>
          <w:szCs w:val="21"/>
        </w:rPr>
        <w:t xml:space="preserve">AgriShield started as three honestly-built parts for the Hack4Africa 2026 application: a sensor that watches stored food, a phone app that checks sick plants, and a satellite view that watches a whole farming district. This document goes further. It goes back over every single idea that was ever fed into this project — six different write-ups in total — and asks each one a fair, second question: not "can we prove this to a judge in one day," but "is there now a real, honest way to build this at all." Where the answer is yes, it is merged in as a genuine new part of the app. Where the answer is still no, it stays out, named plainly.</w:t>
      </w:r>
    </w:p>
    <w:p>
      <w:pPr>
        <w:spacing w:after="140" w:line="288"/>
      </w:pPr>
      <w:r>
        <w:rPr>
          <w:rFonts w:ascii="Calibri" w:cs="Calibri" w:eastAsia="Calibri" w:hAnsi="Calibri"/>
          <w:color w:val="1A1A1A"/>
          <w:sz w:val="21"/>
          <w:szCs w:val="21"/>
        </w:rPr>
        <w:t xml:space="preserve">The result is one hybrid app, built in layers: three parts that are already designed and sourced, five more real modules that were previously set aside and are now brought back with a genuine data source behind each one, and one bigger idea — connecting farmers to fair markets — rebuilt from scratch using AgriShield's own real data instead of the expensive infrastructure it was first imagined with.</w:t>
      </w:r>
    </w:p>
    <w:p>
      <w:pPr>
        <w:spacing w:after="140" w:line="288"/>
      </w:pPr>
      <w:r>
        <w:rPr>
          <w:rFonts w:ascii="Calibri" w:cs="Calibri" w:eastAsia="Calibri" w:hAnsi="Calibri"/>
          <w:color w:val="1A1A1A"/>
          <w:sz w:val="21"/>
          <w:szCs w:val="21"/>
        </w:rPr>
        <w:t xml:space="preserve">Every part of this plan is still built from something real: a real science formula, a real public dataset, a real free API, or a real product already working somewhere in the world. Where we are not sure of something, we say so plainly instead of guessing. Section 2 lists every idea this project has ever considered, and exactly what became of each one.</w:t>
      </w:r>
    </w:p>
    <w:p>
      <w:pPr>
        <w:pStyle w:val="Heading1"/>
        <w:pBdr>
          <w:bottom w:val="single" w:color="2D6A4F" w:sz="8" w:space="6"/>
        </w:pBdr>
        <w:spacing w:after="160" w:before="340"/>
      </w:pPr>
      <w:r>
        <w:rPr>
          <w:rFonts w:ascii="Calibri" w:cs="Calibri" w:eastAsia="Calibri" w:hAnsi="Calibri"/>
          <w:b/>
          <w:bCs/>
          <w:color w:val="1B4332"/>
          <w:sz w:val="27"/>
          <w:szCs w:val="27"/>
        </w:rPr>
        <w:t xml:space="preserve">2. Every Idea We Looked At, and What Became of Each</w:t>
      </w:r>
    </w:p>
    <w:p>
      <w:pPr>
        <w:spacing w:after="140" w:line="288"/>
      </w:pPr>
      <w:r>
        <w:rPr>
          <w:rFonts w:ascii="Calibri" w:cs="Calibri" w:eastAsia="Calibri" w:hAnsi="Calibri"/>
          <w:color w:val="1A1A1A"/>
          <w:sz w:val="21"/>
          <w:szCs w:val="21"/>
        </w:rPr>
        <w:t xml:space="preserve">Six different write-ups have fed into this project over time, including documents Aiia shared directly. Nothing was used wholesale, and nothing was dismissed forever, either — every idea below was checked, and several that were first set aside have since been brought back now that the goal is a real product, not a one-day demo.</w:t>
      </w:r>
    </w:p>
    <w:tbl>
      <w:tblPr>
        <w:tblW w:type="dxa" w:w="9026"/>
        <w:tblBorders>
          <w:top w:val="single" w:color="C8D6CE" w:sz="4"/>
          <w:left w:val="none"/>
          <w:bottom w:val="single" w:color="C8D6CE" w:sz="4"/>
          <w:right w:val="none"/>
          <w:insideH w:val="single" w:color="DCE6E0" w:sz="2"/>
          <w:insideV w:val="none"/>
        </w:tblBorders>
      </w:tblPr>
      <w:tblGrid>
        <w:gridCol w:w="1900"/>
        <w:gridCol w:w="7126"/>
      </w:tblGrid>
      <w:tr>
        <w:trPr>
          <w:tblHeader/>
        </w:trPr>
        <w:tc>
          <w:tcPr>
            <w:tcW w:type="dxa" w:w="19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Idea</w:t>
            </w:r>
          </w:p>
        </w:tc>
        <w:tc>
          <w:tcPr>
            <w:tcW w:type="dxa" w:w="7126"/>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What we kept, and where it lives now</w:t>
            </w:r>
          </w:p>
        </w:tc>
      </w:tr>
      <w:tr>
        <w:tc>
          <w:tcPr>
            <w:tcW w:type="dxa" w:w="19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CEAShack</w:t>
            </w:r>
          </w:p>
        </w:tc>
        <w:tc>
          <w:tcPr>
            <w:tcW w:type="dxa" w:w="71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Its mold-risk storage message became Part 1's second alert (Section 5). Its call for market prices and weather became Modules 4 and 5 (Sections 8–9), once real free sources were found for both.</w:t>
            </w:r>
          </w:p>
        </w:tc>
      </w:tr>
      <w:tr>
        <w:tc>
          <w:tcPr>
            <w:tcW w:type="dxa" w:w="19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farmScreen</w:t>
            </w:r>
          </w:p>
        </w:tc>
        <w:tc>
          <w:tcPr>
            <w:tcW w:type="dxa" w:w="71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Its whole offline, photo-based sick-plant checker became Part 2 (Section 6). Its livestock-screening idea is dropped for good — no usable public dataset — and replaced with Module 7, turning farm waste into feed (Section 11).</w:t>
            </w:r>
          </w:p>
        </w:tc>
      </w:tr>
      <w:tr>
        <w:tc>
          <w:tcPr>
            <w:tcW w:type="dxa" w:w="19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An earlier Agri-Shield write-up</w:t>
            </w:r>
          </w:p>
        </w:tc>
        <w:tc>
          <w:tcPr>
            <w:tcW w:type="dxa" w:w="71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Its solar sensor and phone-alert idea lives on in Part 1. Its specific pest-prediction claim stays rejected (the real early-warning system for that pest uses physical traps, not weather sensors) — but the honest, smaller version of the idea survives as Module 8, a seasonal pest-risk reminder (Section 12).</w:t>
            </w:r>
          </w:p>
        </w:tc>
      </w:tr>
      <w:tr>
        <w:tc>
          <w:tcPr>
            <w:tcW w:type="dxa" w:w="19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AgriChill Africa</w:t>
            </w:r>
          </w:p>
        </w:tc>
        <w:tc>
          <w:tcPr>
            <w:tcW w:type="dxa" w:w="71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Its real market evidence ($128M, ColdHubs, SoKo Fresh) still anchors Section 4. Its full cold-room-plus-marketplace idea is not rejected, just sequenced later — Part 1's own usage data is what will justify building a real cold room (Section 13).</w:t>
            </w:r>
          </w:p>
        </w:tc>
      </w:tr>
      <w:tr>
        <w:tc>
          <w:tcPr>
            <w:tcW w:type="dxa" w:w="19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MbudziGuard</w:t>
            </w:r>
          </w:p>
        </w:tc>
        <w:tc>
          <w:tcPr>
            <w:tcW w:type="dxa" w:w="71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Its idea that a warning should suggest an action, not just show a number, is now built into every part of this app. Its invented precise yield-saved percentage is not used — we do not state a number we cannot explain.</w:t>
            </w:r>
          </w:p>
        </w:tc>
      </w:tr>
      <w:tr>
        <w:tc>
          <w:tcPr>
            <w:tcW w:type="dxa" w:w="19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Mari Hub</w:t>
            </w:r>
          </w:p>
        </w:tc>
        <w:tc>
          <w:tcPr>
            <w:tcW w:type="dxa" w:w="71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An early, separate concept: solar- and satellite-powered community hubs connecting farmers to national buyers. Its cooperative hub and Starlink infrastructure are not built as originally imagined — that cost was never confirmed and is likely too high for now. Its real idea, connecting real local surplus to real buyers, is rebuilt in Section 14 using AgriShield's own sensor and satellite data instead of new hub hardware.</w:t>
            </w:r>
          </w:p>
        </w:tc>
      </w:tr>
    </w:tbl>
    <w:p>
      <w:r>
        <w:br w:type="page"/>
      </w:r>
    </w:p>
    <w:p>
      <w:pPr>
        <w:pStyle w:val="Heading1"/>
        <w:pBdr>
          <w:bottom w:val="single" w:color="2D6A4F" w:sz="8" w:space="6"/>
        </w:pBdr>
        <w:spacing w:after="160" w:before="340"/>
      </w:pPr>
      <w:r>
        <w:rPr>
          <w:rFonts w:ascii="Calibri" w:cs="Calibri" w:eastAsia="Calibri" w:hAnsi="Calibri"/>
          <w:b/>
          <w:bCs/>
          <w:color w:val="1B4332"/>
          <w:sz w:val="27"/>
          <w:szCs w:val="27"/>
        </w:rPr>
        <w:t xml:space="preserve">3. The Problem, Simply Put</w:t>
      </w:r>
    </w:p>
    <w:p>
      <w:pPr>
        <w:spacing w:after="140" w:line="288"/>
      </w:pPr>
      <w:r>
        <w:rPr>
          <w:rFonts w:ascii="Calibri" w:cs="Calibri" w:eastAsia="Calibri" w:hAnsi="Calibri"/>
          <w:color w:val="1A1A1A"/>
          <w:sz w:val="21"/>
          <w:szCs w:val="21"/>
        </w:rPr>
        <w:t xml:space="preserve">Crops get lost or spoiled in three different ways, at three different times, and this plan has an answer for each — plus a fourth problem this hybrid version now also addresses: even when a harvest survives, it often does not reach a fair buyer.</w:t>
      </w:r>
    </w:p>
    <w:p>
      <w:pPr>
        <w:pStyle w:val="ListParagraph"/>
        <w:numPr>
          <w:ilvl w:val="0"/>
          <w:numId w:val="2"/>
        </w:numPr>
        <w:spacing w:after="90" w:line="288"/>
      </w:pPr>
      <w:r>
        <w:rPr>
          <w:rFonts w:ascii="Calibri" w:cs="Calibri" w:eastAsia="Calibri" w:hAnsi="Calibri"/>
          <w:b/>
          <w:bCs/>
          <w:color w:val="1A1A1A"/>
          <w:sz w:val="21"/>
          <w:szCs w:val="21"/>
        </w:rPr>
        <w:t xml:space="preserve">Before harvest: </w:t>
      </w:r>
      <w:r>
        <w:rPr>
          <w:rFonts w:ascii="Calibri" w:cs="Calibri" w:eastAsia="Calibri" w:hAnsi="Calibri"/>
          <w:color w:val="1A1A1A"/>
          <w:sz w:val="21"/>
          <w:szCs w:val="21"/>
        </w:rPr>
        <w:t xml:space="preserve">a disease spreads on a plant, or a whole part of a district is drying out, before anyone notices in time.</w:t>
      </w:r>
    </w:p>
    <w:p>
      <w:pPr>
        <w:pStyle w:val="ListParagraph"/>
        <w:numPr>
          <w:ilvl w:val="0"/>
          <w:numId w:val="2"/>
        </w:numPr>
        <w:spacing w:after="90" w:line="288"/>
      </w:pPr>
      <w:r>
        <w:rPr>
          <w:rFonts w:ascii="Calibri" w:cs="Calibri" w:eastAsia="Calibri" w:hAnsi="Calibri"/>
          <w:b/>
          <w:bCs/>
          <w:color w:val="1A1A1A"/>
          <w:sz w:val="21"/>
          <w:szCs w:val="21"/>
        </w:rPr>
        <w:t xml:space="preserve">Right after harvest, in storage: </w:t>
      </w:r>
      <w:r>
        <w:rPr>
          <w:rFonts w:ascii="Calibri" w:cs="Calibri" w:eastAsia="Calibri" w:hAnsi="Calibri"/>
          <w:color w:val="1A1A1A"/>
          <w:sz w:val="21"/>
          <w:szCs w:val="21"/>
        </w:rPr>
        <w:t xml:space="preserve">food sits somewhere too hot or too damp, and spoils before it can be sold.</w:t>
      </w:r>
    </w:p>
    <w:p>
      <w:pPr>
        <w:pStyle w:val="ListParagraph"/>
        <w:numPr>
          <w:ilvl w:val="0"/>
          <w:numId w:val="2"/>
        </w:numPr>
        <w:spacing w:after="90" w:line="288"/>
      </w:pPr>
      <w:r>
        <w:rPr>
          <w:rFonts w:ascii="Calibri" w:cs="Calibri" w:eastAsia="Calibri" w:hAnsi="Calibri"/>
          <w:b/>
          <w:bCs/>
          <w:color w:val="1A1A1A"/>
          <w:sz w:val="21"/>
          <w:szCs w:val="21"/>
        </w:rPr>
        <w:t xml:space="preserve">Getting it to a good market: </w:t>
      </w:r>
      <w:r>
        <w:rPr>
          <w:rFonts w:ascii="Calibri" w:cs="Calibri" w:eastAsia="Calibri" w:hAnsi="Calibri"/>
          <w:color w:val="1A1A1A"/>
          <w:sz w:val="21"/>
          <w:szCs w:val="21"/>
        </w:rPr>
        <w:t xml:space="preserve">even good produce sells for less than it should, because there is no real cold storage nearby, and no easy way to know where the best price actually is.</w:t>
      </w:r>
    </w:p>
    <w:p>
      <w:pPr>
        <w:pStyle w:val="ListParagraph"/>
        <w:numPr>
          <w:ilvl w:val="0"/>
          <w:numId w:val="2"/>
        </w:numPr>
        <w:spacing w:after="90" w:line="288"/>
      </w:pPr>
      <w:r>
        <w:rPr>
          <w:rFonts w:ascii="Calibri" w:cs="Calibri" w:eastAsia="Calibri" w:hAnsi="Calibri"/>
          <w:b/>
          <w:bCs/>
          <w:color w:val="1A1A1A"/>
          <w:sz w:val="21"/>
          <w:szCs w:val="21"/>
        </w:rPr>
        <w:t xml:space="preserve">Getting good advice at all: </w:t>
      </w:r>
      <w:r>
        <w:rPr>
          <w:rFonts w:ascii="Calibri" w:cs="Calibri" w:eastAsia="Calibri" w:hAnsi="Calibri"/>
          <w:color w:val="1A1A1A"/>
          <w:sz w:val="21"/>
          <w:szCs w:val="21"/>
        </w:rPr>
        <w:t xml:space="preserve">most smallholder farmers have no easy, regular access to an agronomist or extension officer, and rely on guesswork or word of mouth for decisions like when to plant.</w:t>
      </w:r>
    </w:p>
    <w:p>
      <w:pPr>
        <w:spacing w:after="140" w:line="288"/>
      </w:pPr>
      <w:r>
        <w:rPr>
          <w:rFonts w:ascii="Calibri" w:cs="Calibri" w:eastAsia="Calibri" w:hAnsi="Calibri"/>
          <w:color w:val="1A1A1A"/>
          <w:sz w:val="21"/>
          <w:szCs w:val="21"/>
        </w:rPr>
        <w:t xml:space="preserve">The numbers behind the first three are real and checked. The UN's food agency (FAO) says that worldwide, about one-fifth of the value of fruit and vegetables is lost after harvest, and Sub-Saharan Africa loses close to double the share that North America and Europe do. Zimbabwe's own renewable-energy agency published a report in 2025 saying solar cold storage could cut these losses by at least half, in a market worth around $128 million here. Two real companies elsewhere in Africa — ColdHubs in Nigeria and SoKo Fresh in Kenya — already run pay-as-you-go solar cold rooms and report cutting spoilage from as much as half down to under 2 percent.</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Why we do not just build a cold room</w:t>
            </w:r>
          </w:p>
          <w:p>
            <w:pPr>
              <w:spacing w:after="0" w:line="288"/>
            </w:pPr>
            <w:r>
              <w:rPr>
                <w:rFonts w:ascii="Calibri" w:cs="Calibri" w:eastAsia="Calibri" w:hAnsi="Calibri"/>
                <w:color w:val="1A1A1A"/>
                <w:sz w:val="21"/>
                <w:szCs w:val="21"/>
              </w:rPr>
              <w:t xml:space="preserve">A real solar cold room costs about $30,000. Nobody is going to spend that on a guess. What this plan builds instead is the cheap, fast way to prove — with real numbers from a real place — that a specific collection point actually needs one. That proof is what turns a $30,000 request from a guess into a plan someone would fund.</w:t>
            </w:r>
          </w:p>
        </w:tc>
      </w:tr>
    </w:tbl>
    <w:p>
      <w:pPr>
        <w:pStyle w:val="Heading1"/>
        <w:pBdr>
          <w:bottom w:val="single" w:color="2D6A4F" w:sz="8" w:space="6"/>
        </w:pBdr>
        <w:spacing w:after="160" w:before="340"/>
      </w:pPr>
      <w:r>
        <w:rPr>
          <w:rFonts w:ascii="Calibri" w:cs="Calibri" w:eastAsia="Calibri" w:hAnsi="Calibri"/>
          <w:b/>
          <w:bCs/>
          <w:color w:val="1B4332"/>
          <w:sz w:val="27"/>
          <w:szCs w:val="27"/>
        </w:rPr>
        <w:t xml:space="preserve">4. The Foundation — Built First, Everything Plugs Into It</w:t>
      </w:r>
    </w:p>
    <w:p>
      <w:pPr>
        <w:spacing w:after="140" w:line="288"/>
      </w:pPr>
      <w:r>
        <w:rPr>
          <w:rFonts w:ascii="Calibri" w:cs="Calibri" w:eastAsia="Calibri" w:hAnsi="Calibri"/>
          <w:color w:val="1A1A1A"/>
          <w:sz w:val="21"/>
          <w:szCs w:val="21"/>
        </w:rPr>
        <w:t xml:space="preserve">Before any of the parts below, one shared foundation gets built once: a simple farmer record (name, rough location, crop, which storage hub they use), a way for the phone or sensor to keep working and storing data with no signal and only send it once a connection returns, and one single channel for reaching a farmer — a text message, a simple phone menu (USSD), or an actual spoken phone call, all through Africa's Talking, a real service confirmed to support all three. Every module in this document plugs into this same foundation rather than building its own.</w:t>
      </w:r>
    </w:p>
    <w:p>
      <w:pPr>
        <w:pStyle w:val="Heading1"/>
        <w:pBdr>
          <w:bottom w:val="single" w:color="2D6A4F" w:sz="8" w:space="6"/>
        </w:pBdr>
        <w:spacing w:after="160" w:before="340"/>
      </w:pPr>
      <w:r>
        <w:rPr>
          <w:rFonts w:ascii="Calibri" w:cs="Calibri" w:eastAsia="Calibri" w:hAnsi="Calibri"/>
          <w:b/>
          <w:bCs/>
          <w:color w:val="1B4332"/>
          <w:sz w:val="27"/>
          <w:szCs w:val="27"/>
        </w:rPr>
        <w:t xml:space="preserve">5. Part 1 — Watching Stored Food</w:t>
      </w:r>
    </w:p>
    <w:p>
      <w:pPr>
        <w:spacing w:after="140" w:line="288"/>
      </w:pPr>
      <w:r>
        <w:rPr>
          <w:rFonts w:ascii="Calibri" w:cs="Calibri" w:eastAsia="Calibri" w:hAnsi="Calibri"/>
          <w:color w:val="1A1A1A"/>
          <w:sz w:val="21"/>
          <w:szCs w:val="21"/>
        </w:rPr>
        <w:t xml:space="preserve">A small solar-powered box sits where food is stored — a shed, a depot, a market stall. Inside it, a cheap sensor checks the temperature and how damp the air is, all the time, and a battery keeps it running even when there is no mains power.</w:t>
      </w:r>
    </w:p>
    <w:p>
      <w:pPr>
        <w:pStyle w:val="Heading2"/>
        <w:spacing w:after="110" w:before="240"/>
      </w:pPr>
      <w:r>
        <w:rPr>
          <w:rFonts w:ascii="Calibri" w:cs="Calibri" w:eastAsia="Calibri" w:hAnsi="Calibri"/>
          <w:b/>
          <w:bCs/>
          <w:color w:val="2D6A4F"/>
          <w:sz w:val="22"/>
          <w:szCs w:val="22"/>
        </w:rPr>
        <w:t xml:space="preserve">5.1 How it turns a reading into a warning</w:t>
      </w:r>
    </w:p>
    <w:p>
      <w:pPr>
        <w:spacing w:after="140" w:line="288"/>
      </w:pPr>
      <w:r>
        <w:rPr>
          <w:rFonts w:ascii="Calibri" w:cs="Calibri" w:eastAsia="Calibri" w:hAnsi="Calibri"/>
          <w:color w:val="1A1A1A"/>
          <w:sz w:val="21"/>
          <w:szCs w:val="21"/>
        </w:rPr>
        <w:t xml:space="preserve">Food spoils faster in the heat. This is real, well-studied food science: for many foods, spoilage roughly doubles for every 10 degrees Celsius the temperature rises. So instead of guessing a fixed shelf life, the system keeps recalculating: "given how hot it actually is right now, how many hours does this batch really have left?" In farmer language, the message reads: "Your tomatoes have about 14 hours of good condition left — sell today."</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The honest catch</w:t>
            </w:r>
          </w:p>
          <w:p>
            <w:pPr>
              <w:spacing w:after="0" w:line="288"/>
            </w:pPr>
            <w:r>
              <w:rPr>
                <w:rFonts w:ascii="Calibri" w:cs="Calibri" w:eastAsia="Calibri" w:hAnsi="Calibri"/>
                <w:color w:val="1A1A1A"/>
                <w:sz w:val="21"/>
                <w:szCs w:val="21"/>
              </w:rPr>
              <w:t xml:space="preserve">The exact "doubles every 10 degrees" rule is a well-known rule of thumb in food science, but the precise number is different for every crop, and should be checked against a proper food-storage reference or an agriculture lecturer before it is spoken as an exact figure.</w:t>
            </w:r>
          </w:p>
        </w:tc>
      </w:tr>
    </w:tbl>
    <w:p>
      <w:pPr>
        <w:pStyle w:val="Heading2"/>
        <w:spacing w:after="110" w:before="240"/>
      </w:pPr>
      <w:r>
        <w:rPr>
          <w:rFonts w:ascii="Calibri" w:cs="Calibri" w:eastAsia="Calibri" w:hAnsi="Calibri"/>
          <w:b/>
          <w:bCs/>
          <w:color w:val="2D6A4F"/>
          <w:sz w:val="22"/>
          <w:szCs w:val="22"/>
        </w:rPr>
        <w:t xml:space="preserve">5.2 A second warning, just for stored grain: mold risk</w:t>
      </w:r>
    </w:p>
    <w:p>
      <w:pPr>
        <w:spacing w:after="140" w:line="288"/>
      </w:pPr>
      <w:r>
        <w:rPr>
          <w:rFonts w:ascii="Calibri" w:cs="Calibri" w:eastAsia="Calibri" w:hAnsi="Calibri"/>
          <w:color w:val="1A1A1A"/>
          <w:sz w:val="21"/>
          <w:szCs w:val="21"/>
        </w:rPr>
        <w:t xml:space="preserve">Grain like maize has its own problem: mold, which grows fastest when it is both warm and damp at once. So the same sensor also watches for that combination and sends a different message: "Move your maize to a cooler, drier place to reduce mold risk." A real grain-storage monitoring company, OPIsystems, confirms that temperature, dampness, and carbon dioxide level are the three real signals used to catch spoiling grain early — grain that is rotting or has pests breathes out extra carbon dioxide before anything is visible. Adding a simple, cheap CO2 sensor to the grain version of this device follows a proven idea, not one we invented.</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When the warning fires, what should the farmer actually do?</w:t>
            </w:r>
          </w:p>
          <w:p>
            <w:pPr>
              <w:spacing w:after="0" w:line="288"/>
            </w:pPr>
            <w:r>
              <w:rPr>
                <w:rFonts w:ascii="Calibri" w:cs="Calibri" w:eastAsia="Calibri" w:hAnsi="Calibri"/>
                <w:color w:val="1A1A1A"/>
                <w:sz w:val="21"/>
                <w:szCs w:val="21"/>
              </w:rPr>
              <w:t xml:space="preserve">A well-documented, cheap answer already exists: PICS bags (Purdue Improved Crop Storage), a triple-layer bag that seals out air so pests inside die with no chemicals, already used widely across West and East Africa for maize and cowpeas, usually quoted around two to three dollars each. When our sensor flags high mold or pest risk, the advice is exactly this: move the grain into a sealed hermetic bag. The current exact price and loss-reduction figures were not confirmed from a live source this session.</w:t>
            </w:r>
          </w:p>
        </w:tc>
      </w:tr>
    </w:tbl>
    <w:p>
      <w:pPr>
        <w:pStyle w:val="Heading2"/>
        <w:spacing w:after="110" w:before="240"/>
      </w:pPr>
      <w:r>
        <w:rPr>
          <w:rFonts w:ascii="Calibri" w:cs="Calibri" w:eastAsia="Calibri" w:hAnsi="Calibri"/>
          <w:b/>
          <w:bCs/>
          <w:color w:val="2D6A4F"/>
          <w:sz w:val="22"/>
          <w:szCs w:val="22"/>
        </w:rPr>
        <w:t xml:space="preserve">5.3 A real, working, no-electricity cooler</w:t>
      </w:r>
    </w:p>
    <w:p>
      <w:pPr>
        <w:spacing w:after="140" w:line="288"/>
      </w:pPr>
      <w:r>
        <w:rPr>
          <w:rFonts w:ascii="Calibri" w:cs="Calibri" w:eastAsia="Calibri" w:hAnsi="Calibri"/>
          <w:color w:val="1A1A1A"/>
          <w:sz w:val="21"/>
          <w:szCs w:val="21"/>
        </w:rPr>
        <w:t xml:space="preserve">Rather than fake a cold room, we build a real one that needs no electricity: the "zeer" pot-in-pot cooler — a smaller clay pot inside a bigger one, wet sand packed between them, evaporation pulling the heat out. It was invented by Mohammed Bah Abba, who won a Rolex Award for it in 2001, and it costs about one US dollar to make. One sensor sits inside the cooler and one outside, so two real numbers, side by side, actually change because of real physics.</w:t>
      </w:r>
    </w:p>
    <w:p>
      <w:pPr>
        <w:pStyle w:val="Heading1"/>
        <w:pBdr>
          <w:bottom w:val="single" w:color="2D6A4F" w:sz="8" w:space="6"/>
        </w:pBdr>
        <w:spacing w:after="160" w:before="340"/>
      </w:pPr>
      <w:r>
        <w:rPr>
          <w:rFonts w:ascii="Calibri" w:cs="Calibri" w:eastAsia="Calibri" w:hAnsi="Calibri"/>
          <w:b/>
          <w:bCs/>
          <w:color w:val="1B4332"/>
          <w:sz w:val="27"/>
          <w:szCs w:val="27"/>
        </w:rPr>
        <w:t xml:space="preserve">6. Part 2 — Checking Sick Plants, Without Internet</w:t>
      </w:r>
    </w:p>
    <w:p>
      <w:pPr>
        <w:spacing w:after="140" w:line="288"/>
      </w:pPr>
      <w:r>
        <w:rPr>
          <w:rFonts w:ascii="Calibri" w:cs="Calibri" w:eastAsia="Calibri" w:hAnsi="Calibri"/>
          <w:color w:val="1A1A1A"/>
          <w:sz w:val="21"/>
          <w:szCs w:val="21"/>
        </w:rPr>
        <w:t xml:space="preserve">A farmer photographs a leaf that looks unwell. A small program running on the phone — no internet needed — gives a likely answer and a next step. If a photo is not possible, a short list of simple yes/no questions gives the same kind of answer instead.</w:t>
      </w:r>
    </w:p>
    <w:p>
      <w:pPr>
        <w:pStyle w:val="Heading2"/>
        <w:spacing w:after="110" w:before="240"/>
      </w:pPr>
      <w:r>
        <w:rPr>
          <w:rFonts w:ascii="Calibri" w:cs="Calibri" w:eastAsia="Calibri" w:hAnsi="Calibri"/>
          <w:b/>
          <w:bCs/>
          <w:color w:val="2D6A4F"/>
          <w:sz w:val="22"/>
          <w:szCs w:val="22"/>
        </w:rPr>
        <w:t xml:space="preserve">6.1 What it learns from</w:t>
      </w:r>
    </w:p>
    <w:p>
      <w:pPr>
        <w:spacing w:after="140" w:line="288"/>
      </w:pPr>
      <w:r>
        <w:rPr>
          <w:rFonts w:ascii="Calibri" w:cs="Calibri" w:eastAsia="Calibri" w:hAnsi="Calibri"/>
          <w:color w:val="1A1A1A"/>
          <w:sz w:val="21"/>
          <w:szCs w:val="21"/>
        </w:rPr>
        <w:t xml:space="preserve">The program is trained on PlantVillage, a large, free, public collection of leaf photos — over 54,000 pictures across 38 plant-and-disease combinations, put together by researchers in 2015. It is reasonably likely to cover maize, tomato, and potato, though the exact current list was not double-checked this session.</w:t>
      </w:r>
    </w:p>
    <w:p>
      <w:pPr>
        <w:pStyle w:val="Heading2"/>
        <w:spacing w:after="110" w:before="240"/>
      </w:pPr>
      <w:r>
        <w:rPr>
          <w:rFonts w:ascii="Calibri" w:cs="Calibri" w:eastAsia="Calibri" w:hAnsi="Calibri"/>
          <w:b/>
          <w:bCs/>
          <w:color w:val="2D6A4F"/>
          <w:sz w:val="22"/>
          <w:szCs w:val="22"/>
        </w:rPr>
        <w:t xml:space="preserve">6.2 The honest limit, said out loud before anyone asks</w:t>
      </w:r>
    </w:p>
    <w:p>
      <w:pPr>
        <w:spacing w:after="140" w:line="288"/>
      </w:pPr>
      <w:r>
        <w:rPr>
          <w:rFonts w:ascii="Calibri" w:cs="Calibri" w:eastAsia="Calibri" w:hAnsi="Calibri"/>
          <w:color w:val="1A1A1A"/>
          <w:sz w:val="21"/>
          <w:szCs w:val="21"/>
        </w:rPr>
        <w:t xml:space="preserve">The photos in that collection were mostly taken carefully, indoors, with good light. A real field photo is messier, and a well-known follow-up study (Mohanty, Hughes and Salathé, 2016) found that programs trained this way do noticeably worse on messy real-world photos than on the dataset's own clean test photos. We will say plainly, wherever this is shown: this is a fast first opinion, not a replacement for an extension officer.</w:t>
      </w:r>
    </w:p>
    <w:p>
      <w:pPr>
        <w:pStyle w:val="Heading2"/>
        <w:spacing w:after="110" w:before="240"/>
      </w:pPr>
      <w:r>
        <w:rPr>
          <w:rFonts w:ascii="Calibri" w:cs="Calibri" w:eastAsia="Calibri" w:hAnsi="Calibri"/>
          <w:b/>
          <w:bCs/>
          <w:color w:val="2D6A4F"/>
          <w:sz w:val="22"/>
          <w:szCs w:val="22"/>
        </w:rPr>
        <w:t xml:space="preserve">6.3 How it works without the internet</w:t>
      </w:r>
    </w:p>
    <w:p>
      <w:pPr>
        <w:spacing w:after="140" w:line="288"/>
      </w:pPr>
      <w:r>
        <w:rPr>
          <w:rFonts w:ascii="Calibri" w:cs="Calibri" w:eastAsia="Calibri" w:hAnsi="Calibri"/>
          <w:color w:val="1A1A1A"/>
          <w:sz w:val="21"/>
          <w:szCs w:val="21"/>
        </w:rPr>
        <w:t xml:space="preserve">The photo-checking program and disease list both live on the device itself, updating quietly in the background whenever a connection is available — the same offline-first pattern as Part 1, and exactly farmScreen's own original design.</w:t>
      </w:r>
    </w:p>
    <w:p>
      <w:pPr>
        <w:pStyle w:val="Heading1"/>
        <w:pBdr>
          <w:bottom w:val="single" w:color="2D6A4F" w:sz="8" w:space="6"/>
        </w:pBdr>
        <w:spacing w:after="160" w:before="340"/>
      </w:pPr>
      <w:r>
        <w:rPr>
          <w:rFonts w:ascii="Calibri" w:cs="Calibri" w:eastAsia="Calibri" w:hAnsi="Calibri"/>
          <w:b/>
          <w:bCs/>
          <w:color w:val="1B4332"/>
          <w:sz w:val="27"/>
          <w:szCs w:val="27"/>
        </w:rPr>
        <w:t xml:space="preserve">7. Part 3 — Watching the Whole Area From Space</w:t>
      </w:r>
    </w:p>
    <w:p>
      <w:pPr>
        <w:spacing w:after="140" w:line="288"/>
      </w:pPr>
      <w:r>
        <w:rPr>
          <w:rFonts w:ascii="Calibri" w:cs="Calibri" w:eastAsia="Calibri" w:hAnsi="Calibri"/>
          <w:color w:val="1A1A1A"/>
          <w:sz w:val="21"/>
          <w:szCs w:val="21"/>
        </w:rPr>
        <w:t xml:space="preserve">This part looks at a whole district, not one plant or one storage box, using satellite pictures that are already flying overhead and already free to use.</w:t>
      </w:r>
    </w:p>
    <w:p>
      <w:pPr>
        <w:spacing w:after="140" w:line="288"/>
      </w:pPr>
      <w:r>
        <w:rPr>
          <w:rFonts w:ascii="Calibri" w:cs="Calibri" w:eastAsia="Calibri" w:hAnsi="Calibri"/>
          <w:color w:val="1A1A1A"/>
          <w:sz w:val="21"/>
          <w:szCs w:val="21"/>
        </w:rPr>
        <w:t xml:space="preserve">Free pictures from Sentinel-2, a European satellite programme, cover the whole world roughly every five days, at a resolution where each dot covers about ten metres of ground — useful for spotting a stressed stretch of a district, but not sharp enough for one sick leaf on one plant, which is why this stays a separate part from Part 2. We pull this data using Google Earth Engine, genuinely free for research and non-commercial work.</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The honest limits of this part</w:t>
            </w:r>
          </w:p>
          <w:p>
            <w:pPr>
              <w:spacing w:after="0" w:line="288"/>
            </w:pPr>
            <w:r>
              <w:rPr>
                <w:rFonts w:ascii="Calibri" w:cs="Calibri" w:eastAsia="Calibri" w:hAnsi="Calibri"/>
                <w:color w:val="1A1A1A"/>
                <w:sz w:val="21"/>
                <w:szCs w:val="21"/>
              </w:rPr>
              <w:t xml:space="preserve">Clouds block the satellite's view completely, and Zimbabwe's rainy season, exactly when farmers most need to know about stress or drought, is also when cloud cover is at its worst. This is an early signal at the scale of a district over days, not an instant, all-weather answer.</w:t>
            </w:r>
          </w:p>
        </w:tc>
      </w:tr>
    </w:tbl>
    <w:p>
      <w:r>
        <w:br w:type="page"/>
      </w:r>
    </w:p>
    <w:p>
      <w:pPr>
        <w:pStyle w:val="Heading1"/>
        <w:pBdr>
          <w:bottom w:val="single" w:color="2D6A4F" w:sz="8" w:space="6"/>
        </w:pBdr>
        <w:spacing w:after="160" w:before="340"/>
      </w:pPr>
      <w:r>
        <w:rPr>
          <w:rFonts w:ascii="Calibri" w:cs="Calibri" w:eastAsia="Calibri" w:hAnsi="Calibri"/>
          <w:b/>
          <w:bCs/>
          <w:color w:val="1B4332"/>
          <w:sz w:val="27"/>
          <w:szCs w:val="27"/>
        </w:rPr>
        <w:t xml:space="preserve">8. Module 4 — Real Weather, Brought Back</w:t>
      </w:r>
    </w:p>
    <w:p>
      <w:pPr>
        <w:spacing w:after="140" w:line="288"/>
      </w:pPr>
      <w:r>
        <w:rPr>
          <w:rFonts w:ascii="Calibri" w:cs="Calibri" w:eastAsia="Calibri" w:hAnsi="Calibri"/>
          <w:color w:val="1A1A1A"/>
          <w:sz w:val="21"/>
          <w:szCs w:val="21"/>
        </w:rPr>
        <w:t xml:space="preserve">CEAShack first suggested weather data; it was set aside for having no real source. That is no longer true. Open-Meteo, checked directly, is a real weather service that is free for non-commercial use, needs no sign-up or key at that tier, and provides rainfall and forecast data for any location worldwide, including Zimbabwe, for up to sixteen days ahead. This module simply pulls that forecast and turns it into the same kind of plain-language alert as the other parts: "rain expected in two days — a good time to plant" or "dry spell ahead — check soil moisture." Part 3's satellite pictures already give a slower, free backup signal for rainfall and drought, so this module has two real sources feeding it, not one.</w:t>
      </w:r>
    </w:p>
    <w:p>
      <w:pPr>
        <w:pStyle w:val="Heading1"/>
        <w:pBdr>
          <w:bottom w:val="single" w:color="2D6A4F" w:sz="8" w:space="6"/>
        </w:pBdr>
        <w:spacing w:after="160" w:before="340"/>
      </w:pPr>
      <w:r>
        <w:rPr>
          <w:rFonts w:ascii="Calibri" w:cs="Calibri" w:eastAsia="Calibri" w:hAnsi="Calibri"/>
          <w:b/>
          <w:bCs/>
          <w:color w:val="1B4332"/>
          <w:sz w:val="27"/>
          <w:szCs w:val="27"/>
        </w:rPr>
        <w:t xml:space="preserve">9. Module 5 — Real Market Prices, Partly Brought Back</w:t>
      </w:r>
    </w:p>
    <w:p>
      <w:pPr>
        <w:spacing w:after="140" w:line="288"/>
      </w:pPr>
      <w:r>
        <w:rPr>
          <w:rFonts w:ascii="Calibri" w:cs="Calibri" w:eastAsia="Calibri" w:hAnsi="Calibri"/>
          <w:color w:val="1A1A1A"/>
          <w:sz w:val="21"/>
          <w:szCs w:val="21"/>
        </w:rPr>
        <w:t xml:space="preserve">CEAShack and MbudziGuard both raised this; it was set aside for the same reason. Checked again: Zimbabwe's own Agricultural Marketing Authority does publish real, regularly-updated public commodity prices across four named markets — Mbare, Sakubva, Chipadze, and Renkini — but for vegetables and horticultural produce, not for maize or other staple grains, which the Authority also regulates but does not appear to publish prices for. This is honestly a partial yes: a real, usable price feed exists now for the vegetables many smallholders also grow, and a farmer can be told, in the same plain-language style, where their crop is currently fetching the best price. Grain prices stay a named, unbuilt gap until a real source for those is found.</w:t>
      </w:r>
    </w:p>
    <w:p>
      <w:pPr>
        <w:pStyle w:val="Heading1"/>
        <w:pBdr>
          <w:bottom w:val="single" w:color="2D6A4F" w:sz="8" w:space="6"/>
        </w:pBdr>
        <w:spacing w:after="160" w:before="340"/>
      </w:pPr>
      <w:r>
        <w:rPr>
          <w:rFonts w:ascii="Calibri" w:cs="Calibri" w:eastAsia="Calibri" w:hAnsi="Calibri"/>
          <w:b/>
          <w:bCs/>
          <w:color w:val="1B4332"/>
          <w:sz w:val="27"/>
          <w:szCs w:val="27"/>
        </w:rPr>
        <w:t xml:space="preserve">10. Module 6 — Planting-Time Advice, as a Simple Rule, Not a Guess</w:t>
      </w:r>
    </w:p>
    <w:p>
      <w:pPr>
        <w:spacing w:after="140" w:line="288"/>
      </w:pPr>
      <w:r>
        <w:rPr>
          <w:rFonts w:ascii="Calibri" w:cs="Calibri" w:eastAsia="Calibri" w:hAnsi="Calibri"/>
          <w:color w:val="1A1A1A"/>
          <w:sz w:val="21"/>
          <w:szCs w:val="21"/>
        </w:rPr>
        <w:t xml:space="preserve">This was set aside pending a real agronomist. It can now be built as a rule-based helper: the Food and Agriculture Organization publishes a real, public crop-calendar tool showing typical planting windows by country and crop, which this module combines with Part 3's own soil-moisture and rainfall signal (and Module 4's forecast) to suggest a rough planting window. Zimbabwe's specific coverage in that FAO tool, and the exact rules for combining it with our own data, both still need checking before this reaches a farmer — but the real data pieces it is built from all exist.</w:t>
      </w:r>
    </w:p>
    <w:p>
      <w:pPr>
        <w:pStyle w:val="Heading1"/>
        <w:pBdr>
          <w:bottom w:val="single" w:color="2D6A4F" w:sz="8" w:space="6"/>
        </w:pBdr>
        <w:spacing w:after="160" w:before="340"/>
      </w:pPr>
      <w:r>
        <w:rPr>
          <w:rFonts w:ascii="Calibri" w:cs="Calibri" w:eastAsia="Calibri" w:hAnsi="Calibri"/>
          <w:b/>
          <w:bCs/>
          <w:color w:val="1B4332"/>
          <w:sz w:val="27"/>
          <w:szCs w:val="27"/>
        </w:rPr>
        <w:t xml:space="preserve">11. Module 7 — Turning Farm Waste Into Livestock Feed</w:t>
      </w:r>
    </w:p>
    <w:p>
      <w:pPr>
        <w:spacing w:after="140" w:line="288"/>
      </w:pPr>
      <w:r>
        <w:rPr>
          <w:rFonts w:ascii="Calibri" w:cs="Calibri" w:eastAsia="Calibri" w:hAnsi="Calibri"/>
          <w:color w:val="1A1A1A"/>
          <w:sz w:val="21"/>
          <w:szCs w:val="21"/>
        </w:rPr>
        <w:t xml:space="preserve">farmScreen's idea of checking a sick animal from a photo stays dropped for good — there is still no usable public animal-disease photo dataset the way PlantVillage exists for plants. In its place: a guide for turning crop leftovers — maize stalks, husks, peels — into livestock feed. This is a real, long-documented field; the Food and Agriculture Organization has published technical guidance on processing and preserving crop residues as feed since at least the early 1990s. The exact safe recipes and ratios were not confirmed from a primary source this session, so a local livestock-extension partner would need to check them before any specific advice reaches a farmer. Because this is codified expert guidance rather than a new photo-recognition problem, it is a rule-based module, not a machine-learning one — which is what makes it realistically buildable.</w:t>
      </w:r>
    </w:p>
    <w:p>
      <w:pPr>
        <w:pStyle w:val="Heading1"/>
        <w:pBdr>
          <w:bottom w:val="single" w:color="2D6A4F" w:sz="8" w:space="6"/>
        </w:pBdr>
        <w:spacing w:after="160" w:before="340"/>
      </w:pPr>
      <w:r>
        <w:rPr>
          <w:rFonts w:ascii="Calibri" w:cs="Calibri" w:eastAsia="Calibri" w:hAnsi="Calibri"/>
          <w:b/>
          <w:bCs/>
          <w:color w:val="1B4332"/>
          <w:sz w:val="27"/>
          <w:szCs w:val="27"/>
        </w:rPr>
        <w:t xml:space="preserve">12. Module 8 — A Seasonal Pest-Risk Reminder</w:t>
      </w:r>
    </w:p>
    <w:p>
      <w:pPr>
        <w:spacing w:after="140" w:line="288"/>
      </w:pPr>
      <w:r>
        <w:rPr>
          <w:rFonts w:ascii="Calibri" w:cs="Calibri" w:eastAsia="Calibri" w:hAnsi="Calibri"/>
          <w:color w:val="1A1A1A"/>
          <w:sz w:val="21"/>
          <w:szCs w:val="21"/>
        </w:rPr>
        <w:t xml:space="preserve">The earlier Agri-Shield write-up claimed a sensor could predict a specific pest outbreak from weather data alone. That stays rejected: the real early-warning system for that pest, run by the UN's FAO, uses physical insect traps and field scouting, not weather sensors. The one honest piece worth keeping is much smaller — a plain, calendar-based reminder for when a known pest is typically active in the season, sent the same way as every other alert in this app. It is not a claim that we detected or predicted anything, only a nudge based on when the season says a pest is usually around — small, but true.</w:t>
      </w:r>
    </w:p>
    <w:p>
      <w:pPr>
        <w:pStyle w:val="Heading1"/>
        <w:pBdr>
          <w:bottom w:val="single" w:color="2D6A4F" w:sz="8" w:space="6"/>
        </w:pBdr>
        <w:spacing w:after="160" w:before="340"/>
      </w:pPr>
      <w:r>
        <w:rPr>
          <w:rFonts w:ascii="Calibri" w:cs="Calibri" w:eastAsia="Calibri" w:hAnsi="Calibri"/>
          <w:b/>
          <w:bCs/>
          <w:color w:val="1B4332"/>
          <w:sz w:val="27"/>
          <w:szCs w:val="27"/>
        </w:rPr>
        <w:t xml:space="preserve">13. What Comes After — the Real Cold Room</w:t>
      </w:r>
    </w:p>
    <w:p>
      <w:pPr>
        <w:spacing w:after="140" w:line="288"/>
      </w:pPr>
      <w:r>
        <w:rPr>
          <w:rFonts w:ascii="Calibri" w:cs="Calibri" w:eastAsia="Calibri" w:hAnsi="Calibri"/>
          <w:color w:val="1A1A1A"/>
          <w:sz w:val="21"/>
          <w:szCs w:val="21"/>
        </w:rPr>
        <w:t xml:space="preserve">AgriChill Africa's vision of a real, powered cold room is not rejected — it is sequenced. A walk-in cold room is real infrastructure, not a demo prop, and costs roughly $30,000. The honest order is not to build it on a guess, but to let Part 1's own sensor data — real usage, real temperatures, real spoilage avoided — become the evidence base that justifies building one, the same argument ColdHubs and SoKo Fresh have already proven works elsewhere in Africa.</w:t>
      </w:r>
    </w:p>
    <w:p>
      <w:pPr>
        <w:pStyle w:val="Heading1"/>
        <w:pBdr>
          <w:bottom w:val="single" w:color="2D6A4F" w:sz="8" w:space="6"/>
        </w:pBdr>
        <w:spacing w:after="160" w:before="340"/>
      </w:pPr>
      <w:r>
        <w:rPr>
          <w:rFonts w:ascii="Calibri" w:cs="Calibri" w:eastAsia="Calibri" w:hAnsi="Calibri"/>
          <w:b/>
          <w:bCs/>
          <w:color w:val="1B4332"/>
          <w:sz w:val="27"/>
          <w:szCs w:val="27"/>
        </w:rPr>
        <w:t xml:space="preserve">14. The Market &amp; Hub Access Layer — Mari Hub's Idea, Rebuilt on Real Data</w:t>
      </w:r>
    </w:p>
    <w:p>
      <w:pPr>
        <w:spacing w:after="140" w:line="288"/>
      </w:pPr>
      <w:r>
        <w:rPr>
          <w:rFonts w:ascii="Calibri" w:cs="Calibri" w:eastAsia="Calibri" w:hAnsi="Calibri"/>
          <w:color w:val="1A1A1A"/>
          <w:sz w:val="21"/>
          <w:szCs w:val="21"/>
        </w:rPr>
        <w:t xml:space="preserve">Mari Hub, an earlier and separate concept, imagined solar- and Starlink-powered community hubs at points farmers already visit — depots, buying posts, growth-point centres — offering crop diagnosis, market access, and weather alerts as one shared service, with the key insight that one hub's signal should improve every other hub's response.</w:t>
      </w:r>
    </w:p>
    <w:p>
      <w:pPr>
        <w:spacing w:after="140" w:line="288"/>
      </w:pPr>
      <w:r>
        <w:rPr>
          <w:rFonts w:ascii="Calibri" w:cs="Calibri" w:eastAsia="Calibri" w:hAnsi="Calibri"/>
          <w:color w:val="1A1A1A"/>
          <w:sz w:val="21"/>
          <w:szCs w:val="21"/>
        </w:rPr>
        <w:t xml:space="preserve">The Starlink-and-cooperative-hub infrastructure that idea was built around was never costed or confirmed this session, and a shared physical hub is a much bigger, slower thing to build than a module that plugs into a phone already in a farmer's pocket. Rather than drop the idea, this hybrid plan rebuilds its actual value — connecting real local surplus to real buyers — on top of infrastructure AgriShield already has:</w:t>
      </w:r>
    </w:p>
    <w:p>
      <w:pPr>
        <w:pStyle w:val="ListParagraph"/>
        <w:numPr>
          <w:ilvl w:val="0"/>
          <w:numId w:val="2"/>
        </w:numPr>
        <w:spacing w:after="90" w:line="288"/>
      </w:pPr>
      <w:r>
        <w:rPr>
          <w:rFonts w:ascii="Calibri" w:cs="Calibri" w:eastAsia="Calibri" w:hAnsi="Calibri"/>
          <w:b/>
          <w:bCs/>
          <w:color w:val="1A1A1A"/>
          <w:sz w:val="21"/>
          <w:szCs w:val="21"/>
        </w:rPr>
        <w:t xml:space="preserve">Real surplus signal, not a guess. </w:t>
      </w:r>
      <w:r>
        <w:rPr>
          <w:rFonts w:ascii="Calibri" w:cs="Calibri" w:eastAsia="Calibri" w:hAnsi="Calibri"/>
          <w:color w:val="1A1A1A"/>
          <w:sz w:val="21"/>
          <w:szCs w:val="21"/>
        </w:rPr>
        <w:t xml:space="preserve">Part 1's sensors already know how much stored food is at a collection point and how fresh it is; Part 3's satellite view already shows which parts of a district are having a good or bad season.</w:t>
      </w:r>
    </w:p>
    <w:p>
      <w:pPr>
        <w:pStyle w:val="ListParagraph"/>
        <w:numPr>
          <w:ilvl w:val="0"/>
          <w:numId w:val="2"/>
        </w:numPr>
        <w:spacing w:after="90" w:line="288"/>
      </w:pPr>
      <w:r>
        <w:rPr>
          <w:rFonts w:ascii="Calibri" w:cs="Calibri" w:eastAsia="Calibri" w:hAnsi="Calibri"/>
          <w:b/>
          <w:bCs/>
          <w:color w:val="1A1A1A"/>
          <w:sz w:val="21"/>
          <w:szCs w:val="21"/>
        </w:rPr>
        <w:t xml:space="preserve">Real price signal, not a guess. </w:t>
      </w:r>
      <w:r>
        <w:rPr>
          <w:rFonts w:ascii="Calibri" w:cs="Calibri" w:eastAsia="Calibri" w:hAnsi="Calibri"/>
          <w:color w:val="1A1A1A"/>
          <w:sz w:val="21"/>
          <w:szCs w:val="21"/>
        </w:rPr>
        <w:t xml:space="preserve">Module 5's vegetable price feed already shows where a crop is fetching the best price right now.</w:t>
      </w:r>
    </w:p>
    <w:p>
      <w:pPr>
        <w:pStyle w:val="ListParagraph"/>
        <w:numPr>
          <w:ilvl w:val="0"/>
          <w:numId w:val="2"/>
        </w:numPr>
        <w:spacing w:after="90" w:line="288"/>
      </w:pPr>
      <w:r>
        <w:rPr>
          <w:rFonts w:ascii="Calibri" w:cs="Calibri" w:eastAsia="Calibri" w:hAnsi="Calibri"/>
          <w:b/>
          <w:bCs/>
          <w:color w:val="1A1A1A"/>
          <w:sz w:val="21"/>
          <w:szCs w:val="21"/>
        </w:rPr>
        <w:t xml:space="preserve">One shared channel, already built. </w:t>
      </w:r>
      <w:r>
        <w:rPr>
          <w:rFonts w:ascii="Calibri" w:cs="Calibri" w:eastAsia="Calibri" w:hAnsi="Calibri"/>
          <w:color w:val="1A1A1A"/>
          <w:sz w:val="21"/>
          <w:szCs w:val="21"/>
        </w:rPr>
        <w:t xml:space="preserve">The same Africa's Talking text/USSD/voice layer every other part uses can carry a simple "surplus available here, buyer wanted" message to a transport broker or buyer, exactly like Mari Hub's original market layer, but riding on infrastructure that already exists rather than a new satellite terminal.</w:t>
      </w:r>
    </w:p>
    <w:p>
      <w:pPr>
        <w:spacing w:after="140" w:line="288"/>
      </w:pPr>
      <w:r>
        <w:rPr>
          <w:rFonts w:ascii="Calibri" w:cs="Calibri" w:eastAsia="Calibri" w:hAnsi="Calibri"/>
          <w:color w:val="1A1A1A"/>
          <w:sz w:val="21"/>
          <w:szCs w:val="21"/>
        </w:rPr>
        <w:t xml:space="preserve">Mari Hub's "cross-layer feedback loop" — one location's signal improving every other location's response — is also genuinely possible here, once enough collection points are running Part 1 and Part 3 together: a pest surge or a drought signal seen at one hub can automatically flag a heightened risk to every nearby one. This stays a later-stage idea, after Phase 4's modules are proven, because it depends on having several real collection points already running, not because the concept is doubted.</w:t>
      </w:r>
    </w:p>
    <w:p>
      <w:pPr>
        <w:pStyle w:val="Heading2"/>
        <w:spacing w:after="110" w:before="240"/>
      </w:pPr>
      <w:r>
        <w:rPr>
          <w:rFonts w:ascii="Calibri" w:cs="Calibri" w:eastAsia="Calibri" w:hAnsi="Calibri"/>
          <w:b/>
          <w:bCs/>
          <w:color w:val="2D6A4F"/>
          <w:sz w:val="22"/>
          <w:szCs w:val="22"/>
        </w:rPr>
        <w:t xml:space="preserve">14.4 A Direct Line to Manufacturers and Input Sellers, Not Just Produce Buyers</w:t>
      </w:r>
    </w:p>
    <w:p>
      <w:pPr>
        <w:spacing w:after="140" w:line="288"/>
      </w:pPr>
      <w:r>
        <w:rPr>
          <w:rFonts w:ascii="Calibri" w:cs="Calibri" w:eastAsia="Calibri" w:hAnsi="Calibri"/>
          <w:color w:val="1A1A1A"/>
          <w:sz w:val="21"/>
          <w:szCs w:val="21"/>
        </w:rPr>
        <w:t xml:space="preserve">Everything above connects a farmer's surplus produce to a buyer. The same layer can just as naturally run the other direction: connecting a farmer's input needs — seed, fertiliser, a solar kit, tools — to real manufacturers, agro-dealers, and other sellers, instead of relying on word of mouth.</w:t>
      </w:r>
    </w:p>
    <w:p>
      <w:pPr>
        <w:spacing w:after="140" w:line="288"/>
      </w:pPr>
      <w:r>
        <w:rPr>
          <w:rFonts w:ascii="Calibri" w:cs="Calibri" w:eastAsia="Calibri" w:hAnsi="Calibri"/>
          <w:color w:val="1A1A1A"/>
          <w:sz w:val="21"/>
          <w:szCs w:val="21"/>
        </w:rPr>
        <w:t xml:space="preserve">This does not need a new engine invented from nothing. Kuwana, the price-comparison platform already grounding Section 2's market engine through its Best-Comparison-Index (BCI) scoring, has since built a second real product on the same underlying pattern: ZivaBasa, a workforce-analytics tool for banks, described in its own solution specification. What that confirms, independent of what ZivaBasa itself does, is that the pattern is proven and reusable across very different uses: separate organisations each get their own isolated, permissioned account; every match or recommendation carries a plain-language reason, never a bare score; and a full record of who was matched with whom is kept for accountability. Pointing that same, now twice-proven architecture at farm inputs means a manufacturer or agro-dealer creates a seller account and lists what they sell and at what price, and a farmer sees a small, explained shortlist in return — supplier X is cheapest, supplier Y costs a little more but reliably has stock, supplier Z is further away but includes delivery — the same "total cost and quality together, never price alone" logic Section 2 already proposes for produce buyers.</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Said honestly</w:t>
            </w:r>
          </w:p>
          <w:p>
            <w:pPr>
              <w:spacing w:after="0" w:line="288"/>
            </w:pPr>
            <w:r>
              <w:rPr>
                <w:rFonts w:ascii="Calibri" w:cs="Calibri" w:eastAsia="Calibri" w:hAnsi="Calibri"/>
                <w:color w:val="1A1A1A"/>
                <w:sz w:val="21"/>
                <w:szCs w:val="21"/>
              </w:rPr>
              <w:t xml:space="preserve">No partnership with a national grain buyer, transport broker, telecom, manufacturer, or agro-dealer has been discussed or confirmed for AgriShield. And a good match-making design does not, by itself, solve the real problem every two-sided marketplace like this shares: it only becomes useful once enough real sellers actually sign up and keep their listings current — the same cold-start challenge Kuwana's own bulk-import process is deliberately careful about, requiring a cited source for every price entered rather than a guess. Both layers described in this section are real, buildable extensions of AgriShield's existing data, not a promise that a buyer or seller network already exists.</w:t>
            </w:r>
          </w:p>
        </w:tc>
      </w:tr>
    </w:tbl>
    <w:p>
      <w:pPr>
        <w:pStyle w:val="Heading2"/>
        <w:spacing w:after="110" w:before="240"/>
      </w:pPr>
      <w:r>
        <w:rPr>
          <w:rFonts w:ascii="Calibri" w:cs="Calibri" w:eastAsia="Calibri" w:hAnsi="Calibri"/>
          <w:b/>
          <w:bCs/>
          <w:color w:val="2D6A4F"/>
          <w:sz w:val="22"/>
          <w:szCs w:val="22"/>
        </w:rPr>
        <w:t xml:space="preserve">14.5 A Simpler Version to Build First: Just Give Them a Contact</w:t>
      </w:r>
    </w:p>
    <w:p>
      <w:pPr>
        <w:spacing w:after="140" w:line="288"/>
      </w:pPr>
      <w:r>
        <w:rPr>
          <w:rFonts w:ascii="Calibri" w:cs="Calibri" w:eastAsia="Calibri" w:hAnsi="Calibri"/>
          <w:color w:val="1A1A1A"/>
          <w:sz w:val="21"/>
          <w:szCs w:val="21"/>
        </w:rPr>
        <w:t xml:space="preserve">Section 14.4's scored engine is the fuller version of this idea. There is a much smaller, faster-to-build version worth building before it, or alongside it, closer in spirit to inDrive, the real ride-hailing app whose whole difference from a competitor like Uber is that it never fixes a price itself — the rider and driver name a figure and negotiate directly, and the app's only job is putting the two of them in touch. Applied to crops instead of rides: AgriShield does not need to compute a score or set a price at all. It only needs two things it is already close to having — a real signal that a farmer's crop is ready (Part 1's sensor already knows there is wheat sitting in a particular storage bin, and roughly how fresh it is), and a short list of real buyers currently looking for that crop nearby. When both exist, the whole feature is one message, sent the same way as every other AgriShield alert: "Your wheat in the storage bin has a buyer — [Buyer name], [location], [phone number]." The farmer calls the number and negotiates the price themselves, the same way an inDrive rider and driver agree a fare between themselves, off the app.</w:t>
      </w:r>
    </w:p>
    <w:p>
      <w:pPr>
        <w:spacing w:after="140" w:line="288"/>
      </w:pPr>
      <w:r>
        <w:rPr>
          <w:rFonts w:ascii="Calibri" w:cs="Calibri" w:eastAsia="Calibri" w:hAnsi="Calibri"/>
          <w:color w:val="1A1A1A"/>
          <w:sz w:val="21"/>
          <w:szCs w:val="21"/>
        </w:rPr>
        <w:t xml:space="preserve">This is deliberately less automated than Section 14.4, and that is the point, not a shortcoming. It needs no scoring engine, no in-app payment, and no algorithm deciding what a fair price is — only a simple, maintained list of buyer names, locations, and phone numbers, matched to a crop type and a rough location. That is a far smaller build than the full BCI-scored engine, and it sidesteps a real risk that engine carries: AgriShield never touches the money or the terms of the deal, so it is not on the hook for what the buyer actually pays, only for making a real, honest introduction. It could reasonably come first, with Section 14.4's fuller, scored version following once there is enough real buyer and seller volume to make ranking and scoring worth the extra build.</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Said honestly</w:t>
            </w:r>
          </w:p>
          <w:p>
            <w:pPr>
              <w:spacing w:after="0" w:line="288"/>
            </w:pPr>
            <w:r>
              <w:rPr>
                <w:rFonts w:ascii="Calibri" w:cs="Calibri" w:eastAsia="Calibri" w:hAnsi="Calibri"/>
                <w:color w:val="1A1A1A"/>
                <w:sz w:val="21"/>
                <w:szCs w:val="21"/>
              </w:rPr>
              <w:t xml:space="preserve">This version is only as good as the buyer contact list behind it, and no such list — a cooperative's membership, a grain-marketing board's registered buyers, an agro-dealer association's directory — has been sourced or confirmed for AgriShield yet. It also cannot promise a farmer that a listed buyer will answer the phone, pay fairly, or honour the deal; AgriShield's role stops at the introduction, exactly as inDrive's stops once it has connected a rider and a driver.</w:t>
            </w:r>
          </w:p>
        </w:tc>
      </w:tr>
    </w:tbl>
    <w:p>
      <w:pPr>
        <w:pStyle w:val="Heading1"/>
        <w:pBdr>
          <w:bottom w:val="single" w:color="2D6A4F" w:sz="8" w:space="6"/>
        </w:pBdr>
        <w:spacing w:after="160" w:before="340"/>
      </w:pPr>
      <w:r>
        <w:rPr>
          <w:rFonts w:ascii="Calibri" w:cs="Calibri" w:eastAsia="Calibri" w:hAnsi="Calibri"/>
          <w:b/>
          <w:bCs/>
          <w:color w:val="1B4332"/>
          <w:sz w:val="27"/>
          <w:szCs w:val="27"/>
        </w:rPr>
        <w:t xml:space="preserve">15. The UN Goals, One Line Each</w:t>
      </w:r>
    </w:p>
    <w:tbl>
      <w:tblPr>
        <w:tblW w:type="dxa" w:w="9026"/>
        <w:tblBorders>
          <w:top w:val="single" w:color="C8D6CE" w:sz="4"/>
          <w:left w:val="none"/>
          <w:bottom w:val="single" w:color="C8D6CE" w:sz="4"/>
          <w:right w:val="none"/>
          <w:insideH w:val="single" w:color="DCE6E0" w:sz="2"/>
          <w:insideV w:val="none"/>
        </w:tblBorders>
      </w:tblPr>
      <w:tblGrid>
        <w:gridCol w:w="2600"/>
        <w:gridCol w:w="6426"/>
      </w:tblGrid>
      <w:tr>
        <w:trPr>
          <w:tblHeader/>
        </w:trPr>
        <w:tc>
          <w:tcPr>
            <w:tcW w:type="dxa" w:w="26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Goal</w:t>
            </w:r>
          </w:p>
        </w:tc>
        <w:tc>
          <w:tcPr>
            <w:tcW w:type="dxa" w:w="6426"/>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How this project helps</w:t>
            </w:r>
          </w:p>
        </w:tc>
      </w:tr>
      <w:tr>
        <w:tc>
          <w:tcPr>
            <w:tcW w:type="dxa" w:w="26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Goal 2 — Zero Hunger</w:t>
            </w:r>
          </w:p>
        </w:tc>
        <w:tc>
          <w:tcPr>
            <w:tcW w:type="dxa" w:w="64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Less food is lost to spoilage or missed disease, so more of what is grown actually gets eaten or sold.</w:t>
            </w:r>
          </w:p>
        </w:tc>
      </w:tr>
      <w:tr>
        <w:tc>
          <w:tcPr>
            <w:tcW w:type="dxa" w:w="26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Goal 1 — No Poverty</w:t>
            </w:r>
          </w:p>
        </w:tc>
        <w:tc>
          <w:tcPr>
            <w:tcW w:type="dxa" w:w="64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Farmers keep more money by losing less food, catching problems earlier, and reaching a fairer price.</w:t>
            </w:r>
          </w:p>
        </w:tc>
      </w:tr>
      <w:tr>
        <w:tc>
          <w:tcPr>
            <w:tcW w:type="dxa" w:w="26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Goal 7 — Clean Energy</w:t>
            </w:r>
          </w:p>
        </w:tc>
        <w:tc>
          <w:tcPr>
            <w:tcW w:type="dxa" w:w="64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Every sensor runs on solar power, on purpose.</w:t>
            </w:r>
          </w:p>
        </w:tc>
      </w:tr>
      <w:tr>
        <w:tc>
          <w:tcPr>
            <w:tcW w:type="dxa" w:w="26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Goal 13 — Climate Action</w:t>
            </w:r>
          </w:p>
        </w:tc>
        <w:tc>
          <w:tcPr>
            <w:tcW w:type="dxa" w:w="64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drought, weather, and soil-stress warnings help farmers cope with a changing, less predictable climate.</w:t>
            </w:r>
          </w:p>
        </w:tc>
      </w:tr>
      <w:tr>
        <w:tc>
          <w:tcPr>
            <w:tcW w:type="dxa" w:w="26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Goal 9 — Innovation and Infrastructure</w:t>
            </w:r>
          </w:p>
        </w:tc>
        <w:tc>
          <w:tcPr>
            <w:tcW w:type="dxa" w:w="64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Builds simple, low-cost technology for places without steady power or internet, instead of assuming they have both.</w:t>
            </w:r>
          </w:p>
        </w:tc>
      </w:tr>
      <w:tr>
        <w:tc>
          <w:tcPr>
            <w:tcW w:type="dxa" w:w="26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Goal 12 — Responsible Consumption</w:t>
            </w:r>
          </w:p>
        </w:tc>
        <w:tc>
          <w:tcPr>
            <w:tcW w:type="dxa" w:w="64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Directly aims at reducing food that is grown but never eaten, and waste turned into livestock feed instead of thrown away.</w:t>
            </w:r>
          </w:p>
        </w:tc>
      </w:tr>
    </w:tbl>
    <w:p>
      <w:pPr>
        <w:spacing w:after="140"/>
      </w:pPr>
    </w:p>
    <w:p>
      <w:pPr>
        <w:spacing w:after="140" w:line="288"/>
      </w:pPr>
      <w:r>
        <w:rPr>
          <w:rFonts w:ascii="Calibri" w:cs="Calibri" w:eastAsia="Calibri" w:hAnsi="Calibri"/>
          <w:i/>
          <w:iCs/>
          <w:color w:val="5A6B62"/>
          <w:sz w:val="21"/>
          <w:szCs w:val="21"/>
        </w:rPr>
        <w:t xml:space="preserve">We keep this list honest: the first two are the real, direct reasons this project exists. The rest are true, but smaller side benefits, not headline claims.</w:t>
      </w:r>
    </w:p>
    <w:p>
      <w:r>
        <w:br w:type="page"/>
      </w:r>
    </w:p>
    <w:p>
      <w:pPr>
        <w:pStyle w:val="Heading1"/>
        <w:pBdr>
          <w:bottom w:val="single" w:color="2D6A4F" w:sz="8" w:space="6"/>
        </w:pBdr>
        <w:spacing w:after="160" w:before="340"/>
      </w:pPr>
      <w:r>
        <w:rPr>
          <w:rFonts w:ascii="Calibri" w:cs="Calibri" w:eastAsia="Calibri" w:hAnsi="Calibri"/>
          <w:b/>
          <w:bCs/>
          <w:color w:val="1B4332"/>
          <w:sz w:val="27"/>
          <w:szCs w:val="27"/>
        </w:rPr>
        <w:t xml:space="preserve">16. What We Recommend Building With</w:t>
      </w:r>
    </w:p>
    <w:tbl>
      <w:tblPr>
        <w:tblW w:type="dxa" w:w="9026"/>
        <w:tblBorders>
          <w:top w:val="single" w:color="C8D6CE" w:sz="4"/>
          <w:left w:val="none"/>
          <w:bottom w:val="single" w:color="C8D6CE" w:sz="4"/>
          <w:right w:val="none"/>
          <w:insideH w:val="single" w:color="DCE6E0" w:sz="2"/>
          <w:insideV w:val="none"/>
        </w:tblBorders>
      </w:tblPr>
      <w:tblGrid>
        <w:gridCol w:w="1800"/>
        <w:gridCol w:w="2800"/>
        <w:gridCol w:w="4426"/>
      </w:tblGrid>
      <w:tr>
        <w:trPr>
          <w:tblHeader/>
        </w:trPr>
        <w:tc>
          <w:tcPr>
            <w:tcW w:type="dxa" w:w="18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Layer</w:t>
            </w:r>
          </w:p>
        </w:tc>
        <w:tc>
          <w:tcPr>
            <w:tcW w:type="dxa" w:w="28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Recommendation</w:t>
            </w:r>
          </w:p>
        </w:tc>
        <w:tc>
          <w:tcPr>
            <w:tcW w:type="dxa" w:w="4426"/>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Why</w:t>
            </w:r>
          </w:p>
        </w:tc>
      </w:tr>
      <w:tr>
        <w:tc>
          <w:tcPr>
            <w:tcW w:type="dxa" w:w="18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Farmer-facing app</w:t>
            </w:r>
          </w:p>
        </w:tc>
        <w:tc>
          <w:tcPr>
            <w:tcW w:type="dxa" w:w="28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Flutter</w:t>
            </w:r>
          </w:p>
        </w:tc>
        <w:tc>
          <w:tcPr>
            <w:tcW w:type="dxa" w:w="44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One codebase for Android, the realistic majority device among smallholder farmers; a mature, well-supported way to run Part 2's photo-checking program directly on a phone (tflite_flutter); good built-in support for working offline and syncing later.</w:t>
            </w:r>
          </w:p>
        </w:tc>
      </w:tr>
      <w:tr>
        <w:tc>
          <w:tcPr>
            <w:tcW w:type="dxa" w:w="18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Central server</w:t>
            </w:r>
          </w:p>
        </w:tc>
        <w:tc>
          <w:tcPr>
            <w:tcW w:type="dxa" w:w="28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 small Python service (FastAPI) with a Postgres database</w:t>
            </w:r>
          </w:p>
        </w:tc>
        <w:tc>
          <w:tcPr>
            <w:tcW w:type="dxa" w:w="44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Only needed for what must be shared across many phones — satellite maps, price and weather data, synced records — not for anything that runs fine on a single phone.</w:t>
            </w:r>
          </w:p>
        </w:tc>
      </w:tr>
      <w:tr>
        <w:tc>
          <w:tcPr>
            <w:tcW w:type="dxa" w:w="18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Satellite pictures</w:t>
            </w:r>
          </w:p>
        </w:tc>
        <w:tc>
          <w:tcPr>
            <w:tcW w:type="dxa" w:w="28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Python, through Google Earth Engine</w:t>
            </w:r>
          </w:p>
        </w:tc>
        <w:tc>
          <w:tcPr>
            <w:tcW w:type="dxa" w:w="44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same, genuinely free tool already confirmed for Part 3, run automatically on a schedule.</w:t>
            </w:r>
          </w:p>
        </w:tc>
      </w:tr>
      <w:tr>
        <w:tc>
          <w:tcPr>
            <w:tcW w:type="dxa" w:w="18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Sick-plant program</w:t>
            </w:r>
          </w:p>
        </w:tc>
        <w:tc>
          <w:tcPr>
            <w:tcW w:type="dxa" w:w="28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TensorFlow, trained on the public PlantVillage photo library</w:t>
            </w:r>
          </w:p>
        </w:tc>
        <w:tc>
          <w:tcPr>
            <w:tcW w:type="dxa" w:w="44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Trained once, then runs on the phone with no internet needed.</w:t>
            </w:r>
          </w:p>
        </w:tc>
      </w:tr>
      <w:tr>
        <w:tc>
          <w:tcPr>
            <w:tcW w:type="dxa" w:w="18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Reaching the farmer</w:t>
            </w:r>
          </w:p>
        </w:tc>
        <w:tc>
          <w:tcPr>
            <w:tcW w:type="dxa" w:w="28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Africa's Talking (text, phone menu, and voice call)</w:t>
            </w:r>
          </w:p>
        </w:tc>
        <w:tc>
          <w:tcPr>
            <w:tcW w:type="dxa" w:w="44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Already confirmed real and working across all three channels; every module, including the new ones, reuses this one piece rather than inventing its own.</w:t>
            </w:r>
          </w:p>
        </w:tc>
      </w:tr>
    </w:tbl>
    <w:p>
      <w:pPr>
        <w:pStyle w:val="Heading1"/>
        <w:pBdr>
          <w:bottom w:val="single" w:color="2D6A4F" w:sz="8" w:space="6"/>
        </w:pBdr>
        <w:spacing w:after="160" w:before="340"/>
      </w:pPr>
      <w:r>
        <w:rPr>
          <w:rFonts w:ascii="Calibri" w:cs="Calibri" w:eastAsia="Calibri" w:hAnsi="Calibri"/>
          <w:b/>
          <w:bCs/>
          <w:color w:val="1B4332"/>
          <w:sz w:val="27"/>
          <w:szCs w:val="27"/>
        </w:rPr>
        <w:t xml:space="preserve">17. How Every Part Fits Together</w:t>
      </w:r>
    </w:p>
    <w:tbl>
      <w:tblPr>
        <w:tblW w:type="dxa" w:w="9026"/>
        <w:tblBorders>
          <w:top w:val="single" w:color="C8D6CE" w:sz="4"/>
          <w:left w:val="none"/>
          <w:bottom w:val="single" w:color="C8D6CE" w:sz="4"/>
          <w:right w:val="none"/>
          <w:insideH w:val="single" w:color="DCE6E0" w:sz="2"/>
          <w:insideV w:val="none"/>
        </w:tblBorders>
      </w:tblPr>
      <w:tblGrid>
        <w:gridCol w:w="2200"/>
        <w:gridCol w:w="2000"/>
        <w:gridCol w:w="4826"/>
      </w:tblGrid>
      <w:tr>
        <w:trPr>
          <w:tblHeader/>
        </w:trPr>
        <w:tc>
          <w:tcPr>
            <w:tcW w:type="dxa" w:w="22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Shared piece</w:t>
            </w:r>
          </w:p>
        </w:tc>
        <w:tc>
          <w:tcPr>
            <w:tcW w:type="dxa" w:w="20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Used by</w:t>
            </w:r>
          </w:p>
        </w:tc>
        <w:tc>
          <w:tcPr>
            <w:tcW w:type="dxa" w:w="4826"/>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What it does</w:t>
            </w:r>
          </w:p>
        </w:tc>
      </w:tr>
      <w:tr>
        <w:tc>
          <w:tcPr>
            <w:tcW w:type="dxa" w:w="22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One farmer/field record</w:t>
            </w:r>
          </w:p>
        </w:tc>
        <w:tc>
          <w:tcPr>
            <w:tcW w:type="dxa" w:w="20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Every part</w:t>
            </w:r>
          </w:p>
        </w:tc>
        <w:tc>
          <w:tcPr>
            <w:tcW w:type="dxa" w:w="48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Name, location, storage hub, crop — read by the sensor box, the disease app, the satellite map, and every new module.</w:t>
            </w:r>
          </w:p>
        </w:tc>
      </w:tr>
      <w:tr>
        <w:tc>
          <w:tcPr>
            <w:tcW w:type="dxa" w:w="22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Works with no internet, updates when it can</w:t>
            </w:r>
          </w:p>
        </w:tc>
        <w:tc>
          <w:tcPr>
            <w:tcW w:type="dxa" w:w="20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Parts 1 and 2, and every new module</w:t>
            </w:r>
          </w:p>
        </w:tc>
        <w:tc>
          <w:tcPr>
            <w:tcW w:type="dxa" w:w="48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Designed this way from the start, so joining them is a simplification, not new complexity.</w:t>
            </w:r>
          </w:p>
        </w:tc>
      </w:tr>
      <w:tr>
        <w:tc>
          <w:tcPr>
            <w:tcW w:type="dxa" w:w="22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One way to reach the farmer</w:t>
            </w:r>
          </w:p>
        </w:tc>
        <w:tc>
          <w:tcPr>
            <w:tcW w:type="dxa" w:w="20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Every part</w:t>
            </w:r>
          </w:p>
        </w:tc>
        <w:tc>
          <w:tcPr>
            <w:tcW w:type="dxa" w:w="48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Text message, USSD phone menu, or an actual spoken phone call, using Africa's Talking, already confirmed to support all three.</w:t>
            </w:r>
          </w:p>
        </w:tc>
      </w:tr>
      <w:tr>
        <w:tc>
          <w:tcPr>
            <w:tcW w:type="dxa" w:w="22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market &amp; hub access layer</w:t>
            </w:r>
          </w:p>
        </w:tc>
        <w:tc>
          <w:tcPr>
            <w:tcW w:type="dxa" w:w="20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Modules 4, 5, and Parts 1 and 3</w:t>
            </w:r>
          </w:p>
        </w:tc>
        <w:tc>
          <w:tcPr>
            <w:tcW w:type="dxa" w:w="48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one genuinely new piece of connective tissue: it reads surplus, price, and stress signals from the rest of the app to power Section 14.</w:t>
            </w:r>
          </w:p>
        </w:tc>
      </w:tr>
    </w:tbl>
    <w:p>
      <w:pPr>
        <w:pStyle w:val="Heading1"/>
        <w:pBdr>
          <w:bottom w:val="single" w:color="2D6A4F" w:sz="8" w:space="6"/>
        </w:pBdr>
        <w:spacing w:after="160" w:before="340"/>
      </w:pPr>
      <w:r>
        <w:rPr>
          <w:rFonts w:ascii="Calibri" w:cs="Calibri" w:eastAsia="Calibri" w:hAnsi="Calibri"/>
          <w:b/>
          <w:bCs/>
          <w:color w:val="1B4332"/>
          <w:sz w:val="27"/>
          <w:szCs w:val="27"/>
        </w:rPr>
        <w:t xml:space="preserve">18. The Order We Would Actually Build In</w:t>
      </w:r>
    </w:p>
    <w:p>
      <w:pPr>
        <w:pStyle w:val="ListParagraph"/>
        <w:numPr>
          <w:ilvl w:val="0"/>
          <w:numId w:val="2"/>
        </w:numPr>
        <w:spacing w:after="90" w:line="288"/>
      </w:pPr>
      <w:r>
        <w:rPr>
          <w:rFonts w:ascii="Calibri" w:cs="Calibri" w:eastAsia="Calibri" w:hAnsi="Calibri"/>
          <w:b/>
          <w:bCs/>
          <w:color w:val="1A1A1A"/>
          <w:sz w:val="21"/>
          <w:szCs w:val="21"/>
        </w:rPr>
        <w:t xml:space="preserve">1. The foundation. </w:t>
      </w:r>
      <w:r>
        <w:rPr>
          <w:rFonts w:ascii="Calibri" w:cs="Calibri" w:eastAsia="Calibri" w:hAnsi="Calibri"/>
          <w:color w:val="1A1A1A"/>
          <w:sz w:val="21"/>
          <w:szCs w:val="21"/>
        </w:rPr>
        <w:t xml:space="preserve">One farmer record, one offline-first pattern, one way to reach a farmer.</w:t>
      </w:r>
    </w:p>
    <w:p>
      <w:pPr>
        <w:pStyle w:val="ListParagraph"/>
        <w:numPr>
          <w:ilvl w:val="0"/>
          <w:numId w:val="2"/>
        </w:numPr>
        <w:spacing w:after="90" w:line="288"/>
      </w:pPr>
      <w:r>
        <w:rPr>
          <w:rFonts w:ascii="Calibri" w:cs="Calibri" w:eastAsia="Calibri" w:hAnsi="Calibri"/>
          <w:b/>
          <w:bCs/>
          <w:color w:val="1A1A1A"/>
          <w:sz w:val="21"/>
          <w:szCs w:val="21"/>
        </w:rPr>
        <w:t xml:space="preserve">2. Part 1 — the sensor and cooler. </w:t>
      </w:r>
      <w:r>
        <w:rPr>
          <w:rFonts w:ascii="Calibri" w:cs="Calibri" w:eastAsia="Calibri" w:hAnsi="Calibri"/>
          <w:color w:val="1A1A1A"/>
          <w:sz w:val="21"/>
          <w:szCs w:val="21"/>
        </w:rPr>
        <w:t xml:space="preserve">Most physically real, most demonstrable piece; also starts generating the usage data that later justifies a real cold room.</w:t>
      </w:r>
    </w:p>
    <w:p>
      <w:pPr>
        <w:pStyle w:val="ListParagraph"/>
        <w:numPr>
          <w:ilvl w:val="0"/>
          <w:numId w:val="2"/>
        </w:numPr>
        <w:spacing w:after="90" w:line="288"/>
      </w:pPr>
      <w:r>
        <w:rPr>
          <w:rFonts w:ascii="Calibri" w:cs="Calibri" w:eastAsia="Calibri" w:hAnsi="Calibri"/>
          <w:b/>
          <w:bCs/>
          <w:color w:val="1A1A1A"/>
          <w:sz w:val="21"/>
          <w:szCs w:val="21"/>
        </w:rPr>
        <w:t xml:space="preserve">3. Part 2 — sick-plant checking. </w:t>
      </w:r>
      <w:r>
        <w:rPr>
          <w:rFonts w:ascii="Calibri" w:cs="Calibri" w:eastAsia="Calibri" w:hAnsi="Calibri"/>
          <w:color w:val="1A1A1A"/>
          <w:sz w:val="21"/>
          <w:szCs w:val="21"/>
        </w:rPr>
        <w:t xml:space="preserve">Reuses the same offline pattern as Part 1.</w:t>
      </w:r>
    </w:p>
    <w:p>
      <w:pPr>
        <w:pStyle w:val="ListParagraph"/>
        <w:numPr>
          <w:ilvl w:val="0"/>
          <w:numId w:val="2"/>
        </w:numPr>
        <w:spacing w:after="90" w:line="288"/>
      </w:pPr>
      <w:r>
        <w:rPr>
          <w:rFonts w:ascii="Calibri" w:cs="Calibri" w:eastAsia="Calibri" w:hAnsi="Calibri"/>
          <w:b/>
          <w:bCs/>
          <w:color w:val="1A1A1A"/>
          <w:sz w:val="21"/>
          <w:szCs w:val="21"/>
        </w:rPr>
        <w:t xml:space="preserve">4. Part 3 — the satellite view. </w:t>
      </w:r>
      <w:r>
        <w:rPr>
          <w:rFonts w:ascii="Calibri" w:cs="Calibri" w:eastAsia="Calibri" w:hAnsi="Calibri"/>
          <w:color w:val="1A1A1A"/>
          <w:sz w:val="21"/>
          <w:szCs w:val="21"/>
        </w:rPr>
        <w:t xml:space="preserve">Independent of the first two, and feeds Modules 4, 5, 6, and the hub-access layer.</w:t>
      </w:r>
    </w:p>
    <w:p>
      <w:pPr>
        <w:pStyle w:val="ListParagraph"/>
        <w:numPr>
          <w:ilvl w:val="0"/>
          <w:numId w:val="2"/>
        </w:numPr>
        <w:spacing w:after="90" w:line="288"/>
      </w:pPr>
      <w:r>
        <w:rPr>
          <w:rFonts w:ascii="Calibri" w:cs="Calibri" w:eastAsia="Calibri" w:hAnsi="Calibri"/>
          <w:b/>
          <w:bCs/>
          <w:color w:val="1A1A1A"/>
          <w:sz w:val="21"/>
          <w:szCs w:val="21"/>
        </w:rPr>
        <w:t xml:space="preserve">5. Modules 4–8 — weather, vegetable prices, planting advice, waste-to-feed, and the seasonal pest reminder. </w:t>
      </w:r>
      <w:r>
        <w:rPr>
          <w:rFonts w:ascii="Calibri" w:cs="Calibri" w:eastAsia="Calibri" w:hAnsi="Calibri"/>
          <w:color w:val="1A1A1A"/>
          <w:sz w:val="21"/>
          <w:szCs w:val="21"/>
        </w:rPr>
        <w:t xml:space="preserve">Each is genuinely buildable now, roughly in that order, since weather and prices need the least additional checking.</w:t>
      </w:r>
    </w:p>
    <w:p>
      <w:pPr>
        <w:pStyle w:val="ListParagraph"/>
        <w:numPr>
          <w:ilvl w:val="0"/>
          <w:numId w:val="2"/>
        </w:numPr>
        <w:spacing w:after="90" w:line="288"/>
      </w:pPr>
      <w:r>
        <w:rPr>
          <w:rFonts w:ascii="Calibri" w:cs="Calibri" w:eastAsia="Calibri" w:hAnsi="Calibri"/>
          <w:b/>
          <w:bCs/>
          <w:color w:val="1A1A1A"/>
          <w:sz w:val="21"/>
          <w:szCs w:val="21"/>
        </w:rPr>
        <w:t xml:space="preserve">6. The market &amp; hub access layer, simplest version first. </w:t>
      </w:r>
      <w:r>
        <w:rPr>
          <w:rFonts w:ascii="Calibri" w:cs="Calibri" w:eastAsia="Calibri" w:hAnsi="Calibri"/>
          <w:color w:val="1A1A1A"/>
          <w:sz w:val="21"/>
          <w:szCs w:val="21"/>
        </w:rPr>
        <w:t xml:space="preserve">Once several collection points are running Parts 1 and 3, and Module 5 has proven itself: start with Section 14.5's plain contact-introduction feature, which needs only a buyer list, not a scoring engine; move to Section 14.4's fuller, Kuwana-scored version once real buyer and seller volume justifies it.</w:t>
      </w:r>
    </w:p>
    <w:p>
      <w:pPr>
        <w:pStyle w:val="ListParagraph"/>
        <w:numPr>
          <w:ilvl w:val="0"/>
          <w:numId w:val="2"/>
        </w:numPr>
        <w:spacing w:after="90" w:line="288"/>
      </w:pPr>
      <w:r>
        <w:rPr>
          <w:rFonts w:ascii="Calibri" w:cs="Calibri" w:eastAsia="Calibri" w:hAnsi="Calibri"/>
          <w:b/>
          <w:bCs/>
          <w:color w:val="1A1A1A"/>
          <w:sz w:val="21"/>
          <w:szCs w:val="21"/>
        </w:rPr>
        <w:t xml:space="preserve">7. The real cold room and anything still waiting on a data source or an expert partner.</w:t>
      </w:r>
      <w:r>
        <w:rPr>
          <w:rFonts w:ascii="Calibri" w:cs="Calibri" w:eastAsia="Calibri" w:hAnsi="Calibri"/>
          <w:color w:val="1A1A1A"/>
          <w:sz w:val="21"/>
          <w:szCs w:val="21"/>
        </w:rPr>
        <w:t xml:space="preserve"/>
      </w:r>
    </w:p>
    <w:p>
      <w:pPr>
        <w:pStyle w:val="Heading1"/>
        <w:pBdr>
          <w:bottom w:val="single" w:color="2D6A4F" w:sz="8" w:space="6"/>
        </w:pBdr>
        <w:spacing w:after="160" w:before="340"/>
      </w:pPr>
      <w:r>
        <w:rPr>
          <w:rFonts w:ascii="Calibri" w:cs="Calibri" w:eastAsia="Calibri" w:hAnsi="Calibri"/>
          <w:b/>
          <w:bCs/>
          <w:color w:val="1B4332"/>
          <w:sz w:val="27"/>
          <w:szCs w:val="27"/>
        </w:rPr>
        <w:t xml:space="preserve">19. What Gets Shown Live on 28 September</w:t>
      </w:r>
    </w:p>
    <w:p>
      <w:pPr>
        <w:spacing w:after="140" w:line="288"/>
      </w:pPr>
      <w:r>
        <w:rPr>
          <w:rFonts w:ascii="Calibri" w:cs="Calibri" w:eastAsia="Calibri" w:hAnsi="Calibri"/>
          <w:color w:val="1A1A1A"/>
          <w:sz w:val="21"/>
          <w:szCs w:val="21"/>
        </w:rPr>
        <w:t xml:space="preserve">The hackathon build day itself only demonstrates Parts 1 through 3 — that is what is realistically buildable and rehearsable in the time available. Modules 4 through 8 and the hub-access layer are the roadmap explained in this document, not part of the live demo.</w:t>
      </w:r>
    </w:p>
    <w:p>
      <w:pPr>
        <w:pStyle w:val="Heading2"/>
        <w:spacing w:after="110" w:before="240"/>
      </w:pPr>
      <w:r>
        <w:rPr>
          <w:rFonts w:ascii="Calibri" w:cs="Calibri" w:eastAsia="Calibri" w:hAnsi="Calibri"/>
          <w:b/>
          <w:bCs/>
          <w:color w:val="2D6A4F"/>
          <w:sz w:val="22"/>
          <w:szCs w:val="22"/>
        </w:rPr>
        <w:t xml:space="preserve">Moment 1 — Two real thermometers, side by side</w:t>
      </w:r>
    </w:p>
    <w:p>
      <w:pPr>
        <w:spacing w:after="140" w:line="288"/>
      </w:pPr>
      <w:r>
        <w:rPr>
          <w:rFonts w:ascii="Calibri" w:cs="Calibri" w:eastAsia="Calibri" w:hAnsi="Calibri"/>
          <w:color w:val="1A1A1A"/>
          <w:sz w:val="21"/>
          <w:szCs w:val="21"/>
        </w:rPr>
        <w:t xml:space="preserve">The screen shows two real, live numbers: the temperature outside, and the temperature inside the cooler — real evaporation, honestly reported.</w:t>
      </w:r>
    </w:p>
    <w:p>
      <w:pPr>
        <w:pStyle w:val="Heading2"/>
        <w:spacing w:after="110" w:before="240"/>
      </w:pPr>
      <w:r>
        <w:rPr>
          <w:rFonts w:ascii="Calibri" w:cs="Calibri" w:eastAsia="Calibri" w:hAnsi="Calibri"/>
          <w:b/>
          <w:bCs/>
          <w:color w:val="2D6A4F"/>
          <w:sz w:val="22"/>
          <w:szCs w:val="22"/>
        </w:rPr>
        <w:t xml:space="preserve">Moment 2 — The countdown changes because the temperature did</w:t>
      </w:r>
    </w:p>
    <w:p>
      <w:pPr>
        <w:spacing w:after="140" w:line="288"/>
      </w:pPr>
      <w:r>
        <w:rPr>
          <w:rFonts w:ascii="Calibri" w:cs="Calibri" w:eastAsia="Calibri" w:hAnsi="Calibri"/>
          <w:color w:val="1A1A1A"/>
          <w:sz w:val="21"/>
          <w:szCs w:val="21"/>
        </w:rPr>
        <w:t xml:space="preserve">The two shelf-life numbers visibly pull apart as the cooler keeps working — a real, physical action producing a real, calculated change.</w:t>
      </w:r>
    </w:p>
    <w:p>
      <w:pPr>
        <w:pStyle w:val="Heading2"/>
        <w:spacing w:after="110" w:before="240"/>
      </w:pPr>
      <w:r>
        <w:rPr>
          <w:rFonts w:ascii="Calibri" w:cs="Calibri" w:eastAsia="Calibri" w:hAnsi="Calibri"/>
          <w:b/>
          <w:bCs/>
          <w:color w:val="2D6A4F"/>
          <w:sz w:val="22"/>
          <w:szCs w:val="22"/>
        </w:rPr>
        <w:t xml:space="preserve">Moment 3 — A phone actually rings</w:t>
      </w:r>
    </w:p>
    <w:p>
      <w:pPr>
        <w:spacing w:after="140" w:line="288"/>
      </w:pPr>
      <w:r>
        <w:rPr>
          <w:rFonts w:ascii="Calibri" w:cs="Calibri" w:eastAsia="Calibri" w:hAnsi="Calibri"/>
          <w:color w:val="1A1A1A"/>
          <w:sz w:val="21"/>
          <w:szCs w:val="21"/>
        </w:rPr>
        <w:t xml:space="preserve">Trigger the warning and have a real phone ring, with a spoken message, proving the "works on any phone" claim rather than just stating it.</w:t>
      </w:r>
    </w:p>
    <w:p>
      <w:pPr>
        <w:pStyle w:val="Heading2"/>
        <w:spacing w:after="110" w:before="240"/>
      </w:pPr>
      <w:r>
        <w:rPr>
          <w:rFonts w:ascii="Calibri" w:cs="Calibri" w:eastAsia="Calibri" w:hAnsi="Calibri"/>
          <w:b/>
          <w:bCs/>
          <w:color w:val="2D6A4F"/>
          <w:sz w:val="22"/>
          <w:szCs w:val="22"/>
        </w:rPr>
        <w:t xml:space="preserve">Moment 4 — A photo, answered instantly, with no internet</w:t>
      </w:r>
    </w:p>
    <w:p>
      <w:pPr>
        <w:spacing w:after="140" w:line="288"/>
      </w:pPr>
      <w:r>
        <w:rPr>
          <w:rFonts w:ascii="Calibri" w:cs="Calibri" w:eastAsia="Calibri" w:hAnsi="Calibri"/>
          <w:color w:val="1A1A1A"/>
          <w:sz w:val="21"/>
          <w:szCs w:val="21"/>
        </w:rPr>
        <w:t xml:space="preserve">With venue Wi-Fi off on purpose, photograph a leaf with a real, visible problem, and show the app answer in seconds.</w:t>
      </w:r>
    </w:p>
    <w:p>
      <w:pPr>
        <w:pStyle w:val="Heading2"/>
        <w:spacing w:after="110" w:before="240"/>
      </w:pPr>
      <w:r>
        <w:rPr>
          <w:rFonts w:ascii="Calibri" w:cs="Calibri" w:eastAsia="Calibri" w:hAnsi="Calibri"/>
          <w:b/>
          <w:bCs/>
          <w:color w:val="2D6A4F"/>
          <w:sz w:val="22"/>
          <w:szCs w:val="22"/>
        </w:rPr>
        <w:t xml:space="preserve">Moment 5 — Zoom out to the whole district</w:t>
      </w:r>
    </w:p>
    <w:p>
      <w:pPr>
        <w:spacing w:after="140" w:line="288"/>
      </w:pPr>
      <w:r>
        <w:rPr>
          <w:rFonts w:ascii="Calibri" w:cs="Calibri" w:eastAsia="Calibri" w:hAnsi="Calibri"/>
          <w:color w:val="1A1A1A"/>
          <w:sz w:val="21"/>
          <w:szCs w:val="21"/>
        </w:rPr>
        <w:t xml:space="preserve">Show the satellite map, built in advance, highlighting which part of the district looks stressed right now.</w:t>
      </w:r>
    </w:p>
    <w:p>
      <w:pPr>
        <w:pStyle w:val="Heading1"/>
        <w:pBdr>
          <w:bottom w:val="single" w:color="2D6A4F" w:sz="8" w:space="6"/>
        </w:pBdr>
        <w:spacing w:after="160" w:before="340"/>
      </w:pPr>
      <w:r>
        <w:rPr>
          <w:rFonts w:ascii="Calibri" w:cs="Calibri" w:eastAsia="Calibri" w:hAnsi="Calibri"/>
          <w:b/>
          <w:bCs/>
          <w:color w:val="1B4332"/>
          <w:sz w:val="27"/>
          <w:szCs w:val="27"/>
        </w:rPr>
        <w:t xml:space="preserve">20. What Could Go Wrong, Said Plainly</w:t>
      </w:r>
    </w:p>
    <w:tbl>
      <w:tblPr>
        <w:tblW w:type="dxa" w:w="9026"/>
        <w:tblBorders>
          <w:top w:val="single" w:color="C8D6CE" w:sz="4"/>
          <w:left w:val="none"/>
          <w:bottom w:val="single" w:color="C8D6CE" w:sz="4"/>
          <w:right w:val="none"/>
          <w:insideH w:val="single" w:color="DCE6E0" w:sz="2"/>
          <w:insideV w:val="none"/>
        </w:tblBorders>
      </w:tblPr>
      <w:tblGrid>
        <w:gridCol w:w="2400"/>
        <w:gridCol w:w="2900"/>
        <w:gridCol w:w="3726"/>
      </w:tblGrid>
      <w:tr>
        <w:trPr>
          <w:tblHeader/>
        </w:trPr>
        <w:tc>
          <w:tcPr>
            <w:tcW w:type="dxa" w:w="24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Risk</w:t>
            </w:r>
          </w:p>
        </w:tc>
        <w:tc>
          <w:tcPr>
            <w:tcW w:type="dxa" w:w="29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Why it matters</w:t>
            </w:r>
          </w:p>
        </w:tc>
        <w:tc>
          <w:tcPr>
            <w:tcW w:type="dxa" w:w="3726"/>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What we are doing about it</w:t>
            </w:r>
          </w:p>
        </w:tc>
      </w:tr>
      <w:tr>
        <w:tc>
          <w:tcPr>
            <w:tcW w:type="dxa" w:w="24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Real hardware can fail in ways software does not</w:t>
            </w:r>
          </w:p>
        </w:tc>
        <w:tc>
          <w:tcPr>
            <w:tcW w:type="dxa" w:w="29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 loose wire or a flat battery is harder to fix than a software bug.</w:t>
            </w:r>
          </w:p>
        </w:tc>
        <w:tc>
          <w:tcPr>
            <w:tcW w:type="dxa" w:w="37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Rehearse each part on its own, keep spare parts, and record a backup video of every demo moment.</w:t>
            </w:r>
          </w:p>
        </w:tc>
      </w:tr>
      <w:tr>
        <w:tc>
          <w:tcPr>
            <w:tcW w:type="dxa" w:w="24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disease-checking program is trained on clean photos, not messy field ones</w:t>
            </w:r>
          </w:p>
        </w:tc>
        <w:tc>
          <w:tcPr>
            <w:tcW w:type="dxa" w:w="29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A knowledgeable judge or partner could ask directly.</w:t>
            </w:r>
          </w:p>
        </w:tc>
        <w:tc>
          <w:tcPr>
            <w:tcW w:type="dxa" w:w="37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Said openly in Section 6.2; plan to test on our own real photos before relying on it.</w:t>
            </w:r>
          </w:p>
        </w:tc>
      </w:tr>
      <w:tr>
        <w:tc>
          <w:tcPr>
            <w:tcW w:type="dxa" w:w="24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satellite view can be blocked by clouds or delayed by up to five days</w:t>
            </w:r>
          </w:p>
        </w:tc>
        <w:tc>
          <w:tcPr>
            <w:tcW w:type="dxa" w:w="29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Not a live, instant view.</w:t>
            </w:r>
          </w:p>
        </w:tc>
        <w:tc>
          <w:tcPr>
            <w:tcW w:type="dxa" w:w="37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Said openly in Section 7 — framed as an early-warning tool, not a live camera.</w:t>
            </w:r>
          </w:p>
        </w:tc>
      </w:tr>
      <w:tr>
        <w:tc>
          <w:tcPr>
            <w:tcW w:type="dxa" w:w="24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Weather and price feeds depend on a free-tier third-party API staying free and online</w:t>
            </w:r>
          </w:p>
        </w:tc>
        <w:tc>
          <w:tcPr>
            <w:tcW w:type="dxa" w:w="2900"/>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Free tiers can change terms or go down.</w:t>
            </w:r>
          </w:p>
        </w:tc>
        <w:tc>
          <w:tcPr>
            <w:tcW w:type="dxa" w:w="3726"/>
            <w:shd w:fill="F1F8F4" w:val="clear"/>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Kept as a thin, swappable layer — Modules 4 and 5 do not lock the whole app to one provider.</w:t>
            </w:r>
          </w:p>
        </w:tc>
      </w:tr>
      <w:tr>
        <w:tc>
          <w:tcPr>
            <w:tcW w:type="dxa" w:w="24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The market &amp; hub access layer assumes buyers, brokers, manufacturers, or sellers actually want in</w:t>
            </w:r>
          </w:p>
        </w:tc>
        <w:tc>
          <w:tcPr>
            <w:tcW w:type="dxa" w:w="2900"/>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No partnership is confirmed yet, on either the produce-buyer or the input-seller side.</w:t>
            </w:r>
          </w:p>
        </w:tc>
        <w:tc>
          <w:tcPr>
            <w:tcW w:type="dxa" w:w="3726"/>
            <w:tcMar>
              <w:top w:type="dxa" w:w="90"/>
              <w:left w:type="dxa" w:w="120"/>
              <w:bottom w:type="dxa" w:w="90"/>
              <w:right w:type="dxa" w:w="120"/>
            </w:tcMar>
          </w:tcPr>
          <w:p>
            <w:pPr>
              <w:spacing w:after="0" w:line="264"/>
            </w:pPr>
            <w:r>
              <w:rPr>
                <w:rFonts w:ascii="Calibri" w:cs="Calibri" w:eastAsia="Calibri" w:hAnsi="Calibri"/>
                <w:color w:val="1A1A1A"/>
                <w:sz w:val="19"/>
                <w:szCs w:val="19"/>
              </w:rPr>
              <w:t xml:space="preserve">Named plainly in Section 14's and Section 14.4's honesty boxes, and sequenced last, after the rest is proven.</w:t>
            </w:r>
          </w:p>
        </w:tc>
      </w:tr>
    </w:tbl>
    <w:p>
      <w:pPr>
        <w:pStyle w:val="Heading1"/>
        <w:pBdr>
          <w:bottom w:val="single" w:color="2D6A4F" w:sz="8" w:space="6"/>
        </w:pBdr>
        <w:spacing w:after="160" w:before="340"/>
      </w:pPr>
      <w:r>
        <w:rPr>
          <w:rFonts w:ascii="Calibri" w:cs="Calibri" w:eastAsia="Calibri" w:hAnsi="Calibri"/>
          <w:b/>
          <w:bCs/>
          <w:color w:val="1B4332"/>
          <w:sz w:val="27"/>
          <w:szCs w:val="27"/>
        </w:rPr>
        <w:t xml:space="preserve">21. Our Own Honest Score</w:t>
      </w:r>
    </w:p>
    <w:tbl>
      <w:tblPr>
        <w:tblW w:type="dxa" w:w="9026"/>
        <w:tblBorders>
          <w:top w:val="single" w:color="C8D6CE" w:sz="4"/>
          <w:left w:val="none"/>
          <w:bottom w:val="single" w:color="C8D6CE" w:sz="4"/>
          <w:right w:val="none"/>
          <w:insideH w:val="single" w:color="DCE6E0" w:sz="2"/>
          <w:insideV w:val="none"/>
        </w:tblBorders>
      </w:tblPr>
      <w:tblGrid>
        <w:gridCol w:w="3400"/>
        <w:gridCol w:w="1200"/>
        <w:gridCol w:w="4426"/>
      </w:tblGrid>
      <w:tr>
        <w:trPr>
          <w:tblHeader/>
        </w:trPr>
        <w:tc>
          <w:tcPr>
            <w:tcW w:type="dxa" w:w="34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What we are scoring</w:t>
            </w:r>
          </w:p>
        </w:tc>
        <w:tc>
          <w:tcPr>
            <w:tcW w:type="dxa" w:w="1200"/>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Score</w:t>
            </w:r>
          </w:p>
        </w:tc>
        <w:tc>
          <w:tcPr>
            <w:tcW w:type="dxa" w:w="4426"/>
            <w:shd w:fill="1B4332" w:val="clear"/>
            <w:tcMar>
              <w:top w:type="dxa" w:w="90"/>
              <w:left w:type="dxa" w:w="120"/>
              <w:bottom w:type="dxa" w:w="90"/>
              <w:right w:type="dxa" w:w="120"/>
            </w:tcMar>
          </w:tcPr>
          <w:p>
            <w:pPr>
              <w:spacing w:after="0" w:line="264"/>
            </w:pPr>
            <w:r>
              <w:rPr>
                <w:rFonts w:ascii="Calibri" w:cs="Calibri" w:eastAsia="Calibri" w:hAnsi="Calibri"/>
                <w:b/>
                <w:bCs/>
                <w:color w:val="FFFFFF"/>
                <w:sz w:val="19"/>
                <w:szCs w:val="19"/>
              </w:rPr>
              <w:t xml:space="preserve">Why</w:t>
            </w:r>
          </w:p>
        </w:tc>
      </w:tr>
      <w:tr>
        <w:tc>
          <w:tcPr>
            <w:tcW w:type="dxa" w:w="3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Fits the AgriTech track</w:t>
            </w:r>
          </w:p>
        </w:tc>
        <w:tc>
          <w:tcPr>
            <w:tcW w:type="dxa" w:w="1200"/>
            <w:tcMar>
              <w:top w:type="dxa" w:w="90"/>
              <w:left w:type="dxa" w:w="120"/>
              <w:bottom w:type="dxa" w:w="90"/>
              <w:right w:type="dxa" w:w="120"/>
            </w:tcMar>
          </w:tcPr>
          <w:p>
            <w:pPr>
              <w:spacing w:after="0" w:line="264"/>
              <w:jc w:val="center"/>
            </w:pPr>
            <w:r>
              <w:rPr>
                <w:rFonts w:ascii="Calibri" w:cs="Calibri" w:eastAsia="Calibri" w:hAnsi="Calibri"/>
                <w:b w:val="false"/>
                <w:bCs w:val="false"/>
                <w:color w:val="1A1A1A"/>
                <w:sz w:val="19"/>
                <w:szCs w:val="19"/>
              </w:rPr>
              <w:t xml:space="preserve">9 / 10</w:t>
            </w:r>
          </w:p>
        </w:tc>
        <w:tc>
          <w:tcPr>
            <w:tcW w:type="dxa" w:w="4426"/>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Covers farming, storage, food security, market access, and a genuine climate and clean-energy angle.</w:t>
            </w:r>
          </w:p>
        </w:tc>
      </w:tr>
      <w:tr>
        <w:tc>
          <w:tcPr>
            <w:tcW w:type="dxa" w:w="3400"/>
            <w:shd w:fill="F1F8F4" w:val="clear"/>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Every claim is backed up or flagged</w:t>
            </w:r>
          </w:p>
        </w:tc>
        <w:tc>
          <w:tcPr>
            <w:tcW w:type="dxa" w:w="1200"/>
            <w:shd w:fill="F1F8F4" w:val="clear"/>
            <w:tcMar>
              <w:top w:type="dxa" w:w="90"/>
              <w:left w:type="dxa" w:w="120"/>
              <w:bottom w:type="dxa" w:w="90"/>
              <w:right w:type="dxa" w:w="120"/>
            </w:tcMar>
          </w:tcPr>
          <w:p>
            <w:pPr>
              <w:spacing w:after="0" w:line="264"/>
              <w:jc w:val="center"/>
            </w:pPr>
            <w:r>
              <w:rPr>
                <w:rFonts w:ascii="Calibri" w:cs="Calibri" w:eastAsia="Calibri" w:hAnsi="Calibri"/>
                <w:b w:val="false"/>
                <w:bCs w:val="false"/>
                <w:color w:val="1A1A1A"/>
                <w:sz w:val="19"/>
                <w:szCs w:val="19"/>
              </w:rPr>
              <w:t xml:space="preserve">9 / 10</w:t>
            </w:r>
          </w:p>
        </w:tc>
        <w:tc>
          <w:tcPr>
            <w:tcW w:type="dxa" w:w="4426"/>
            <w:shd w:fill="F1F8F4" w:val="clear"/>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Every number in this document either comes from a real, checked source, or is clearly marked as unconfirmed.</w:t>
            </w:r>
          </w:p>
        </w:tc>
      </w:tr>
      <w:tr>
        <w:tc>
          <w:tcPr>
            <w:tcW w:type="dxa" w:w="3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Real substance, not just an app</w:t>
            </w:r>
          </w:p>
        </w:tc>
        <w:tc>
          <w:tcPr>
            <w:tcW w:type="dxa" w:w="1200"/>
            <w:tcMar>
              <w:top w:type="dxa" w:w="90"/>
              <w:left w:type="dxa" w:w="120"/>
              <w:bottom w:type="dxa" w:w="90"/>
              <w:right w:type="dxa" w:w="120"/>
            </w:tcMar>
          </w:tcPr>
          <w:p>
            <w:pPr>
              <w:spacing w:after="0" w:line="264"/>
              <w:jc w:val="center"/>
            </w:pPr>
            <w:r>
              <w:rPr>
                <w:rFonts w:ascii="Calibri" w:cs="Calibri" w:eastAsia="Calibri" w:hAnsi="Calibri"/>
                <w:b w:val="false"/>
                <w:bCs w:val="false"/>
                <w:color w:val="1A1A1A"/>
                <w:sz w:val="19"/>
                <w:szCs w:val="19"/>
              </w:rPr>
              <w:t xml:space="preserve">9 / 10</w:t>
            </w:r>
          </w:p>
        </w:tc>
        <w:tc>
          <w:tcPr>
            <w:tcW w:type="dxa" w:w="4426"/>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Real hardware, real food-science formulas, real free data feeds, and a real trained program.</w:t>
            </w:r>
          </w:p>
        </w:tc>
      </w:tr>
      <w:tr>
        <w:tc>
          <w:tcPr>
            <w:tcW w:type="dxa" w:w="3400"/>
            <w:shd w:fill="F1F8F4" w:val="clear"/>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Can we actually build all of it soon</w:t>
            </w:r>
          </w:p>
        </w:tc>
        <w:tc>
          <w:tcPr>
            <w:tcW w:type="dxa" w:w="1200"/>
            <w:shd w:fill="F1F8F4" w:val="clear"/>
            <w:tcMar>
              <w:top w:type="dxa" w:w="90"/>
              <w:left w:type="dxa" w:w="120"/>
              <w:bottom w:type="dxa" w:w="90"/>
              <w:right w:type="dxa" w:w="120"/>
            </w:tcMar>
          </w:tcPr>
          <w:p>
            <w:pPr>
              <w:spacing w:after="0" w:line="264"/>
              <w:jc w:val="center"/>
            </w:pPr>
            <w:r>
              <w:rPr>
                <w:rFonts w:ascii="Calibri" w:cs="Calibri" w:eastAsia="Calibri" w:hAnsi="Calibri"/>
                <w:b w:val="false"/>
                <w:bCs w:val="false"/>
                <w:color w:val="1A1A1A"/>
                <w:sz w:val="19"/>
                <w:szCs w:val="19"/>
              </w:rPr>
              <w:t xml:space="preserve">6 / 10</w:t>
            </w:r>
          </w:p>
        </w:tc>
        <w:tc>
          <w:tcPr>
            <w:tcW w:type="dxa" w:w="4426"/>
            <w:shd w:fill="F1F8F4" w:val="clear"/>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Parts 1–3 are demo-ready; Modules 4–8 and the hub layer are genuinely more to build, honestly marked as roadmap.</w:t>
            </w:r>
          </w:p>
        </w:tc>
      </w:tr>
      <w:tr>
        <w:tc>
          <w:tcPr>
            <w:tcW w:type="dxa" w:w="3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Different from other teams' ideas</w:t>
            </w:r>
          </w:p>
        </w:tc>
        <w:tc>
          <w:tcPr>
            <w:tcW w:type="dxa" w:w="1200"/>
            <w:tcMar>
              <w:top w:type="dxa" w:w="90"/>
              <w:left w:type="dxa" w:w="120"/>
              <w:bottom w:type="dxa" w:w="90"/>
              <w:right w:type="dxa" w:w="120"/>
            </w:tcMar>
          </w:tcPr>
          <w:p>
            <w:pPr>
              <w:spacing w:after="0" w:line="264"/>
              <w:jc w:val="center"/>
            </w:pPr>
            <w:r>
              <w:rPr>
                <w:rFonts w:ascii="Calibri" w:cs="Calibri" w:eastAsia="Calibri" w:hAnsi="Calibri"/>
                <w:b w:val="false"/>
                <w:bCs w:val="false"/>
                <w:color w:val="1A1A1A"/>
                <w:sz w:val="19"/>
                <w:szCs w:val="19"/>
              </w:rPr>
              <w:t xml:space="preserve">9 / 10</w:t>
            </w:r>
          </w:p>
        </w:tc>
        <w:tc>
          <w:tcPr>
            <w:tcW w:type="dxa" w:w="4426"/>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A season-long companion, not a single buying-and-selling app.</w:t>
            </w:r>
          </w:p>
        </w:tc>
      </w:tr>
      <w:tr>
        <w:tc>
          <w:tcPr>
            <w:tcW w:type="dxa" w:w="3400"/>
            <w:shd w:fill="F1F8F4" w:val="clear"/>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Honesty about what is and is not built</w:t>
            </w:r>
          </w:p>
        </w:tc>
        <w:tc>
          <w:tcPr>
            <w:tcW w:type="dxa" w:w="1200"/>
            <w:shd w:fill="F1F8F4" w:val="clear"/>
            <w:tcMar>
              <w:top w:type="dxa" w:w="90"/>
              <w:left w:type="dxa" w:w="120"/>
              <w:bottom w:type="dxa" w:w="90"/>
              <w:right w:type="dxa" w:w="120"/>
            </w:tcMar>
          </w:tcPr>
          <w:p>
            <w:pPr>
              <w:spacing w:after="0" w:line="264"/>
              <w:jc w:val="center"/>
            </w:pPr>
            <w:r>
              <w:rPr>
                <w:rFonts w:ascii="Calibri" w:cs="Calibri" w:eastAsia="Calibri" w:hAnsi="Calibri"/>
                <w:b w:val="false"/>
                <w:bCs w:val="false"/>
                <w:color w:val="1A1A1A"/>
                <w:sz w:val="19"/>
                <w:szCs w:val="19"/>
              </w:rPr>
              <w:t xml:space="preserve">9 / 10</w:t>
            </w:r>
          </w:p>
        </w:tc>
        <w:tc>
          <w:tcPr>
            <w:tcW w:type="dxa" w:w="4426"/>
            <w:shd w:fill="F1F8F4" w:val="clear"/>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Every module and every risk section makes it hard to accidentally oversell this.</w:t>
            </w:r>
          </w:p>
        </w:tc>
      </w:tr>
      <w:tr>
        <w:tc>
          <w:tcPr>
            <w:tcW w:type="dxa" w:w="34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Overall</w:t>
            </w:r>
          </w:p>
        </w:tc>
        <w:tc>
          <w:tcPr>
            <w:tcW w:type="dxa" w:w="1200"/>
            <w:tcMar>
              <w:top w:type="dxa" w:w="90"/>
              <w:left w:type="dxa" w:w="120"/>
              <w:bottom w:type="dxa" w:w="90"/>
              <w:right w:type="dxa" w:w="120"/>
            </w:tcMar>
          </w:tcPr>
          <w:p>
            <w:pPr>
              <w:spacing w:after="0" w:line="264"/>
              <w:jc w:val="center"/>
            </w:pPr>
            <w:r>
              <w:rPr>
                <w:rFonts w:ascii="Calibri" w:cs="Calibri" w:eastAsia="Calibri" w:hAnsi="Calibri"/>
                <w:b/>
                <w:bCs/>
                <w:color w:val="1A1A1A"/>
                <w:sz w:val="19"/>
                <w:szCs w:val="19"/>
              </w:rPr>
              <w:t xml:space="preserve">8 / 10</w:t>
            </w:r>
          </w:p>
        </w:tc>
        <w:tc>
          <w:tcPr>
            <w:tcW w:type="dxa" w:w="4426"/>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A broad, still-honest plan — not raised further, because breadth genuinely adds build risk, not just ambition.</w:t>
            </w:r>
          </w:p>
        </w:tc>
      </w:tr>
    </w:tbl>
    <w:p>
      <w:pPr>
        <w:pStyle w:val="Heading1"/>
        <w:pBdr>
          <w:bottom w:val="single" w:color="2D6A4F" w:sz="8" w:space="6"/>
        </w:pBdr>
        <w:spacing w:after="160" w:before="340"/>
      </w:pPr>
      <w:r>
        <w:rPr>
          <w:rFonts w:ascii="Calibri" w:cs="Calibri" w:eastAsia="Calibri" w:hAnsi="Calibri"/>
          <w:b/>
          <w:bCs/>
          <w:color w:val="1B4332"/>
          <w:sz w:val="27"/>
          <w:szCs w:val="27"/>
        </w:rPr>
        <w:t xml:space="preserve">22. Doing This the Right Way</w:t>
      </w:r>
    </w:p>
    <w:p>
      <w:pPr>
        <w:pStyle w:val="ListParagraph"/>
        <w:numPr>
          <w:ilvl w:val="0"/>
          <w:numId w:val="2"/>
        </w:numPr>
        <w:spacing w:after="90" w:line="288"/>
      </w:pPr>
      <w:r>
        <w:rPr>
          <w:rFonts w:ascii="Calibri" w:cs="Calibri" w:eastAsia="Calibri" w:hAnsi="Calibri"/>
          <w:b/>
          <w:bCs/>
          <w:color w:val="1A1A1A"/>
          <w:sz w:val="21"/>
          <w:szCs w:val="21"/>
        </w:rPr>
        <w:t xml:space="preserve">The disease checker gives a first opinion, never a final answer. </w:t>
      </w:r>
      <w:r>
        <w:rPr>
          <w:rFonts w:ascii="Calibri" w:cs="Calibri" w:eastAsia="Calibri" w:hAnsi="Calibri"/>
          <w:color w:val="1A1A1A"/>
          <w:sz w:val="21"/>
          <w:szCs w:val="21"/>
        </w:rPr>
        <w:t xml:space="preserve">A hard or unclear case is always pointed toward a real extension officer.</w:t>
      </w:r>
    </w:p>
    <w:p>
      <w:pPr>
        <w:pStyle w:val="ListParagraph"/>
        <w:numPr>
          <w:ilvl w:val="0"/>
          <w:numId w:val="2"/>
        </w:numPr>
        <w:spacing w:after="90" w:line="288"/>
      </w:pPr>
      <w:r>
        <w:rPr>
          <w:rFonts w:ascii="Calibri" w:cs="Calibri" w:eastAsia="Calibri" w:hAnsi="Calibri"/>
          <w:b/>
          <w:bCs/>
          <w:color w:val="1A1A1A"/>
          <w:sz w:val="21"/>
          <w:szCs w:val="21"/>
        </w:rPr>
        <w:t xml:space="preserve">We never fake a feature to make the plan sound bigger. </w:t>
      </w:r>
      <w:r>
        <w:rPr>
          <w:rFonts w:ascii="Calibri" w:cs="Calibri" w:eastAsia="Calibri" w:hAnsi="Calibri"/>
          <w:color w:val="1A1A1A"/>
          <w:sz w:val="21"/>
          <w:szCs w:val="21"/>
        </w:rPr>
        <w:t xml:space="preserve">Animal-disease checking is left out and named honestly, not faked with an untrained model; the hub-access layer is named as unconfirmed, not as a done partnership.</w:t>
      </w:r>
    </w:p>
    <w:p>
      <w:pPr>
        <w:pStyle w:val="ListParagraph"/>
        <w:numPr>
          <w:ilvl w:val="0"/>
          <w:numId w:val="2"/>
        </w:numPr>
        <w:spacing w:after="90" w:line="288"/>
      </w:pPr>
      <w:r>
        <w:rPr>
          <w:rFonts w:ascii="Calibri" w:cs="Calibri" w:eastAsia="Calibri" w:hAnsi="Calibri"/>
          <w:b/>
          <w:bCs/>
          <w:color w:val="1A1A1A"/>
          <w:sz w:val="21"/>
          <w:szCs w:val="21"/>
        </w:rPr>
        <w:t xml:space="preserve">Every number in this document is either backed up or marked as unconfirmed. </w:t>
      </w:r>
      <w:r>
        <w:rPr>
          <w:rFonts w:ascii="Calibri" w:cs="Calibri" w:eastAsia="Calibri" w:hAnsi="Calibri"/>
          <w:color w:val="1A1A1A"/>
          <w:sz w:val="21"/>
          <w:szCs w:val="21"/>
        </w:rPr>
        <w:t xml:space="preserve">No exceptions, including every piece merged in for this hybrid version.</w:t>
      </w:r>
    </w:p>
    <w:p>
      <w:pPr>
        <w:pStyle w:val="ListParagraph"/>
        <w:numPr>
          <w:ilvl w:val="0"/>
          <w:numId w:val="2"/>
        </w:numPr>
        <w:spacing w:after="90" w:line="288"/>
      </w:pPr>
      <w:r>
        <w:rPr>
          <w:rFonts w:ascii="Calibri" w:cs="Calibri" w:eastAsia="Calibri" w:hAnsi="Calibri"/>
          <w:b/>
          <w:bCs/>
          <w:color w:val="1A1A1A"/>
          <w:sz w:val="21"/>
          <w:szCs w:val="21"/>
        </w:rPr>
        <w:t xml:space="preserve">We only collect what we need. </w:t>
      </w:r>
      <w:r>
        <w:rPr>
          <w:rFonts w:ascii="Calibri" w:cs="Calibri" w:eastAsia="Calibri" w:hAnsi="Calibri"/>
          <w:color w:val="1A1A1A"/>
          <w:sz w:val="21"/>
          <w:szCs w:val="21"/>
        </w:rPr>
        <w:t xml:space="preserve">A farmer's name, rough location, and crop — no personal or health information beyond that.</w:t>
      </w:r>
    </w:p>
    <w:p>
      <w:r>
        <w:br w:type="page"/>
      </w:r>
    </w:p>
    <w:p>
      <w:pPr>
        <w:pStyle w:val="Heading1"/>
        <w:pBdr>
          <w:bottom w:val="single" w:color="2D6A4F" w:sz="8" w:space="6"/>
        </w:pBdr>
        <w:spacing w:after="160" w:before="340"/>
      </w:pPr>
      <w:r>
        <w:rPr>
          <w:rFonts w:ascii="Calibri" w:cs="Calibri" w:eastAsia="Calibri" w:hAnsi="Calibri"/>
          <w:b/>
          <w:bCs/>
          <w:color w:val="1B4332"/>
          <w:sz w:val="27"/>
          <w:szCs w:val="27"/>
        </w:rPr>
        <w:t xml:space="preserve">23. Future Implementations — Where AgriShield Could Grow Next</w:t>
      </w:r>
    </w:p>
    <w:p>
      <w:pPr>
        <w:spacing w:after="140" w:line="288"/>
      </w:pPr>
      <w:r>
        <w:rPr>
          <w:rFonts w:ascii="Calibri" w:cs="Calibri" w:eastAsia="Calibri" w:hAnsi="Calibri"/>
          <w:color w:val="1A1A1A"/>
          <w:sz w:val="21"/>
          <w:szCs w:val="21"/>
        </w:rPr>
        <w:t xml:space="preserve">Everything above this point is the buildable roadmap: Parts 1–3, Modules 4–8, and the market &amp; hub access layer, each held to the same rule — real source, or flagged as unconfirmed. This section is different on purpose. It is a plain-language summary of a separate, freer exploration (a companion document, AgriShield Innovate) of how far this could go with no build deadline, no budget cap, and no team-size limit. None of it is promised for 28 September or any near-term build; it is listed here, in full, simply so the size of the opportunity is not lost. Two pieces of it are grounded in something real this team already has; the rest is honestly a sketch.</w:t>
      </w:r>
    </w:p>
    <w:p>
      <w:pPr>
        <w:pStyle w:val="Heading2"/>
        <w:spacing w:after="110" w:before="240"/>
      </w:pPr>
      <w:r>
        <w:rPr>
          <w:rFonts w:ascii="Calibri" w:cs="Calibri" w:eastAsia="Calibri" w:hAnsi="Calibri"/>
          <w:b/>
          <w:bCs/>
          <w:color w:val="2D6A4F"/>
          <w:sz w:val="22"/>
          <w:szCs w:val="22"/>
        </w:rPr>
        <w:t xml:space="preserve">23.1 A field robot — the Agri-Rover</w:t>
      </w:r>
    </w:p>
    <w:p>
      <w:pPr>
        <w:spacing w:after="140" w:line="288"/>
      </w:pPr>
      <w:r>
        <w:rPr>
          <w:rFonts w:ascii="Calibri" w:cs="Calibri" w:eastAsia="Calibri" w:hAnsi="Calibri"/>
          <w:color w:val="1A1A1A"/>
          <w:sz w:val="21"/>
          <w:szCs w:val="21"/>
        </w:rPr>
        <w:t xml:space="preserve">This team already built and demoed a real navigation robot at Africa University — Campus Compass (also called the Kinetic Directory): a Raspberry Pi 4 and Arduino pair, A* pathfinding, ultrasonic and LiDAR obstacle avoidance, and a kiosk it syncs with over MQTT. One of its listed contributors, Mark Chindudzi, is also on the AgriShield team — a genuine feasibility signal, not just an analogy. Sent into a field instead of a campus, the same navigation brain could carry a disease-screening camera and soil probe, a mechanical weed trimmer, a seed/fertiliser dispenser, and a small speaker for the same spoken alerts used everywhere else in AgriShield, all steered down crop rows using the same computer-vision technique Campus Compass already uses to track painted campus lanes, retrained on furrows instead. Campus Compass's own documentation flags one concrete problem worth fixing, not repeating: its AA batteries sag under motor load. A field version would need the solar-and-LiPo-pack upgrade described in Section 23.4, not the same batteries. This is a genuine multi-year hardware programme, not a weekend build: the row-tracking vision, outdoor weatherproofing, and the weeding/seeding attachments are new engineering, and Campus Compass itself was only tested on a small, scaled indoor course, not in real field conditions.</w:t>
      </w:r>
    </w:p>
    <w:p>
      <w:pPr>
        <w:pStyle w:val="Heading2"/>
        <w:spacing w:after="110" w:before="240"/>
      </w:pPr>
      <w:r>
        <w:rPr>
          <w:rFonts w:ascii="Calibri" w:cs="Calibri" w:eastAsia="Calibri" w:hAnsi="Calibri"/>
          <w:b/>
          <w:bCs/>
          <w:color w:val="2D6A4F"/>
          <w:sz w:val="22"/>
          <w:szCs w:val="22"/>
        </w:rPr>
        <w:t xml:space="preserve">23.2 A deeper market and input-price engine</w:t>
      </w:r>
    </w:p>
    <w:p>
      <w:pPr>
        <w:spacing w:after="140" w:line="288"/>
      </w:pPr>
      <w:r>
        <w:rPr>
          <w:rFonts w:ascii="Calibri" w:cs="Calibri" w:eastAsia="Calibri" w:hAnsi="Calibri"/>
          <w:color w:val="1A1A1A"/>
          <w:sz w:val="21"/>
          <w:szCs w:val="21"/>
        </w:rPr>
        <w:t xml:space="preserve">Section 14.4 already sketches the near-term version of this. Taken further, the same Kuwana-derived engine could carry a full farm-input catalogue — fertiliser, seed, solar kit, and equipment listings from multiple real suppliers, scored on cost and quality together rather than price alone, plus transport-fare comparisons between a farm and different markets. Kuwana's own architecture already treats adding a new category of listing as configuration, not a rebuild, which is a genuine head start; a working payment feature (for mobile-money top-ups) is not part of that head start, since Kuwana's own documentation flags its equivalent feature as currently blocked at the payment-provider level.</w:t>
      </w:r>
    </w:p>
    <w:p>
      <w:pPr>
        <w:pStyle w:val="Heading2"/>
        <w:spacing w:after="110" w:before="240"/>
      </w:pPr>
      <w:r>
        <w:rPr>
          <w:rFonts w:ascii="Calibri" w:cs="Calibri" w:eastAsia="Calibri" w:hAnsi="Calibri"/>
          <w:b/>
          <w:bCs/>
          <w:color w:val="2D6A4F"/>
          <w:sz w:val="22"/>
          <w:szCs w:val="22"/>
        </w:rPr>
        <w:t xml:space="preserve">23.3 Automating the other loops already named in this document</w:t>
      </w:r>
    </w:p>
    <w:p>
      <w:pPr>
        <w:pStyle w:val="ListParagraph"/>
        <w:numPr>
          <w:ilvl w:val="0"/>
          <w:numId w:val="2"/>
        </w:numPr>
        <w:spacing w:after="90" w:line="288"/>
      </w:pPr>
      <w:r>
        <w:rPr>
          <w:rFonts w:ascii="Calibri" w:cs="Calibri" w:eastAsia="Calibri" w:hAnsi="Calibri"/>
          <w:b/>
          <w:bCs/>
          <w:color w:val="1A1A1A"/>
          <w:sz w:val="21"/>
          <w:szCs w:val="21"/>
        </w:rPr>
        <w:t xml:space="preserve">Waste-to-feed, automated. </w:t>
      </w:r>
      <w:r>
        <w:rPr>
          <w:rFonts w:ascii="Calibri" w:cs="Calibri" w:eastAsia="Calibri" w:hAnsi="Calibri"/>
          <w:color w:val="1A1A1A"/>
          <w:sz w:val="21"/>
          <w:szCs w:val="21"/>
        </w:rPr>
        <w:t xml:space="preserve">Module 7's farm-waste-to-feed guide, run through an actual Black Soldier Fly larvae setup — climate sensors watching the breeding chamber, an automated feeding schedule — turning a rule-based guide into a real production loop.</w:t>
      </w:r>
    </w:p>
    <w:p>
      <w:pPr>
        <w:pStyle w:val="ListParagraph"/>
        <w:numPr>
          <w:ilvl w:val="0"/>
          <w:numId w:val="2"/>
        </w:numPr>
        <w:spacing w:after="90" w:line="288"/>
      </w:pPr>
      <w:r>
        <w:rPr>
          <w:rFonts w:ascii="Calibri" w:cs="Calibri" w:eastAsia="Calibri" w:hAnsi="Calibri"/>
          <w:b/>
          <w:bCs/>
          <w:color w:val="1A1A1A"/>
          <w:sz w:val="21"/>
          <w:szCs w:val="21"/>
        </w:rPr>
        <w:t xml:space="preserve">Hydroponic and greenhouse monitoring. </w:t>
      </w:r>
      <w:r>
        <w:rPr>
          <w:rFonts w:ascii="Calibri" w:cs="Calibri" w:eastAsia="Calibri" w:hAnsi="Calibri"/>
          <w:color w:val="1A1A1A"/>
          <w:sz w:val="21"/>
          <w:szCs w:val="21"/>
        </w:rPr>
        <w:t xml:space="preserve">Part 1's temperature/humidity sensor logic, extended into a grow chamber or greenhouse tunnel, automatically driving a cooling fan or water pump instead of only alerting a person.</w:t>
      </w:r>
    </w:p>
    <w:p>
      <w:pPr>
        <w:pStyle w:val="ListParagraph"/>
        <w:numPr>
          <w:ilvl w:val="0"/>
          <w:numId w:val="2"/>
        </w:numPr>
        <w:spacing w:after="90" w:line="288"/>
      </w:pPr>
      <w:r>
        <w:rPr>
          <w:rFonts w:ascii="Calibri" w:cs="Calibri" w:eastAsia="Calibri" w:hAnsi="Calibri"/>
          <w:b/>
          <w:bCs/>
          <w:color w:val="1A1A1A"/>
          <w:sz w:val="21"/>
          <w:szCs w:val="21"/>
        </w:rPr>
        <w:t xml:space="preserve">Electric farm equipment tracking. </w:t>
      </w:r>
      <w:r>
        <w:rPr>
          <w:rFonts w:ascii="Calibri" w:cs="Calibri" w:eastAsia="Calibri" w:hAnsi="Calibri"/>
          <w:color w:val="1A1A1A"/>
          <w:sz w:val="21"/>
          <w:szCs w:val="21"/>
        </w:rPr>
        <w:t xml:space="preserve">Simple battery-health and charge-cycle monitoring for electric tillers and power weeders, as that equipment becomes more common on its own.</w:t>
      </w:r>
    </w:p>
    <w:p>
      <w:pPr>
        <w:pStyle w:val="ListParagraph"/>
        <w:numPr>
          <w:ilvl w:val="0"/>
          <w:numId w:val="2"/>
        </w:numPr>
        <w:spacing w:after="90" w:line="288"/>
      </w:pPr>
      <w:r>
        <w:rPr>
          <w:rFonts w:ascii="Calibri" w:cs="Calibri" w:eastAsia="Calibri" w:hAnsi="Calibri"/>
          <w:b/>
          <w:bCs/>
          <w:color w:val="1A1A1A"/>
          <w:sz w:val="21"/>
          <w:szCs w:val="21"/>
        </w:rPr>
        <w:t xml:space="preserve">Smart aquaculture. </w:t>
      </w:r>
      <w:r>
        <w:rPr>
          <w:rFonts w:ascii="Calibri" w:cs="Calibri" w:eastAsia="Calibri" w:hAnsi="Calibri"/>
          <w:color w:val="1A1A1A"/>
          <w:sz w:val="21"/>
          <w:szCs w:val="21"/>
        </w:rPr>
        <w:t xml:space="preserve">pH, temperature, and dissolved-oxygen sensors in a fish or shrimp pond, tied to an automated feeder — the same sensor-plus-alert-plus-action shape as the rest of AgriShield, applied to a different kind of farming.</w:t>
      </w:r>
    </w:p>
    <w:p>
      <w:pPr>
        <w:pStyle w:val="ListParagraph"/>
        <w:numPr>
          <w:ilvl w:val="0"/>
          <w:numId w:val="2"/>
        </w:numPr>
        <w:spacing w:after="90" w:line="288"/>
      </w:pPr>
      <w:r>
        <w:rPr>
          <w:rFonts w:ascii="Calibri" w:cs="Calibri" w:eastAsia="Calibri" w:hAnsi="Calibri"/>
          <w:b/>
          <w:bCs/>
          <w:color w:val="1A1A1A"/>
          <w:sz w:val="21"/>
          <w:szCs w:val="21"/>
        </w:rPr>
        <w:t xml:space="preserve">Solar electric-fence protection. </w:t>
      </w:r>
      <w:r>
        <w:rPr>
          <w:rFonts w:ascii="Calibri" w:cs="Calibri" w:eastAsia="Calibri" w:hAnsi="Calibri"/>
          <w:color w:val="1A1A1A"/>
          <w:sz w:val="21"/>
          <w:szCs w:val="21"/>
        </w:rPr>
        <w:t xml:space="preserve">A cheap, solar-powered sensor on a perimeter fence that flags a voltage drop, a wire fault, or a breach, using the same alert channel as every other AgriShield warning.</w:t>
      </w:r>
    </w:p>
    <w:p>
      <w:pPr>
        <w:pStyle w:val="Heading2"/>
        <w:spacing w:after="110" w:before="240"/>
      </w:pPr>
      <w:r>
        <w:rPr>
          <w:rFonts w:ascii="Calibri" w:cs="Calibri" w:eastAsia="Calibri" w:hAnsi="Calibri"/>
          <w:b/>
          <w:bCs/>
          <w:color w:val="2D6A4F"/>
          <w:sz w:val="22"/>
          <w:szCs w:val="22"/>
        </w:rPr>
        <w:t xml:space="preserve">23.4 Solar power, pushed into every hardware piece</w:t>
      </w:r>
    </w:p>
    <w:p>
      <w:pPr>
        <w:spacing w:after="140" w:line="288"/>
      </w:pPr>
      <w:r>
        <w:rPr>
          <w:rFonts w:ascii="Calibri" w:cs="Calibri" w:eastAsia="Calibri" w:hAnsi="Calibri"/>
          <w:color w:val="1A1A1A"/>
          <w:sz w:val="21"/>
          <w:szCs w:val="21"/>
        </w:rPr>
        <w:t xml:space="preserve">Part 1's sensor box already runs on solar. Taken further, the same power source could run a solar-managed communal cold room (the Section 13 cold room, one layer more specific — solar inverter, battery bank, and AgriShield's own sensors managing it), a tiny solar-boosted fan speeding up the existing zeer cooler, solar charging for the Agri-Rover and its depot kiosk, solar-powered weeding and seeding tools, the solar electric fence above, solar-run hydroponics and greenhouse automation, and solar drip irrigation triggered directly by a soil-moisture reading. A consistent solar theme across every hardware piece lines up with UN Sustainable Development Goal 7 (Clean Energy) — already named in Section 15 — as a much bigger part of the story than one sensor box.</w:t>
      </w:r>
    </w:p>
    <w:p>
      <w:pPr>
        <w:pStyle w:val="Heading2"/>
        <w:spacing w:after="110" w:before="240"/>
      </w:pPr>
      <w:r>
        <w:rPr>
          <w:rFonts w:ascii="Calibri" w:cs="Calibri" w:eastAsia="Calibri" w:hAnsi="Calibri"/>
          <w:b/>
          <w:bCs/>
          <w:color w:val="2D6A4F"/>
          <w:sz w:val="22"/>
          <w:szCs w:val="22"/>
        </w:rPr>
        <w:t xml:space="preserve">23.5 A sharper satellite layer</w:t>
      </w:r>
    </w:p>
    <w:p>
      <w:pPr>
        <w:spacing w:after="140" w:line="288"/>
      </w:pPr>
      <w:r>
        <w:rPr>
          <w:rFonts w:ascii="Calibri" w:cs="Calibri" w:eastAsia="Calibri" w:hAnsi="Calibri"/>
          <w:color w:val="1A1A1A"/>
          <w:sz w:val="21"/>
          <w:szCs w:val="21"/>
        </w:rPr>
        <w:t xml:space="preserve">Part 3's Sentinel-2 baseline is free but coarse — 10-metre pixels, a new picture roughly every five days. A real upgrade path exists, at a real cost: PlanetScope, a commercial satellite imagery product, genuinely offers 3-metre pixels and daily global coverage, a real jump from district-level trends to field-level detail, but as a paid product, not a free one — a decision that would only make sense once Part 3's free version has already proven the idea is worth paying for. Beyond sharper pictures, several standard, already-established remote-sensing index calculations (not new inventions) could turn one general "something looks stressed" signal into several specific ones: NDVI for overall plant vigour, NDMI for water stress, NDRE and MSAVI for early nitrogen shortage, and thermal bands for heat and microclimate. That, in turn, could drive an actual fertiliser or pesticide application map (usually called variable-rate application) and a remote first estimate of storm or drought damage for faster insurance or relief claims. Specific savings or speed-up figures sometimes quoted for these ideas were not confirmed from a primary source and should be treated as industry claims to verify, not facts to repeat — the same discipline held everywhere else in this document. Multi-season yield forecasting and carbon-market verification are both real, active fields too, but need several real local seasons of data AgriShield does not have yet.</w:t>
      </w:r>
    </w:p>
    <w:p>
      <w:pPr>
        <w:pStyle w:val="Heading2"/>
        <w:spacing w:after="110" w:before="240"/>
      </w:pPr>
      <w:r>
        <w:rPr>
          <w:rFonts w:ascii="Calibri" w:cs="Calibri" w:eastAsia="Calibri" w:hAnsi="Calibri"/>
          <w:b/>
          <w:bCs/>
          <w:color w:val="2D6A4F"/>
          <w:sz w:val="22"/>
          <w:szCs w:val="22"/>
        </w:rPr>
        <w:t xml:space="preserve">23.6 One unified architecture, if all of the above gets built</w:t>
      </w:r>
    </w:p>
    <w:p>
      <w:pPr>
        <w:spacing w:after="140" w:line="288"/>
      </w:pPr>
      <w:r>
        <w:rPr>
          <w:rFonts w:ascii="Calibri" w:cs="Calibri" w:eastAsia="Calibri" w:hAnsi="Calibri"/>
          <w:color w:val="1A1A1A"/>
          <w:sz w:val="21"/>
          <w:szCs w:val="21"/>
        </w:rPr>
        <w:t xml:space="preserve">None of the ideas above have to stay separate. All of them — the Agri-Rover, the input-price engine, the waste-to-feed and hydroponic and aquaculture sensors, solar power, and the upgraded satellite layer — could sit on one shared backend, so a signal from any one piece can trigger action in any other: a satellite flags a dry patch, the rover is sent to check it in person, and if it confirms low soil moisture, a drip-irrigation valve switches on automatically, with the farmer told either way by voice call or text. Wiring genuinely different systems — a robot, fixed sensors, a satellite feed, a pricing engine, a phone-alert service — into one reliable, always-synchronised whole is itself a real, non-trivial engineering project, usually the hardest part of any "smart farm" system. This is the long-term shape the whole plan could take, not a shortcut to it.</w:t>
      </w:r>
    </w:p>
    <w:p>
      <w:pPr>
        <w:pStyle w:val="Heading2"/>
        <w:spacing w:after="110" w:before="240"/>
      </w:pPr>
      <w:r>
        <w:rPr>
          <w:rFonts w:ascii="Calibri" w:cs="Calibri" w:eastAsia="Calibri" w:hAnsi="Calibri"/>
          <w:b/>
          <w:bCs/>
          <w:color w:val="2D6A4F"/>
          <w:sz w:val="22"/>
          <w:szCs w:val="22"/>
        </w:rPr>
        <w:t xml:space="preserve">23.7 What Even This Section Stays Away From</w:t>
      </w:r>
    </w:p>
    <w:p>
      <w:pPr>
        <w:spacing w:after="140" w:line="288"/>
      </w:pPr>
      <w:r>
        <w:rPr>
          <w:rFonts w:ascii="Calibri" w:cs="Calibri" w:eastAsia="Calibri" w:hAnsi="Calibri"/>
          <w:color w:val="1A1A1A"/>
          <w:sz w:val="21"/>
          <w:szCs w:val="21"/>
        </w:rPr>
        <w:t xml:space="preserve">Even a no-limits section like this one draws a line somewhere. Left out on purpose, as a stretch too far from AgriShield's actual mechanism rather than a natural extension of it: drone spraying, seeding, and aerial mapping; fully autonomous tractors, combine harvesters, and robotic weeders sold as standalone products; heavy machinery implements (rotavators, ploughs, balers); RTK centimetre-accuracy positioning; and general agronomic practice advice such as permaculture or crop rotation. These are all real technologies — "farming gets more automated in general" is simply a different project from "AgriShield specifically grows into this."</w:t>
      </w: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Why this section exists</w:t>
            </w:r>
          </w:p>
          <w:p>
            <w:pPr>
              <w:spacing w:after="0" w:line="288"/>
            </w:pPr>
            <w:r>
              <w:rPr>
                <w:rFonts w:ascii="Calibri" w:cs="Calibri" w:eastAsia="Calibri" w:hAnsi="Calibri"/>
                <w:color w:val="1A1A1A"/>
                <w:sz w:val="21"/>
                <w:szCs w:val="21"/>
              </w:rPr>
              <w:t xml:space="preserve">Nothing in Section 23 changes the score in Section 21 or the honest build order in Section 18 — the near-term plan is still Parts 1–3, then Modules 4–8, then the market layer. This section exists so that, when someone asks "is that all AgriShield could ever be," the honest answer — no, and here specifically is how far further it could go — is already written down, in the same plain, source-or-flagged language as everything else in this document.</w:t>
            </w:r>
          </w:p>
        </w:tc>
      </w:tr>
    </w:tbl>
    <w:p>
      <w:pPr>
        <w:pStyle w:val="Heading1"/>
        <w:pBdr>
          <w:bottom w:val="single" w:color="2D6A4F" w:sz="8" w:space="6"/>
        </w:pBdr>
        <w:spacing w:after="160" w:before="340"/>
      </w:pPr>
      <w:r>
        <w:rPr>
          <w:rFonts w:ascii="Calibri" w:cs="Calibri" w:eastAsia="Calibri" w:hAnsi="Calibri"/>
          <w:b/>
          <w:bCs/>
          <w:color w:val="1B4332"/>
          <w:sz w:val="27"/>
          <w:szCs w:val="27"/>
        </w:rPr>
        <w:t xml:space="preserve">Sources Checked</w:t>
      </w:r>
    </w:p>
    <w:p>
      <w:pPr>
        <w:pStyle w:val="ListParagraph"/>
        <w:numPr>
          <w:ilvl w:val="0"/>
          <w:numId w:val="2"/>
        </w:numPr>
        <w:spacing w:after="90" w:line="288"/>
      </w:pPr>
      <w:r>
        <w:rPr>
          <w:rFonts w:ascii="Calibri" w:cs="Calibri" w:eastAsia="Calibri" w:hAnsi="Calibri"/>
          <w:b/>
          <w:bCs/>
          <w:color w:val="1A1A1A"/>
          <w:sz w:val="21"/>
          <w:szCs w:val="21"/>
        </w:rPr>
        <w:t xml:space="preserve">FAO, The State of Food and Agriculture, 2019. </w:t>
      </w:r>
      <w:r>
        <w:rPr>
          <w:rFonts w:ascii="Calibri" w:cs="Calibri" w:eastAsia="Calibri" w:hAnsi="Calibri"/>
          <w:color w:val="1A1A1A"/>
          <w:sz w:val="21"/>
          <w:szCs w:val="21"/>
        </w:rPr>
        <w:t xml:space="preserve">The one-fifth global fruit-and-vegetable loss figure, and the Sub-Saharan Africa comparison.</w:t>
      </w:r>
    </w:p>
    <w:p>
      <w:pPr>
        <w:pStyle w:val="ListParagraph"/>
        <w:numPr>
          <w:ilvl w:val="0"/>
          <w:numId w:val="2"/>
        </w:numPr>
        <w:spacing w:after="90" w:line="288"/>
      </w:pPr>
      <w:r>
        <w:rPr>
          <w:rFonts w:ascii="Calibri" w:cs="Calibri" w:eastAsia="Calibri" w:hAnsi="Calibri"/>
          <w:b/>
          <w:bCs/>
          <w:color w:val="1A1A1A"/>
          <w:sz w:val="21"/>
          <w:szCs w:val="21"/>
        </w:rPr>
        <w:t xml:space="preserve">Zimbabwe's renewable energy agency (IRENA), report published April 2025. </w:t>
      </w:r>
      <w:r>
        <w:rPr>
          <w:rFonts w:ascii="Calibri" w:cs="Calibri" w:eastAsia="Calibri" w:hAnsi="Calibri"/>
          <w:color w:val="1A1A1A"/>
          <w:sz w:val="21"/>
          <w:szCs w:val="21"/>
        </w:rPr>
        <w:t xml:space="preserve">The $128 million market figure and the "at least half" loss-reduction claim.</w:t>
      </w:r>
    </w:p>
    <w:p>
      <w:pPr>
        <w:pStyle w:val="ListParagraph"/>
        <w:numPr>
          <w:ilvl w:val="0"/>
          <w:numId w:val="2"/>
        </w:numPr>
        <w:spacing w:after="90" w:line="288"/>
      </w:pPr>
      <w:r>
        <w:rPr>
          <w:rFonts w:ascii="Calibri" w:cs="Calibri" w:eastAsia="Calibri" w:hAnsi="Calibri"/>
          <w:b/>
          <w:bCs/>
          <w:color w:val="1A1A1A"/>
          <w:sz w:val="21"/>
          <w:szCs w:val="21"/>
        </w:rPr>
        <w:t xml:space="preserve">Farm Future Africa, article on solar cold rooms in Africa. </w:t>
      </w:r>
      <w:r>
        <w:rPr>
          <w:rFonts w:ascii="Calibri" w:cs="Calibri" w:eastAsia="Calibri" w:hAnsi="Calibri"/>
          <w:color w:val="1A1A1A"/>
          <w:sz w:val="21"/>
          <w:szCs w:val="21"/>
        </w:rPr>
        <w:t xml:space="preserve">The ColdHubs and SoKo Fresh examples, the roughly $30,000 unit cost, and the reported drop in spoilage.</w:t>
      </w:r>
    </w:p>
    <w:p>
      <w:pPr>
        <w:pStyle w:val="ListParagraph"/>
        <w:numPr>
          <w:ilvl w:val="0"/>
          <w:numId w:val="2"/>
        </w:numPr>
        <w:spacing w:after="90" w:line="288"/>
      </w:pPr>
      <w:r>
        <w:rPr>
          <w:rFonts w:ascii="Calibri" w:cs="Calibri" w:eastAsia="Calibri" w:hAnsi="Calibri"/>
          <w:b/>
          <w:bCs/>
          <w:color w:val="1A1A1A"/>
          <w:sz w:val="21"/>
          <w:szCs w:val="21"/>
        </w:rPr>
        <w:t xml:space="preserve">OPIsystems, a real grain-storage monitoring company. </w:t>
      </w:r>
      <w:r>
        <w:rPr>
          <w:rFonts w:ascii="Calibri" w:cs="Calibri" w:eastAsia="Calibri" w:hAnsi="Calibri"/>
          <w:color w:val="1A1A1A"/>
          <w:sz w:val="21"/>
          <w:szCs w:val="21"/>
        </w:rPr>
        <w:t xml:space="preserve">Confirms temperature, dampness, and carbon dioxide as the three real signals used to catch spoiling grain.</w:t>
      </w:r>
    </w:p>
    <w:p>
      <w:pPr>
        <w:pStyle w:val="ListParagraph"/>
        <w:numPr>
          <w:ilvl w:val="0"/>
          <w:numId w:val="2"/>
        </w:numPr>
        <w:spacing w:after="90" w:line="288"/>
      </w:pPr>
      <w:r>
        <w:rPr>
          <w:rFonts w:ascii="Calibri" w:cs="Calibri" w:eastAsia="Calibri" w:hAnsi="Calibri"/>
          <w:b/>
          <w:bCs/>
          <w:color w:val="1A1A1A"/>
          <w:sz w:val="21"/>
          <w:szCs w:val="21"/>
        </w:rPr>
        <w:t xml:space="preserve">Wikipedia, on the pot-in-pot ("zeer") cooler. </w:t>
      </w:r>
      <w:r>
        <w:rPr>
          <w:rFonts w:ascii="Calibri" w:cs="Calibri" w:eastAsia="Calibri" w:hAnsi="Calibri"/>
          <w:color w:val="1A1A1A"/>
          <w:sz w:val="21"/>
          <w:szCs w:val="21"/>
        </w:rPr>
        <w:t xml:space="preserve">Its inventor, the 2001 award, its low cost, and where it is used.</w:t>
      </w:r>
    </w:p>
    <w:p>
      <w:pPr>
        <w:pStyle w:val="ListParagraph"/>
        <w:numPr>
          <w:ilvl w:val="0"/>
          <w:numId w:val="2"/>
        </w:numPr>
        <w:spacing w:after="90" w:line="288"/>
      </w:pPr>
      <w:r>
        <w:rPr>
          <w:rFonts w:ascii="Calibri" w:cs="Calibri" w:eastAsia="Calibri" w:hAnsi="Calibri"/>
          <w:b/>
          <w:bCs/>
          <w:color w:val="1A1A1A"/>
          <w:sz w:val="21"/>
          <w:szCs w:val="21"/>
        </w:rPr>
        <w:t xml:space="preserve">Africa's Talking, official product information. </w:t>
      </w:r>
      <w:r>
        <w:rPr>
          <w:rFonts w:ascii="Calibri" w:cs="Calibri" w:eastAsia="Calibri" w:hAnsi="Calibri"/>
          <w:color w:val="1A1A1A"/>
          <w:sz w:val="21"/>
          <w:szCs w:val="21"/>
        </w:rPr>
        <w:t xml:space="preserve">Confirms text messages, a phone menu (USSD), and real spoken phone calls are all genuinely supported.</w:t>
      </w:r>
    </w:p>
    <w:p>
      <w:pPr>
        <w:pStyle w:val="ListParagraph"/>
        <w:numPr>
          <w:ilvl w:val="0"/>
          <w:numId w:val="2"/>
        </w:numPr>
        <w:spacing w:after="90" w:line="288"/>
      </w:pPr>
      <w:r>
        <w:rPr>
          <w:rFonts w:ascii="Calibri" w:cs="Calibri" w:eastAsia="Calibri" w:hAnsi="Calibri"/>
          <w:b/>
          <w:bCs/>
          <w:color w:val="1A1A1A"/>
          <w:sz w:val="21"/>
          <w:szCs w:val="21"/>
        </w:rPr>
        <w:t xml:space="preserve">Hughes and Salathé, 2015; and Mohanty, Hughes and Salathé, 2016. </w:t>
      </w:r>
      <w:r>
        <w:rPr>
          <w:rFonts w:ascii="Calibri" w:cs="Calibri" w:eastAsia="Calibri" w:hAnsi="Calibri"/>
          <w:color w:val="1A1A1A"/>
          <w:sz w:val="21"/>
          <w:szCs w:val="21"/>
        </w:rPr>
        <w:t xml:space="preserve">The size of the public leaf-photo dataset, and the well-known finding that these programs do worse on messy real-world photos than on their own clean test photos.</w:t>
      </w:r>
    </w:p>
    <w:p>
      <w:pPr>
        <w:pStyle w:val="ListParagraph"/>
        <w:numPr>
          <w:ilvl w:val="0"/>
          <w:numId w:val="2"/>
        </w:numPr>
        <w:spacing w:after="90" w:line="288"/>
      </w:pPr>
      <w:r>
        <w:rPr>
          <w:rFonts w:ascii="Calibri" w:cs="Calibri" w:eastAsia="Calibri" w:hAnsi="Calibri"/>
          <w:b/>
          <w:bCs/>
          <w:color w:val="1A1A1A"/>
          <w:sz w:val="21"/>
          <w:szCs w:val="21"/>
        </w:rPr>
        <w:t xml:space="preserve">The European Space Agency, on the Sentinel-2 satellite programme. </w:t>
      </w:r>
      <w:r>
        <w:rPr>
          <w:rFonts w:ascii="Calibri" w:cs="Calibri" w:eastAsia="Calibri" w:hAnsi="Calibri"/>
          <w:color w:val="1A1A1A"/>
          <w:sz w:val="21"/>
          <w:szCs w:val="21"/>
        </w:rPr>
        <w:t xml:space="preserve">The ten-metre resolution and roughly five-day repeat picture confirmed directly from the agency's own site.</w:t>
      </w:r>
    </w:p>
    <w:p>
      <w:pPr>
        <w:pStyle w:val="ListParagraph"/>
        <w:numPr>
          <w:ilvl w:val="0"/>
          <w:numId w:val="2"/>
        </w:numPr>
        <w:spacing w:after="90" w:line="288"/>
      </w:pPr>
      <w:r>
        <w:rPr>
          <w:rFonts w:ascii="Calibri" w:cs="Calibri" w:eastAsia="Calibri" w:hAnsi="Calibri"/>
          <w:b/>
          <w:bCs/>
          <w:color w:val="1A1A1A"/>
          <w:sz w:val="21"/>
          <w:szCs w:val="21"/>
        </w:rPr>
        <w:t xml:space="preserve">Google, on Google Earth Engine. </w:t>
      </w:r>
      <w:r>
        <w:rPr>
          <w:rFonts w:ascii="Calibri" w:cs="Calibri" w:eastAsia="Calibri" w:hAnsi="Calibri"/>
          <w:color w:val="1A1A1A"/>
          <w:sz w:val="21"/>
          <w:szCs w:val="21"/>
        </w:rPr>
        <w:t xml:space="preserve">Confirms it is genuinely free to use for research and non-commercial projects like this one.</w:t>
      </w:r>
    </w:p>
    <w:p>
      <w:pPr>
        <w:pStyle w:val="ListParagraph"/>
        <w:numPr>
          <w:ilvl w:val="0"/>
          <w:numId w:val="2"/>
        </w:numPr>
        <w:spacing w:after="90" w:line="288"/>
      </w:pPr>
      <w:r>
        <w:rPr>
          <w:rFonts w:ascii="Calibri" w:cs="Calibri" w:eastAsia="Calibri" w:hAnsi="Calibri"/>
          <w:b/>
          <w:bCs/>
          <w:color w:val="1A1A1A"/>
          <w:sz w:val="21"/>
          <w:szCs w:val="21"/>
        </w:rPr>
        <w:t xml:space="preserve">Open-Meteo, official documentation. </w:t>
      </w:r>
      <w:r>
        <w:rPr>
          <w:rFonts w:ascii="Calibri" w:cs="Calibri" w:eastAsia="Calibri" w:hAnsi="Calibri"/>
          <w:color w:val="1A1A1A"/>
          <w:sz w:val="21"/>
          <w:szCs w:val="21"/>
        </w:rPr>
        <w:t xml:space="preserve">Confirms free non-commercial access with no API key, and worldwide rainfall/forecast data up to 16 days ahead.</w:t>
      </w:r>
    </w:p>
    <w:p>
      <w:pPr>
        <w:pStyle w:val="ListParagraph"/>
        <w:numPr>
          <w:ilvl w:val="0"/>
          <w:numId w:val="2"/>
        </w:numPr>
        <w:spacing w:after="90" w:line="288"/>
      </w:pPr>
      <w:r>
        <w:rPr>
          <w:rFonts w:ascii="Calibri" w:cs="Calibri" w:eastAsia="Calibri" w:hAnsi="Calibri"/>
          <w:b/>
          <w:bCs/>
          <w:color w:val="1A1A1A"/>
          <w:sz w:val="21"/>
          <w:szCs w:val="21"/>
        </w:rPr>
        <w:t xml:space="preserve">Zimbabwe's Agricultural Marketing Authority, official website. </w:t>
      </w:r>
      <w:r>
        <w:rPr>
          <w:rFonts w:ascii="Calibri" w:cs="Calibri" w:eastAsia="Calibri" w:hAnsi="Calibri"/>
          <w:color w:val="1A1A1A"/>
          <w:sz w:val="21"/>
          <w:szCs w:val="21"/>
        </w:rPr>
        <w:t xml:space="preserve">Confirms real, regularly-updated public prices for vegetables across four named markets; confirms grain prices are not published there.</w:t>
      </w:r>
    </w:p>
    <w:p>
      <w:pPr>
        <w:pStyle w:val="ListParagraph"/>
        <w:numPr>
          <w:ilvl w:val="0"/>
          <w:numId w:val="2"/>
        </w:numPr>
        <w:spacing w:after="90" w:line="288"/>
      </w:pPr>
      <w:r>
        <w:rPr>
          <w:rFonts w:ascii="Calibri" w:cs="Calibri" w:eastAsia="Calibri" w:hAnsi="Calibri"/>
          <w:b/>
          <w:bCs/>
          <w:color w:val="1A1A1A"/>
          <w:sz w:val="21"/>
          <w:szCs w:val="21"/>
        </w:rPr>
        <w:t xml:space="preserve">The Food and Agriculture Organization, crop calendar tool. </w:t>
      </w:r>
      <w:r>
        <w:rPr>
          <w:rFonts w:ascii="Calibri" w:cs="Calibri" w:eastAsia="Calibri" w:hAnsi="Calibri"/>
          <w:color w:val="1A1A1A"/>
          <w:sz w:val="21"/>
          <w:szCs w:val="21"/>
        </w:rPr>
        <w:t xml:space="preserve">Confirms a real, public planting-window tool exists; Zimbabwe-specific coverage not yet checked in detail.</w:t>
      </w:r>
    </w:p>
    <w:p>
      <w:pPr>
        <w:pStyle w:val="ListParagraph"/>
        <w:numPr>
          <w:ilvl w:val="0"/>
          <w:numId w:val="2"/>
        </w:numPr>
        <w:spacing w:after="90" w:line="288"/>
      </w:pPr>
      <w:r>
        <w:rPr>
          <w:rFonts w:ascii="Calibri" w:cs="Calibri" w:eastAsia="Calibri" w:hAnsi="Calibri"/>
          <w:b/>
          <w:bCs/>
          <w:color w:val="1A1A1A"/>
          <w:sz w:val="21"/>
          <w:szCs w:val="21"/>
        </w:rPr>
        <w:t xml:space="preserve">The Food and Agriculture Organization, 1991 expert consultation on processing feed from crop residues. </w:t>
      </w:r>
      <w:r>
        <w:rPr>
          <w:rFonts w:ascii="Calibri" w:cs="Calibri" w:eastAsia="Calibri" w:hAnsi="Calibri"/>
          <w:color w:val="1A1A1A"/>
          <w:sz w:val="21"/>
          <w:szCs w:val="21"/>
        </w:rPr>
        <w:t xml:space="preserve">Confirms this is a real, long-documented technical field; specific recipes not yet pulled from a primary source.</w:t>
      </w:r>
    </w:p>
    <w:p>
      <w:pPr>
        <w:pStyle w:val="ListParagraph"/>
        <w:numPr>
          <w:ilvl w:val="0"/>
          <w:numId w:val="2"/>
        </w:numPr>
        <w:spacing w:after="90" w:line="288"/>
      </w:pPr>
      <w:r>
        <w:rPr>
          <w:rFonts w:ascii="Calibri" w:cs="Calibri" w:eastAsia="Calibri" w:hAnsi="Calibri"/>
          <w:b/>
          <w:bCs/>
          <w:color w:val="1A1A1A"/>
          <w:sz w:val="21"/>
          <w:szCs w:val="21"/>
        </w:rPr>
        <w:t xml:space="preserve">Campus Compass / Kinetic Directory capstone documentation (this team's own project). </w:t>
      </w:r>
      <w:r>
        <w:rPr>
          <w:rFonts w:ascii="Calibri" w:cs="Calibri" w:eastAsia="Calibri" w:hAnsi="Calibri"/>
          <w:color w:val="1A1A1A"/>
          <w:sz w:val="21"/>
          <w:szCs w:val="21"/>
        </w:rPr>
        <w:t xml:space="preserve">Confirms the Raspberry Pi 4 + Arduino navigation architecture, A* pathfinding, and MQTT sync behind Section 23.1's Agri-Rover concept, and Mark Chindudzi's listed role on that team.</w:t>
      </w:r>
    </w:p>
    <w:p>
      <w:pPr>
        <w:pStyle w:val="ListParagraph"/>
        <w:numPr>
          <w:ilvl w:val="0"/>
          <w:numId w:val="2"/>
        </w:numPr>
        <w:spacing w:after="90" w:line="288"/>
      </w:pPr>
      <w:r>
        <w:rPr>
          <w:rFonts w:ascii="Calibri" w:cs="Calibri" w:eastAsia="Calibri" w:hAnsi="Calibri"/>
          <w:b/>
          <w:bCs/>
          <w:color w:val="1A1A1A"/>
          <w:sz w:val="21"/>
          <w:szCs w:val="21"/>
        </w:rPr>
        <w:t xml:space="preserve">Kuwana design and architecture documentation (this team's own project). </w:t>
      </w:r>
      <w:r>
        <w:rPr>
          <w:rFonts w:ascii="Calibri" w:cs="Calibri" w:eastAsia="Calibri" w:hAnsi="Calibri"/>
          <w:color w:val="1A1A1A"/>
          <w:sz w:val="21"/>
          <w:szCs w:val="21"/>
        </w:rPr>
        <w:t xml:space="preserve">Confirms the Best-Comparison-Index scoring and schema-driven catalogue behind Section 2 and 14.4's market engine, and that its payment feature is currently blocked at the provider level.</w:t>
      </w:r>
    </w:p>
    <w:p>
      <w:pPr>
        <w:pStyle w:val="ListParagraph"/>
        <w:numPr>
          <w:ilvl w:val="0"/>
          <w:numId w:val="2"/>
        </w:numPr>
        <w:spacing w:after="90" w:line="288"/>
      </w:pPr>
      <w:r>
        <w:rPr>
          <w:rFonts w:ascii="Calibri" w:cs="Calibri" w:eastAsia="Calibri" w:hAnsi="Calibri"/>
          <w:b/>
          <w:bCs/>
          <w:color w:val="1A1A1A"/>
          <w:sz w:val="21"/>
          <w:szCs w:val="21"/>
        </w:rPr>
        <w:t xml:space="preserve">Kuwana / ZivaBasa solution specification (a sibling product to Kuwana, same team). </w:t>
      </w:r>
      <w:r>
        <w:rPr>
          <w:rFonts w:ascii="Calibri" w:cs="Calibri" w:eastAsia="Calibri" w:hAnsi="Calibri"/>
          <w:color w:val="1A1A1A"/>
          <w:sz w:val="21"/>
          <w:szCs w:val="21"/>
        </w:rPr>
        <w:t xml:space="preserve">Confirms Kuwana's explainable, multi-tenant, role-based architecture pattern has since been proven a second time in a different real product, cited in Section 14.4.</w:t>
      </w:r>
    </w:p>
    <w:p>
      <w:pPr>
        <w:pStyle w:val="ListParagraph"/>
        <w:numPr>
          <w:ilvl w:val="0"/>
          <w:numId w:val="2"/>
        </w:numPr>
        <w:spacing w:after="90" w:line="288"/>
      </w:pPr>
      <w:r>
        <w:rPr>
          <w:rFonts w:ascii="Calibri" w:cs="Calibri" w:eastAsia="Calibri" w:hAnsi="Calibri"/>
          <w:b/>
          <w:bCs/>
          <w:color w:val="1A1A1A"/>
          <w:sz w:val="21"/>
          <w:szCs w:val="21"/>
        </w:rPr>
        <w:t xml:space="preserve">Planet, official product page for PlanetScope imagery. </w:t>
      </w:r>
      <w:r>
        <w:rPr>
          <w:rFonts w:ascii="Calibri" w:cs="Calibri" w:eastAsia="Calibri" w:hAnsi="Calibri"/>
          <w:color w:val="1A1A1A"/>
          <w:sz w:val="21"/>
          <w:szCs w:val="21"/>
        </w:rPr>
        <w:t xml:space="preserve">Confirms 3-metre resolution and daily global coverage, and that it is a commercial, paid product, cited in Section 23.5.</w:t>
      </w:r>
    </w:p>
    <w:p>
      <w:pPr>
        <w:pStyle w:val="ListParagraph"/>
        <w:numPr>
          <w:ilvl w:val="0"/>
          <w:numId w:val="2"/>
        </w:numPr>
        <w:spacing w:after="90" w:line="288"/>
      </w:pPr>
      <w:r>
        <w:rPr>
          <w:rFonts w:ascii="Calibri" w:cs="Calibri" w:eastAsia="Calibri" w:hAnsi="Calibri"/>
          <w:b/>
          <w:bCs/>
          <w:color w:val="1A1A1A"/>
          <w:sz w:val="21"/>
          <w:szCs w:val="21"/>
        </w:rPr>
        <w:t xml:space="preserve">inDrive, a real ride-hailing app. </w:t>
      </w:r>
      <w:r>
        <w:rPr>
          <w:rFonts w:ascii="Calibri" w:cs="Calibri" w:eastAsia="Calibri" w:hAnsi="Calibri"/>
          <w:color w:val="1A1A1A"/>
          <w:sz w:val="21"/>
          <w:szCs w:val="21"/>
        </w:rPr>
        <w:t xml:space="preserve">Its well-known point of difference from competitors — passenger and driver negotiate their own price rather than the app fixing one — is the model cited in Section 14.5; no specific figures or country-coverage claims are made about it.</w:t>
      </w:r>
    </w:p>
    <w:p>
      <w:pPr>
        <w:spacing w:after="80"/>
      </w:pPr>
    </w:p>
    <w:tbl>
      <w:tblPr>
        <w:tblW w:type="dxa" w:w="9026"/>
        <w:tblBorders>
          <w:top w:val="single" w:color="2D6A4F" w:sz="2"/>
          <w:left w:val="single" w:color="2D6A4F" w:sz="18"/>
          <w:bottom w:val="single" w:color="2D6A4F" w:sz="2"/>
          <w:right w:val="single" w:color="2D6A4F" w:sz="2"/>
          <w:insideH w:val="none"/>
          <w:insideV w:val="none"/>
        </w:tblBorders>
      </w:tblPr>
      <w:tblGrid>
        <w:gridCol w:w="9026"/>
      </w:tblGrid>
      <w:tr>
        <w:tc>
          <w:tcPr>
            <w:tcW w:type="dxa" w:w="9026"/>
            <w:shd w:fill="F1F8F4" w:val="clear"/>
            <w:tcMar>
              <w:top w:type="dxa" w:w="160"/>
              <w:left w:type="dxa" w:w="200"/>
              <w:bottom w:type="dxa" w:w="160"/>
              <w:right w:type="dxa" w:w="200"/>
            </w:tcMar>
          </w:tcPr>
          <w:p>
            <w:pPr>
              <w:spacing w:after="70"/>
            </w:pPr>
            <w:r>
              <w:rPr>
                <w:rFonts w:ascii="Calibri" w:cs="Calibri" w:eastAsia="Calibri" w:hAnsi="Calibri"/>
                <w:b/>
                <w:bCs/>
                <w:color w:val="1B4332"/>
                <w:sz w:val="21"/>
                <w:szCs w:val="21"/>
              </w:rPr>
              <w:t xml:space="preserve">What we still need to check before saying it out loud to anyone</w:t>
            </w:r>
          </w:p>
          <w:p>
            <w:pPr>
              <w:spacing w:after="0" w:line="288"/>
            </w:pPr>
            <w:r>
              <w:rPr>
                <w:rFonts w:ascii="Calibri" w:cs="Calibri" w:eastAsia="Calibri" w:hAnsi="Calibri"/>
                <w:color w:val="1A1A1A"/>
                <w:sz w:val="21"/>
                <w:szCs w:val="21"/>
              </w:rPr>
              <w:t xml:space="preserve">The exact current price and loss-reduction numbers for PICS bags. The exact percentage drop in accuracy from the Mohanty et al. 2016 paper. A proper food-safety source for the mold-risk temperature-and-dampness numbers. Zimbabwe's specific coverage in the FAO crop calendar. The exact safe recipes for turning crop waste into feed. Whether any grain-price data source exists. None of these stop the plan from being built this way — but none should be spoken as a precise figure until checked.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AgriShield — The Complete Super App</dc:title>
  <dc:creator>Aiia</dc:creator>
  <dc:description>The full hybrid AgriShield proposal: every idea from every source document, merged into one honest, buildable plan.</dc:description>
  <cp:lastModifiedBy>Un-named</cp:lastModifiedBy>
  <cp:revision>1</cp:revision>
  <dcterms:created xsi:type="dcterms:W3CDTF">2026-09-15T21:42:10.091Z</dcterms:created>
  <dcterms:modified xsi:type="dcterms:W3CDTF">2026-09-15T21:42:10.100Z</dcterms:modified>
</cp:coreProperties>
</file>

<file path=docProps/custom.xml><?xml version="1.0" encoding="utf-8"?>
<Properties xmlns="http://schemas.openxmlformats.org/officeDocument/2006/custom-properties" xmlns:vt="http://schemas.openxmlformats.org/officeDocument/2006/docPropsVTypes"/>
</file>