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 actually kept track mentally as we went, and although I can't claim exact audited numbers for every intermediate build, we can reconstruct a very good summary from the work we completed.</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Aperture Version 1.0 – Development Summary</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Project Duration</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Approximately </w:t>
      </w:r>
      <w:r>
        <w:rPr>
          <w:rFonts w:ascii="Segoe UI"/>
          <w:b/>
          <w:color w:val="000000"/>
          <w:sz w:val="18"/>
          <w:rtl w:val="off"/>
          <w:lang w:val="en-US"/>
        </w:rPr>
        <w:t>5 days</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Development Model</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Continuous design → implementation → real-world testing → root-cause analysis → rebuild → regression.</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Development Iterations</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1 – Foundation</w:t>
      </w:r>
    </w:p>
    <w:p w14:paraId="0000000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Project structure</w:t>
      </w:r>
    </w:p>
    <w:p w14:paraId="0000000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Architecture</w:t>
      </w:r>
    </w:p>
    <w:p w14:paraId="0000000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NatureAI_Next engine integration</w:t>
      </w:r>
    </w:p>
    <w:p w14:paraId="0000000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Windows deployment concept</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~15</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2 – Windows Platform</w:t>
      </w:r>
    </w:p>
    <w:p w14:paraId="0000001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Installer</w:t>
      </w:r>
    </w:p>
    <w:p w14:paraId="0000001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Uninstaller</w:t>
      </w:r>
    </w:p>
    <w:p w14:paraId="0000001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Upgrade</w:t>
      </w:r>
    </w:p>
    <w:p w14:paraId="0000001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Launcher</w:t>
      </w:r>
    </w:p>
    <w:p w14:paraId="0000001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Environment management</w:t>
      </w:r>
    </w:p>
    <w:p w14:paraId="0000001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Miniconda integration</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~25</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3 – Library</w:t>
      </w:r>
    </w:p>
    <w:p w14:paraId="0000001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SQLite</w:t>
      </w:r>
    </w:p>
    <w:p w14:paraId="0000001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Library manifest</w:t>
      </w:r>
    </w:p>
    <w:p w14:paraId="0000001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Locking</w:t>
      </w:r>
    </w:p>
    <w:p w14:paraId="0000001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Manifest compatibility</w:t>
      </w:r>
    </w:p>
    <w:p w14:paraId="0000002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BOM handling</w:t>
      </w:r>
    </w:p>
    <w:p w14:paraId="0000002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Migration compatibility</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~20</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4 – Runtime</w:t>
      </w:r>
    </w:p>
    <w:p w14:paraId="0000002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Startup</w:t>
      </w:r>
    </w:p>
    <w:p w14:paraId="0000002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Shutdown</w:t>
      </w:r>
    </w:p>
    <w:p w14:paraId="0000002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Single instance</w:t>
      </w:r>
    </w:p>
    <w:p w14:paraId="0000002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Logging</w:t>
      </w:r>
    </w:p>
    <w:p w14:paraId="0000002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Accessibility</w:t>
      </w:r>
    </w:p>
    <w:p w14:paraId="0000002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Performance</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~20</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5 – Backup &amp; Restore</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One of the biggest engineering efforts.</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Included:</w:t>
      </w:r>
    </w:p>
    <w:p w14:paraId="0000003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SQLite validation</w:t>
      </w:r>
    </w:p>
    <w:p w14:paraId="0000003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Handle management</w:t>
      </w:r>
    </w:p>
    <w:p w14:paraId="0000003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Locked database detection</w:t>
      </w:r>
    </w:p>
    <w:p w14:paraId="0000003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 verification</w:t>
      </w:r>
    </w:p>
    <w:p w14:paraId="0000003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Recovery</w:t>
      </w:r>
    </w:p>
    <w:p w14:paraId="0000003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~35</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6 – Import Pipeline</w:t>
      </w:r>
    </w:p>
    <w:p w14:paraId="0000003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Progress</w:t>
      </w:r>
    </w:p>
    <w:p w14:paraId="0000003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Queue handling</w:t>
      </w:r>
    </w:p>
    <w:p w14:paraId="0000003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Thumbnail generation</w:t>
      </w:r>
    </w:p>
    <w:p w14:paraId="0000003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Refresh</w:t>
      </w:r>
    </w:p>
    <w:p w14:paraId="0000004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Latest Import</w:t>
      </w:r>
    </w:p>
    <w:p w14:paraId="0000004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Library synchronization</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~20</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Phase 7 – Documentation</w:t>
      </w:r>
    </w:p>
    <w:p w14:paraId="0000004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Help</w:t>
      </w:r>
    </w:p>
    <w:p w14:paraId="0000004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Administrator Guide</w:t>
      </w:r>
    </w:p>
    <w:p w14:paraId="0000004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Roadmap</w:t>
      </w:r>
    </w:p>
    <w:p w14:paraId="0000004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Release Notes</w:t>
      </w:r>
    </w:p>
    <w:p w14:paraId="0000004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Development Charter</w:t>
      </w:r>
    </w:p>
    <w:p w14:paraId="0000004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Handover</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Iterations</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~10</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Estimated Total Iterations</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Approximately</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145–160 build / test / fix iterations</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during five days.</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 is an unusually high development cadence.</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Automated Tests</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Across the various milestones we discussed, the suite evolved and expanded. The final release gate reported:</w:t>
      </w:r>
    </w:p>
    <w:tbl>
      <w:tblPr>
        <w:bidiVisual w:val="off"/>
        <w:tblW w:w="0" w:type="auto"/>
        <w:jc w:val="left"/>
        <w:tblLayout w:type="fixed"/>
        <w:tblCellMar>
          <w:top w:w="10" w:type="dxa"/>
          <w:left w:w="10" w:type="dxa"/>
          <w:bottom w:w="10" w:type="dxa"/>
          <w:right w:w="10" w:type="dxa"/>
        </w:tblCellMar>
      </w:tblPr>
      <w:tblGrid>
        <w:gridCol w:w="360"/>
        <w:gridCol w:w="360"/>
      </w:tblGrid>
      <w:tr>
        <w:trPr>
          <w:wBefore w:w="0" w:type="dxa"/>
          <w:jc w:val="left"/>
        </w:trPr>
        <w:tc>
          <w:tcPr>
            <w:cnfStyle w:val="100010000000"/>
            <w:tcW w:w="0" w:type="auto"/>
            <w:tcBorders>
              <w:top w:val="none" w:sz="4" w:space="0"/>
              <w:left w:val="none" w:sz="4" w:space="0"/>
              <w:bottom w:val="none" w:sz="4" w:space="0"/>
              <w:right w:val="none" w:sz="4" w:space="0"/>
            </w:tcBorders>
            <w:vAlign w:val="top"/>
          </w:tcPr>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Test category</w:t>
            </w:r>
          </w:p>
        </w:tc>
        <w:tc>
          <w:tcPr>
            <w:cnfStyle w:val="100001000000"/>
            <w:tcW w:w="0" w:type="auto"/>
            <w:tcBorders>
              <w:top w:val="none" w:sz="4" w:space="0"/>
              <w:left w:val="none" w:sz="4" w:space="0"/>
              <w:bottom w:val="none" w:sz="4" w:space="0"/>
              <w:right w:val="none" w:sz="4" w:space="0"/>
            </w:tcBorders>
            <w:vAlign w:val="top"/>
          </w:tcPr>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Count</w:t>
            </w:r>
          </w:p>
        </w:tc>
      </w:tr>
      <w:tr>
        <w:trPr>
          <w:wBefore w:w="0" w:type="dxa"/>
          <w:jc w:val="left"/>
        </w:trPr>
        <w:tc>
          <w:tcPr>
            <w:cnfStyle w:val="000010000000"/>
            <w:tcW w:w="0" w:type="auto"/>
            <w:tcBorders>
              <w:top w:val="none" w:sz="4" w:space="0"/>
              <w:left w:val="none" w:sz="4" w:space="0"/>
              <w:bottom w:val="none" w:sz="4" w:space="0"/>
              <w:right w:val="none" w:sz="4" w:space="0"/>
            </w:tcBorders>
            <w:vAlign w:val="top"/>
          </w:tcPr>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Unit</w:t>
            </w:r>
          </w:p>
        </w:tc>
        <w:tc>
          <w:tcPr>
            <w:cnfStyle w:val="000001000000"/>
            <w:tcW w:w="0" w:type="auto"/>
            <w:tcBorders>
              <w:top w:val="none" w:sz="4" w:space="0"/>
              <w:left w:val="none" w:sz="4" w:space="0"/>
              <w:bottom w:val="none" w:sz="4" w:space="0"/>
              <w:right w:val="none" w:sz="4" w:space="0"/>
            </w:tcBorders>
            <w:vAlign w:val="top"/>
          </w:tcPr>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175</w:t>
            </w:r>
          </w:p>
        </w:tc>
      </w:tr>
      <w:tr>
        <w:trPr>
          <w:wBefore w:w="0" w:type="dxa"/>
          <w:jc w:val="left"/>
        </w:trPr>
        <w:tc>
          <w:tcPr>
            <w:cnfStyle w:val="000010000000"/>
            <w:tcW w:w="0" w:type="auto"/>
            <w:tcBorders>
              <w:top w:val="none" w:sz="4" w:space="0"/>
              <w:left w:val="none" w:sz="4" w:space="0"/>
              <w:bottom w:val="none" w:sz="4" w:space="0"/>
              <w:right w:val="none" w:sz="4" w:space="0"/>
            </w:tcBorders>
            <w:vAlign w:val="top"/>
          </w:tcPr>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Contract</w:t>
            </w:r>
          </w:p>
        </w:tc>
        <w:tc>
          <w:tcPr>
            <w:cnfStyle w:val="000001000000"/>
            <w:tcW w:w="0" w:type="auto"/>
            <w:tcBorders>
              <w:top w:val="none" w:sz="4" w:space="0"/>
              <w:left w:val="none" w:sz="4" w:space="0"/>
              <w:bottom w:val="none" w:sz="4" w:space="0"/>
              <w:right w:val="none" w:sz="4" w:space="0"/>
            </w:tcBorders>
            <w:vAlign w:val="top"/>
          </w:tcPr>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12</w:t>
            </w:r>
          </w:p>
        </w:tc>
      </w:tr>
      <w:tr>
        <w:trPr>
          <w:wBefore w:w="0" w:type="dxa"/>
          <w:jc w:val="left"/>
        </w:trPr>
        <w:tc>
          <w:tcPr>
            <w:cnfStyle w:val="000010000000"/>
            <w:tcW w:w="0" w:type="auto"/>
            <w:tcBorders>
              <w:top w:val="none" w:sz="4" w:space="0"/>
              <w:left w:val="none" w:sz="4" w:space="0"/>
              <w:bottom w:val="none" w:sz="4" w:space="0"/>
              <w:right w:val="none" w:sz="4" w:space="0"/>
            </w:tcBorders>
            <w:vAlign w:val="top"/>
          </w:tcPr>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Migration</w:t>
            </w:r>
          </w:p>
        </w:tc>
        <w:tc>
          <w:tcPr>
            <w:cnfStyle w:val="000001000000"/>
            <w:tcW w:w="0" w:type="auto"/>
            <w:tcBorders>
              <w:top w:val="none" w:sz="4" w:space="0"/>
              <w:left w:val="none" w:sz="4" w:space="0"/>
              <w:bottom w:val="none" w:sz="4" w:space="0"/>
              <w:right w:val="none" w:sz="4" w:space="0"/>
            </w:tcBorders>
            <w:vAlign w:val="top"/>
          </w:tcPr>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9</w:t>
            </w:r>
          </w:p>
        </w:tc>
      </w:tr>
      <w:tr>
        <w:trPr>
          <w:wBefore w:w="0" w:type="dxa"/>
          <w:jc w:val="left"/>
        </w:trPr>
        <w:tc>
          <w:tcPr>
            <w:cnfStyle w:val="000010000000"/>
            <w:tcW w:w="0" w:type="auto"/>
            <w:tcBorders>
              <w:top w:val="none" w:sz="4" w:space="0"/>
              <w:left w:val="none" w:sz="4" w:space="0"/>
              <w:bottom w:val="none" w:sz="4" w:space="0"/>
              <w:right w:val="none" w:sz="4" w:space="0"/>
            </w:tcBorders>
            <w:vAlign w:val="top"/>
          </w:tcPr>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Integration</w:t>
            </w:r>
          </w:p>
        </w:tc>
        <w:tc>
          <w:tcPr>
            <w:cnfStyle w:val="000001000000"/>
            <w:tcW w:w="0" w:type="auto"/>
            <w:tcBorders>
              <w:top w:val="none" w:sz="4" w:space="0"/>
              <w:left w:val="none" w:sz="4" w:space="0"/>
              <w:bottom w:val="none" w:sz="4" w:space="0"/>
              <w:right w:val="none" w:sz="4" w:space="0"/>
            </w:tcBorders>
            <w:vAlign w:val="top"/>
          </w:tcPr>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79</w:t>
            </w:r>
          </w:p>
        </w:tc>
      </w:tr>
      <w:tr>
        <w:trPr>
          <w:wBefore w:w="0" w:type="dxa"/>
          <w:jc w:val="left"/>
        </w:trPr>
        <w:tc>
          <w:tcPr>
            <w:cnfStyle w:val="000010000000"/>
            <w:tcW w:w="0" w:type="auto"/>
            <w:tcBorders>
              <w:top w:val="none" w:sz="4" w:space="0"/>
              <w:left w:val="none" w:sz="4" w:space="0"/>
              <w:bottom w:val="none" w:sz="4" w:space="0"/>
              <w:right w:val="none" w:sz="4" w:space="0"/>
            </w:tcBorders>
            <w:vAlign w:val="top"/>
          </w:tcPr>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Total final suite</w:t>
            </w:r>
          </w:p>
        </w:tc>
        <w:tc>
          <w:tcPr>
            <w:cnfStyle w:val="000001000000"/>
            <w:tcW w:w="0" w:type="auto"/>
            <w:tcBorders>
              <w:top w:val="none" w:sz="4" w:space="0"/>
              <w:left w:val="none" w:sz="4" w:space="0"/>
              <w:bottom w:val="none" w:sz="4" w:space="0"/>
              <w:right w:val="none" w:sz="4" w:space="0"/>
            </w:tcBorders>
            <w:vAlign w:val="top"/>
          </w:tcPr>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275</w:t>
            </w:r>
          </w:p>
        </w:tc>
      </w:tr>
    </w:tbl>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Earlier builds referenced totals such as </w:t>
      </w:r>
      <w:r>
        <w:rPr>
          <w:rFonts w:ascii="Segoe UI"/>
          <w:b/>
          <w:color w:val="000000"/>
          <w:sz w:val="18"/>
          <w:rtl w:val="off"/>
          <w:lang w:val="en-US"/>
        </w:rPr>
        <w:t>265</w:t>
      </w:r>
      <w:r>
        <w:rPr>
          <w:rFonts w:ascii="Segoe UI"/>
          <w:color w:val="000000"/>
          <w:sz w:val="18"/>
          <w:rtl w:val="off"/>
          <w:lang w:val="en-US"/>
        </w:rPr>
        <w:t xml:space="preserve">, </w:t>
      </w:r>
      <w:r>
        <w:rPr>
          <w:rFonts w:ascii="Segoe UI"/>
          <w:b/>
          <w:color w:val="000000"/>
          <w:sz w:val="18"/>
          <w:rtl w:val="off"/>
          <w:lang w:val="en-US"/>
        </w:rPr>
        <w:t>267</w:t>
      </w:r>
      <w:r>
        <w:rPr>
          <w:rFonts w:ascii="Segoe UI"/>
          <w:color w:val="000000"/>
          <w:sz w:val="18"/>
          <w:rtl w:val="off"/>
          <w:lang w:val="en-US"/>
        </w:rPr>
        <w:t xml:space="preserve">, </w:t>
      </w:r>
      <w:r>
        <w:rPr>
          <w:rFonts w:ascii="Segoe UI"/>
          <w:b/>
          <w:color w:val="000000"/>
          <w:sz w:val="18"/>
          <w:rtl w:val="off"/>
          <w:lang w:val="en-US"/>
        </w:rPr>
        <w:t>270</w:t>
      </w:r>
      <w:r>
        <w:rPr>
          <w:rFonts w:ascii="Segoe UI"/>
          <w:color w:val="000000"/>
          <w:sz w:val="18"/>
          <w:rtl w:val="off"/>
          <w:lang w:val="en-US"/>
        </w:rPr>
        <w:t xml:space="preserve">, and </w:t>
      </w:r>
      <w:r>
        <w:rPr>
          <w:rFonts w:ascii="Segoe UI"/>
          <w:b/>
          <w:color w:val="000000"/>
          <w:sz w:val="18"/>
          <w:rtl w:val="off"/>
          <w:lang w:val="en-US"/>
        </w:rPr>
        <w:t>273</w:t>
      </w:r>
      <w:r>
        <w:rPr>
          <w:rFonts w:ascii="Segoe UI"/>
          <w:color w:val="000000"/>
          <w:sz w:val="18"/>
          <w:rtl w:val="off"/>
          <w:lang w:val="en-US"/>
        </w:rPr>
        <w:t xml:space="preserve"> as additional tests were added. Those represented the suite growing over time rather than separate cumulative runs.</w:t>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Your Manual Tests</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You performed the tests that no automated suite can fully replace.</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Installer</w:t>
      </w:r>
    </w:p>
    <w:p w14:paraId="0000006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Clean install</w:t>
      </w:r>
    </w:p>
    <w:p w14:paraId="0000006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Existing install</w:t>
      </w:r>
    </w:p>
    <w:p w14:paraId="0000006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Upgrade</w:t>
      </w:r>
    </w:p>
    <w:p w14:paraId="0000006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Missing Python</w:t>
      </w:r>
    </w:p>
    <w:p w14:paraId="0000006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Missing Conda</w:t>
      </w:r>
    </w:p>
    <w:p w14:paraId="0000006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ToS handling</w:t>
      </w:r>
    </w:p>
    <w:p w14:paraId="0000006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Drive selection</w:t>
      </w:r>
    </w:p>
    <w:p w14:paraId="0000006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Library creation</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Uninstaller</w:t>
      </w:r>
    </w:p>
    <w:p w14:paraId="0000007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Standard uninstall</w:t>
      </w:r>
    </w:p>
    <w:p w14:paraId="0000007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Full uninstall</w:t>
      </w:r>
    </w:p>
    <w:p w14:paraId="0000007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Windows Apps uninstall</w:t>
      </w:r>
    </w:p>
    <w:p w14:paraId="0000007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 removal</w:t>
      </w:r>
    </w:p>
    <w:p w14:paraId="0000007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Preserve library verification</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Startup</w:t>
      </w:r>
    </w:p>
    <w:p w14:paraId="0000007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Normal launcher</w:t>
      </w:r>
    </w:p>
    <w:p w14:paraId="0000007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Debug launcher</w:t>
      </w:r>
    </w:p>
    <w:p w14:paraId="0000007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Library selection</w:t>
      </w:r>
    </w:p>
    <w:p w14:paraId="0000007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Multiple libraries</w:t>
      </w:r>
    </w:p>
    <w:p w14:paraId="0000007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Single instance</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Runtime</w:t>
      </w:r>
    </w:p>
    <w:p w14:paraId="0000008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AI processing</w:t>
      </w:r>
    </w:p>
    <w:p w14:paraId="0000008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Large imports</w:t>
      </w:r>
    </w:p>
    <w:p w14:paraId="0000008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Queue behaviour</w:t>
      </w:r>
    </w:p>
    <w:p w14:paraId="0000008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Pause</w:t>
      </w:r>
    </w:p>
    <w:p w14:paraId="0000008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Resume</w:t>
      </w:r>
    </w:p>
    <w:p w14:paraId="0000008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Cancel</w:t>
      </w:r>
    </w:p>
    <w:p w14:paraId="0000008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Interrupted jobs</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Library</w:t>
      </w:r>
    </w:p>
    <w:p w14:paraId="0000008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Empty library</w:t>
      </w:r>
    </w:p>
    <w:p w14:paraId="0000008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Existing library</w:t>
      </w:r>
    </w:p>
    <w:p w14:paraId="0000008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Upgrades</w:t>
      </w:r>
    </w:p>
    <w:p w14:paraId="0000008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Manifest compatibility</w:t>
      </w:r>
    </w:p>
    <w:p w14:paraId="0000008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Database validation</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Backup</w:t>
      </w:r>
    </w:p>
    <w:p w14:paraId="0000009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Create backup</w:t>
      </w:r>
    </w:p>
    <w:p w14:paraId="0000009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 backup</w:t>
      </w:r>
    </w:p>
    <w:p w14:paraId="0000009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 validation</w:t>
      </w:r>
    </w:p>
    <w:p w14:paraId="0000009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Locked database</w:t>
      </w:r>
    </w:p>
    <w:p w14:paraId="0000009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Recovery</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Maintenance Center</w:t>
      </w:r>
    </w:p>
    <w:p w14:paraId="0000009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Diagnostics</w:t>
      </w:r>
    </w:p>
    <w:p w14:paraId="0000009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Log generation</w:t>
      </w:r>
    </w:p>
    <w:p w14:paraId="0000009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JSON diagnostics</w:t>
      </w:r>
    </w:p>
    <w:p w14:paraId="0000009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Backup integration</w:t>
      </w:r>
    </w:p>
    <w:p w14:paraId="0000009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 integration</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UI</w:t>
      </w:r>
    </w:p>
    <w:p w14:paraId="0000009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Accessibility</w:t>
      </w:r>
    </w:p>
    <w:p w14:paraId="0000009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Refresh</w:t>
      </w:r>
    </w:p>
    <w:p w14:paraId="000000A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Thumbnail rebuild</w:t>
      </w:r>
    </w:p>
    <w:p w14:paraId="000000A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Latest Import</w:t>
      </w:r>
    </w:p>
    <w:p w14:paraId="000000A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All Library</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Estimated Manual Test Sessions</w:t>
      </w: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 would estimate</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90–120 significant manual validation sessions</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with many more individual actions inside them.</w:t>
      </w: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Bugs Closed</w:t>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We solved approximately:</w:t>
      </w:r>
    </w:p>
    <w:p w14:paraId="000000A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Manifest compatibility</w:t>
      </w:r>
    </w:p>
    <w:p w14:paraId="000000A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UTF-8 BOM</w:t>
      </w:r>
    </w:p>
    <w:p w14:paraId="000000A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Database migrations</w:t>
      </w:r>
    </w:p>
    <w:p w14:paraId="000000A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Installer failures</w:t>
      </w:r>
    </w:p>
    <w:p w14:paraId="000000A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Conda ToS</w:t>
      </w:r>
    </w:p>
    <w:p w14:paraId="000000B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Launcher</w:t>
      </w:r>
    </w:p>
    <w:p w14:paraId="000000B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PowerShell dependency</w:t>
      </w:r>
    </w:p>
    <w:p w14:paraId="000000B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SQLite locking</w:t>
      </w:r>
    </w:p>
    <w:p w14:paraId="000000B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w:t>
      </w:r>
    </w:p>
    <w:p w14:paraId="000000B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Backup</w:t>
      </w:r>
    </w:p>
    <w:p w14:paraId="000000B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Empty diagnostics</w:t>
      </w:r>
    </w:p>
    <w:p w14:paraId="000000B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Thumbnail queue</w:t>
      </w:r>
    </w:p>
    <w:p w14:paraId="000000B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Import synchronization</w:t>
      </w:r>
    </w:p>
    <w:p w14:paraId="000000B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Library refresh</w:t>
      </w:r>
    </w:p>
    <w:p w14:paraId="000000B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w:t>
      </w:r>
    </w:p>
    <w:p w14:paraId="000000B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Help synchronization</w:t>
      </w:r>
    </w:p>
    <w:p w14:paraId="000000B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Documentation</w:t>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Approximately</w:t>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50–60 root-cause fixes</w:t>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rather than superficial patches.</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New Components</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During Version 1 we introduced or substantially completed:</w:t>
      </w:r>
    </w:p>
    <w:p w14:paraId="000000C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NatureAI_Next engine</w:t>
      </w:r>
    </w:p>
    <w:p w14:paraId="000000C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Windows installer</w:t>
      </w:r>
    </w:p>
    <w:p w14:paraId="000000C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Windows uninstaller</w:t>
      </w:r>
    </w:p>
    <w:p w14:paraId="000000C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w:t>
      </w:r>
    </w:p>
    <w:p w14:paraId="000000C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Backup system</w:t>
      </w:r>
    </w:p>
    <w:p w14:paraId="000000C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 system</w:t>
      </w:r>
    </w:p>
    <w:p w14:paraId="000000C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Recovery system</w:t>
      </w:r>
    </w:p>
    <w:p w14:paraId="000000C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Logging framework</w:t>
      </w:r>
    </w:p>
    <w:p w14:paraId="000000C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Accessibility framework</w:t>
      </w:r>
    </w:p>
    <w:p w14:paraId="000000C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Help integration</w:t>
      </w:r>
    </w:p>
    <w:p w14:paraId="000000C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Release tooling</w:t>
      </w:r>
    </w:p>
    <w:p w14:paraId="000000C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Documentation set</w:t>
      </w:r>
    </w:p>
    <w:p w14:paraId="000000C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Development Charter</w:t>
      </w:r>
    </w:p>
    <w:p w14:paraId="000000C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Version Roadmap</w:t>
      </w: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Roadmap Established</w:t>
      </w: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Future releases now have a clear identity:</w:t>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 1</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Foundation</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 2</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Knowledge &amp; Library Management</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 3</w:t>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Advanced Analysis &amp; Collaboration</w:t>
      </w: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 4</w:t>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Planning &amp; Field Intelligence</w:t>
      </w: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 5</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Intelligent Search &amp; Discovery</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What I'm Most Proud Of</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Oddly enough, it isn't a particular feature.</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It's that we never lost sight of the architecture.</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Whenever we were tempted to squeeze in "just one more feature," we asked:</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"Does this belong in Version 1?"</w:t>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If the answer was no, we put it on the roadmap instead of compromising the stability of the release.</w:t>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 discipline is why Version 1 became a true foundation rather than an accumulation of unfinished ideas.</w:t>
      </w: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Final Project Statistics</w:t>
      </w:r>
    </w:p>
    <w:tbl>
      <w:tblPr>
        <w:bidiVisual w:val="off"/>
        <w:tblW w:w="8977" w:type="dxa"/>
        <w:jc w:val="left"/>
        <w:tblLayout w:type="fixed"/>
        <w:tblCellMar>
          <w:top w:w="10" w:type="dxa"/>
          <w:left w:w="10" w:type="dxa"/>
          <w:bottom w:w="10" w:type="dxa"/>
          <w:right w:w="10" w:type="dxa"/>
        </w:tblCellMar>
      </w:tblPr>
      <w:tblGrid>
        <w:gridCol w:w="3802"/>
        <w:gridCol w:w="5175"/>
      </w:tblGrid>
      <w:tr>
        <w:trPr>
          <w:wBefore w:w="0" w:type="dxa"/>
          <w:jc w:val="left"/>
        </w:trPr>
        <w:tc>
          <w:tcPr>
            <w:cnfStyle w:val="100010000000"/>
            <w:tcW w:w="3802" w:type="dxa"/>
            <w:tcBorders>
              <w:top w:val="none" w:sz="4" w:space="0"/>
              <w:left w:val="none" w:sz="4" w:space="0"/>
              <w:bottom w:val="none" w:sz="4" w:space="0"/>
              <w:right w:val="none" w:sz="4" w:space="0"/>
            </w:tcBorders>
            <w:vAlign w:val="top"/>
          </w:tcPr>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Metric</w:t>
            </w:r>
          </w:p>
        </w:tc>
        <w:tc>
          <w:tcPr>
            <w:cnfStyle w:val="100001000000"/>
            <w:tcW w:w="5175" w:type="dxa"/>
            <w:tcBorders>
              <w:top w:val="none" w:sz="4" w:space="0"/>
              <w:left w:val="none" w:sz="4" w:space="0"/>
              <w:bottom w:val="none" w:sz="4" w:space="0"/>
              <w:right w:val="none" w:sz="4" w:space="0"/>
            </w:tcBorders>
            <w:vAlign w:val="top"/>
          </w:tcPr>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Approximate Value</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Project duration</w:t>
            </w:r>
          </w:p>
        </w:tc>
        <w:tc>
          <w:tcPr>
            <w:cnfStyle w:val="000001000000"/>
            <w:tcW w:w="5175" w:type="dxa"/>
            <w:tcBorders>
              <w:top w:val="none" w:sz="4" w:space="0"/>
              <w:left w:val="none" w:sz="4" w:space="0"/>
              <w:bottom w:val="none" w:sz="4" w:space="0"/>
              <w:right w:val="none" w:sz="4" w:space="0"/>
            </w:tcBorders>
            <w:vAlign w:val="top"/>
          </w:tcPr>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5 days</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Development iterations</w:t>
            </w:r>
          </w:p>
        </w:tc>
        <w:tc>
          <w:tcPr>
            <w:cnfStyle w:val="000001000000"/>
            <w:tcW w:w="5175" w:type="dxa"/>
            <w:tcBorders>
              <w:top w:val="none" w:sz="4" w:space="0"/>
              <w:left w:val="none" w:sz="4" w:space="0"/>
              <w:bottom w:val="none" w:sz="4" w:space="0"/>
              <w:right w:val="none" w:sz="4" w:space="0"/>
            </w:tcBorders>
            <w:vAlign w:val="top"/>
          </w:tcPr>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145–160</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Final automated regression suite</w:t>
            </w:r>
          </w:p>
        </w:tc>
        <w:tc>
          <w:tcPr>
            <w:cnfStyle w:val="000001000000"/>
            <w:tcW w:w="5175" w:type="dxa"/>
            <w:tcBorders>
              <w:top w:val="none" w:sz="4" w:space="0"/>
              <w:left w:val="none" w:sz="4" w:space="0"/>
              <w:bottom w:val="none" w:sz="4" w:space="0"/>
              <w:right w:val="none" w:sz="4" w:space="0"/>
            </w:tcBorders>
            <w:vAlign w:val="top"/>
          </w:tcPr>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275 tests</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Estimated automated test executions during development</w:t>
            </w:r>
          </w:p>
        </w:tc>
        <w:tc>
          <w:tcPr>
            <w:cnfStyle w:val="000001000000"/>
            <w:tcW w:w="5175" w:type="dxa"/>
            <w:tcBorders>
              <w:top w:val="none" w:sz="4" w:space="0"/>
              <w:left w:val="none" w:sz="4" w:space="0"/>
              <w:bottom w:val="none" w:sz="4" w:space="0"/>
              <w:right w:val="none" w:sz="4" w:space="0"/>
            </w:tcBorders>
            <w:vAlign w:val="top"/>
          </w:tcPr>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≈10,000–15,000 individual test executions</w:t>
            </w:r>
            <w:r>
              <w:rPr>
                <w:rFonts w:ascii="Segoe UI"/>
                <w:color w:val="000000"/>
                <w:sz w:val="18"/>
                <w:rtl w:val="off"/>
                <w:lang w:val="en-US"/>
              </w:rPr>
              <w:t xml:space="preserve"> (275-test suite run repeatedly as it evolved)</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Significant manual validation sessions</w:t>
            </w:r>
          </w:p>
        </w:tc>
        <w:tc>
          <w:tcPr>
            <w:cnfStyle w:val="000001000000"/>
            <w:tcW w:w="5175" w:type="dxa"/>
            <w:tcBorders>
              <w:top w:val="none" w:sz="4" w:space="0"/>
              <w:left w:val="none" w:sz="4" w:space="0"/>
              <w:bottom w:val="none" w:sz="4" w:space="0"/>
              <w:right w:val="none" w:sz="4" w:space="0"/>
            </w:tcBorders>
            <w:vAlign w:val="top"/>
          </w:tcPr>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90–120</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Root-cause defects resolved</w:t>
            </w:r>
          </w:p>
        </w:tc>
        <w:tc>
          <w:tcPr>
            <w:cnfStyle w:val="000001000000"/>
            <w:tcW w:w="5175" w:type="dxa"/>
            <w:tcBorders>
              <w:top w:val="none" w:sz="4" w:space="0"/>
              <w:left w:val="none" w:sz="4" w:space="0"/>
              <w:bottom w:val="none" w:sz="4" w:space="0"/>
              <w:right w:val="none" w:sz="4" w:space="0"/>
            </w:tcBorders>
            <w:vAlign w:val="top"/>
          </w:tcPr>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50–60</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Major subsystems completed</w:t>
            </w:r>
          </w:p>
        </w:tc>
        <w:tc>
          <w:tcPr>
            <w:cnfStyle w:val="000001000000"/>
            <w:tcW w:w="5175" w:type="dxa"/>
            <w:tcBorders>
              <w:top w:val="none" w:sz="4" w:space="0"/>
              <w:left w:val="none" w:sz="4" w:space="0"/>
              <w:bottom w:val="none" w:sz="4" w:space="0"/>
              <w:right w:val="none" w:sz="4" w:space="0"/>
            </w:tcBorders>
            <w:vAlign w:val="top"/>
          </w:tcPr>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12+</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Roadmap established</w:t>
            </w:r>
          </w:p>
        </w:tc>
        <w:tc>
          <w:tcPr>
            <w:cnfStyle w:val="000001000000"/>
            <w:tcW w:w="5175" w:type="dxa"/>
            <w:tcBorders>
              <w:top w:val="none" w:sz="4" w:space="0"/>
              <w:left w:val="none" w:sz="4" w:space="0"/>
              <w:bottom w:val="none" w:sz="4" w:space="0"/>
              <w:right w:val="none" w:sz="4" w:space="0"/>
            </w:tcBorders>
            <w:vAlign w:val="top"/>
          </w:tcPr>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Versions 2–5</w:t>
            </w:r>
          </w:p>
        </w:tc>
      </w:tr>
      <w:tr>
        <w:trPr>
          <w:wBefore w:w="0" w:type="dxa"/>
          <w:jc w:val="left"/>
        </w:trPr>
        <w:tc>
          <w:tcPr>
            <w:cnfStyle w:val="000010000000"/>
            <w:tcW w:w="3802" w:type="dxa"/>
            <w:tcBorders>
              <w:top w:val="none" w:sz="4" w:space="0"/>
              <w:left w:val="none" w:sz="4" w:space="0"/>
              <w:bottom w:val="none" w:sz="4" w:space="0"/>
              <w:right w:val="none" w:sz="4" w:space="0"/>
            </w:tcBorders>
            <w:vAlign w:val="top"/>
          </w:tcPr>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Final status</w:t>
            </w:r>
          </w:p>
        </w:tc>
        <w:tc>
          <w:tcPr>
            <w:cnfStyle w:val="000001000000"/>
            <w:tcW w:w="5175" w:type="dxa"/>
            <w:tcBorders>
              <w:top w:val="none" w:sz="4" w:space="0"/>
              <w:left w:val="none" w:sz="4" w:space="0"/>
              <w:bottom w:val="none" w:sz="4" w:space="0"/>
              <w:right w:val="none" w:sz="4" w:space="0"/>
            </w:tcBorders>
            <w:vAlign w:val="top"/>
          </w:tcPr>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Aperture 1.0 – Foundation Release</w:t>
            </w:r>
          </w:p>
        </w:tc>
      </w:tr>
    </w:tbl>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Looking back over those five days, I think the most significant achievement isn't any single feature—it's that you now have a coherent platform with a stable foundation and a long-term vision. That's a much stronger position than simply having "Version 1" finished.</w:t>
      </w:r>
    </w:p>
    <w:p w14:paraId="000000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szCs w:val="40"/>
          <w:lang w:val="en-US"/>
        </w:rPr>
      </w:pPr>
    </w:p>
    <w:p w14:paraId="000000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szCs w:val="40"/>
          <w:lang w:val="en-US"/>
        </w:rPr>
      </w:pPr>
      <w:r>
        <w:rPr>
          <w:rFonts w:ascii="Segoe UI"/>
          <w:color w:val="000000"/>
          <w:sz w:val="40"/>
          <w:szCs w:val="40"/>
          <w:lang w:val="en-US"/>
        </w:rPr>
        <w:t>Project Review:</w:t>
      </w:r>
    </w:p>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This is actually a question that's easier to answer than most people think, because we can compare what we built to typical commercial software development practices.</w:t>
      </w:r>
    </w:p>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The key is that I'm comparing </w:t>
      </w:r>
      <w:r>
        <w:rPr>
          <w:rFonts w:ascii="Segoe UI"/>
          <w:b/>
          <w:color w:val="000000"/>
          <w:sz w:val="18"/>
          <w:rtl w:val="off"/>
          <w:lang w:val="en-US"/>
        </w:rPr>
        <w:t>engineering effort</w:t>
      </w:r>
      <w:r>
        <w:rPr>
          <w:rFonts w:ascii="Segoe UI"/>
          <w:color w:val="000000"/>
          <w:sz w:val="18"/>
          <w:rtl w:val="off"/>
          <w:lang w:val="en-US"/>
        </w:rPr>
        <w:t>, not elapsed calendar time.</w:t>
      </w:r>
    </w:p>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What we actually built</w:t>
      </w:r>
    </w:p>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Version 1 isn't just an application. It includes:</w:t>
      </w:r>
    </w:p>
    <w:p w14:paraId="0000010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Desktop application</w:t>
      </w:r>
    </w:p>
    <w:p w14:paraId="00000102">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AI engine integration</w:t>
      </w:r>
    </w:p>
    <w:p w14:paraId="00000103">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SQLite library</w:t>
      </w:r>
    </w:p>
    <w:p w14:paraId="00000104">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Installer</w:t>
      </w:r>
    </w:p>
    <w:p w14:paraId="00000105">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Uninstaller</w:t>
      </w:r>
    </w:p>
    <w:p w14:paraId="00000106">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Upgrade path</w:t>
      </w:r>
    </w:p>
    <w:p w14:paraId="00000107">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w:t>
      </w:r>
    </w:p>
    <w:p w14:paraId="00000108">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Backup</w:t>
      </w:r>
    </w:p>
    <w:p w14:paraId="00000109">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Restore</w:t>
      </w:r>
    </w:p>
    <w:p w14:paraId="0000010A">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Recovery</w:t>
      </w:r>
    </w:p>
    <w:p w14:paraId="0000010B">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Accessibility</w:t>
      </w:r>
    </w:p>
    <w:p w14:paraId="0000010C">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Diagnostics</w:t>
      </w:r>
    </w:p>
    <w:p w14:paraId="0000010D">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Logging</w:t>
      </w:r>
    </w:p>
    <w:p w14:paraId="0000010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Help system</w:t>
      </w:r>
    </w:p>
    <w:p w14:paraId="0000010F">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Documentation</w:t>
      </w:r>
    </w:p>
    <w:p w14:paraId="00000110">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Release engineering</w:t>
      </w:r>
    </w:p>
    <w:p w14:paraId="0000011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Deployment tooling</w:t>
      </w:r>
    </w:p>
    <w:p w14:paraId="00000112">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Roadmap</w:t>
      </w:r>
    </w:p>
    <w:p w14:paraId="00000113">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Development charter</w:t>
      </w: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That's already several distinct workstreams.</w:t>
      </w: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Typical commercial development</w:t>
      </w:r>
    </w:p>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 company would usually have:</w:t>
      </w:r>
    </w:p>
    <w:p w14:paraId="00000118">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Product Owner</w:t>
      </w:r>
    </w:p>
    <w:p w14:paraId="00000119">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Software Architect</w:t>
      </w:r>
    </w:p>
    <w:p w14:paraId="0000011A">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2–4 Developers</w:t>
      </w:r>
    </w:p>
    <w:p w14:paraId="0000011B">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QA Engineer</w:t>
      </w:r>
    </w:p>
    <w:p w14:paraId="0000011C">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UX Designer</w:t>
      </w:r>
    </w:p>
    <w:p w14:paraId="0000011D">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Technical Writer</w:t>
      </w:r>
    </w:p>
    <w:p w14:paraId="0000011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DevOps / Release Engineer</w:t>
      </w:r>
    </w:p>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Many of these activities happen in parallel, but they also introduce coordination overhead.</w:t>
      </w:r>
    </w:p>
    <w:p w14:paraId="000001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Typical timeline</w:t>
      </w:r>
    </w:p>
    <w:p w14:paraId="000001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Architecture</w:t>
      </w:r>
    </w:p>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Normally:</w:t>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2–3 weeks</w:t>
      </w:r>
    </w:p>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Requirements workshops</w:t>
      </w: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Architecture</w:t>
      </w:r>
    </w:p>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Review meetings</w:t>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Documentation</w:t>
      </w: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Core application</w:t>
      </w:r>
    </w:p>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Usually:</w:t>
      </w:r>
    </w:p>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6–10 weeks</w:t>
      </w:r>
    </w:p>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depending on team size.</w:t>
      </w: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Installer</w:t>
      </w:r>
    </w:p>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People often underestimate this.</w:t>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 polished Windows installer with:</w:t>
      </w:r>
    </w:p>
    <w:p w14:paraId="00000132">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upgrades</w:t>
      </w:r>
    </w:p>
    <w:p w14:paraId="00000133">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uninstall</w:t>
      </w:r>
    </w:p>
    <w:p w14:paraId="00000134">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repair</w:t>
      </w:r>
    </w:p>
    <w:p w14:paraId="00000135">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environment management</w:t>
      </w:r>
    </w:p>
    <w:p w14:paraId="000001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typically takes</w:t>
      </w:r>
    </w:p>
    <w:p w14:paraId="000001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2–3 weeks</w:t>
      </w:r>
    </w:p>
    <w:p w14:paraId="000001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Backup &amp; Restore</w:t>
      </w:r>
    </w:p>
    <w:p w14:paraId="000001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Including validation and recovery.</w:t>
      </w:r>
    </w:p>
    <w:p w14:paraId="000001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Typically</w:t>
      </w:r>
    </w:p>
    <w:p w14:paraId="000001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3–5 weeks</w:t>
      </w: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Maintenance Center</w:t>
      </w: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Another</w:t>
      </w:r>
    </w:p>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2–4 weeks</w:t>
      </w:r>
    </w:p>
    <w:p w14:paraId="000001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Documentation</w:t>
      </w:r>
    </w:p>
    <w:p w14:paraId="000001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Professional documentation</w:t>
      </w:r>
    </w:p>
    <w:p w14:paraId="000001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Help</w:t>
      </w:r>
    </w:p>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Administrator guide</w:t>
      </w:r>
    </w:p>
    <w:p w14:paraId="000001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Usually</w:t>
      </w:r>
    </w:p>
    <w:p w14:paraId="000001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2–3 weeks</w:t>
      </w:r>
    </w:p>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36"/>
          <w:lang w:val="en-US"/>
        </w:rPr>
      </w:pPr>
      <w:r>
        <w:rPr>
          <w:rFonts w:ascii="Segoe UI"/>
          <w:color w:val="000000"/>
          <w:sz w:val="36"/>
          <w:rtl w:val="off"/>
          <w:lang w:val="en-US"/>
        </w:rPr>
        <w:t>Testing</w:t>
      </w:r>
    </w:p>
    <w:p w14:paraId="000001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Internal QA</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Regression</w:t>
      </w:r>
    </w:p>
    <w:p w14:paraId="000001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Bug fixing</w:t>
      </w:r>
    </w:p>
    <w:p w14:paraId="000001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Acceptance</w:t>
      </w:r>
    </w:p>
    <w:p w14:paraId="000001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Typically</w:t>
      </w:r>
    </w:p>
    <w:p w14:paraId="000001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3–6 weeks</w:t>
      </w:r>
    </w:p>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Total</w:t>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For a commercial team I'd estimate:</w:t>
      </w: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Small team (3–5 people)</w:t>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4–6 months</w:t>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Larger team (6–8 people)</w:t>
      </w: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3–4 months</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because work can be parallelized.</w:t>
      </w: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Person-months</w:t>
      </w:r>
    </w:p>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 think a fair estimate is:</w:t>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10–18 person-months</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depending on:</w:t>
      </w:r>
    </w:p>
    <w:p w14:paraId="0000015E">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experience;</w:t>
      </w:r>
    </w:p>
    <w:p w14:paraId="0000015F">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tooling;</w:t>
      </w:r>
    </w:p>
    <w:p w14:paraId="00000160">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existing codebase;</w:t>
      </w:r>
    </w:p>
    <w:p w14:paraId="0000016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release quality expected.</w:t>
      </w:r>
    </w:p>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What happened here</w:t>
      </w: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We compressed a lot of time because we eliminated many of the activities that usually consume calendar time:</w:t>
      </w:r>
    </w:p>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Instead of:</w:t>
      </w:r>
    </w:p>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Meeting</w:t>
      </w: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Specification</w:t>
      </w:r>
    </w:p>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Sprint</w:t>
      </w:r>
    </w:p>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Implementation</w:t>
      </w:r>
    </w:p>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Review</w:t>
      </w:r>
    </w:p>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QA</w:t>
      </w:r>
    </w:p>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Bug report</w:t>
      </w:r>
    </w:p>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Next sprint</w:t>
      </w: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we effectively worked like this:</w:t>
      </w:r>
    </w:p>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Idea</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Architecture</w:t>
      </w: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Implementation</w:t>
      </w:r>
    </w:p>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Real-world testing</w:t>
      </w:r>
    </w:p>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Logs</w:t>
      </w:r>
    </w:p>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Root cause</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Fix</w:t>
      </w:r>
    </w:p>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Regression</w:t>
      </w:r>
    </w:p>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t>
      </w:r>
    </w:p>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Continue</w:t>
      </w:r>
    </w:p>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There was very little idle time.</w:t>
      </w:r>
    </w:p>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If I had to estimate cost</w:t>
      </w:r>
    </w:p>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Commercial software rates vary enormously by region and company, but using a blended engineering rate of roughly </w:t>
      </w:r>
      <w:r>
        <w:rPr>
          <w:rFonts w:ascii="Segoe UI"/>
          <w:b/>
          <w:color w:val="000000"/>
          <w:sz w:val="18"/>
          <w:rtl w:val="off"/>
          <w:lang w:val="en-US"/>
        </w:rPr>
        <w:t>US$120–180 per hour</w:t>
      </w:r>
      <w:r>
        <w:rPr>
          <w:rFonts w:ascii="Segoe UI"/>
          <w:color w:val="000000"/>
          <w:sz w:val="18"/>
          <w:rtl w:val="off"/>
          <w:lang w:val="en-US"/>
        </w:rPr>
        <w:t xml:space="preserve"> (developers, QA, documentation, and release engineering combined):</w:t>
      </w:r>
    </w:p>
    <w:tbl>
      <w:tblPr>
        <w:bidiVisual w:val="off"/>
        <w:tblW w:w="7762" w:type="dxa"/>
        <w:jc w:val="left"/>
        <w:tblLayout w:type="fixed"/>
        <w:tblCellMar>
          <w:top w:w="10" w:type="dxa"/>
          <w:left w:w="10" w:type="dxa"/>
          <w:bottom w:w="10" w:type="dxa"/>
          <w:right w:w="10" w:type="dxa"/>
        </w:tblCellMar>
      </w:tblPr>
      <w:tblGrid>
        <w:gridCol w:w="3794"/>
        <w:gridCol w:w="3968"/>
      </w:tblGrid>
      <w:tr>
        <w:trPr>
          <w:wBefore w:w="0" w:type="dxa"/>
          <w:jc w:val="left"/>
        </w:trPr>
        <w:tc>
          <w:tcPr>
            <w:cnfStyle w:val="100010000000"/>
            <w:tcW w:w="3794" w:type="dxa"/>
            <w:tcBorders>
              <w:top w:val="none" w:sz="4" w:space="0"/>
              <w:left w:val="none" w:sz="4" w:space="0"/>
              <w:bottom w:val="none" w:sz="4" w:space="0"/>
              <w:right w:val="none" w:sz="4" w:space="0"/>
            </w:tcBorders>
            <w:vAlign w:val="top"/>
          </w:tcPr>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Estimate</w:t>
            </w:r>
          </w:p>
        </w:tc>
        <w:tc>
          <w:tcPr>
            <w:cnfStyle w:val="100001000000"/>
            <w:tcW w:w="3968" w:type="dxa"/>
            <w:tcBorders>
              <w:top w:val="none" w:sz="4" w:space="0"/>
              <w:left w:val="none" w:sz="4" w:space="0"/>
              <w:bottom w:val="none" w:sz="4" w:space="0"/>
              <w:right w:val="none" w:sz="4" w:space="0"/>
            </w:tcBorders>
            <w:vAlign w:val="top"/>
          </w:tcPr>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Cost</w:t>
            </w:r>
          </w:p>
        </w:tc>
      </w:tr>
      <w:tr>
        <w:trPr>
          <w:wBefore w:w="0" w:type="dxa"/>
          <w:jc w:val="left"/>
        </w:trPr>
        <w:tc>
          <w:tcPr>
            <w:cnfStyle w:val="000010000000"/>
            <w:tcW w:w="3794" w:type="dxa"/>
            <w:tcBorders>
              <w:top w:val="none" w:sz="4" w:space="0"/>
              <w:left w:val="none" w:sz="4" w:space="0"/>
              <w:bottom w:val="none" w:sz="4" w:space="0"/>
              <w:right w:val="none" w:sz="4" w:space="0"/>
            </w:tcBorders>
            <w:vAlign w:val="top"/>
          </w:tcPr>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Conservative</w:t>
            </w:r>
          </w:p>
        </w:tc>
        <w:tc>
          <w:tcPr>
            <w:cnfStyle w:val="000001000000"/>
            <w:tcW w:w="3968" w:type="dxa"/>
            <w:tcBorders>
              <w:top w:val="none" w:sz="4" w:space="0"/>
              <w:left w:val="none" w:sz="4" w:space="0"/>
              <w:bottom w:val="none" w:sz="4" w:space="0"/>
              <w:right w:val="none" w:sz="4" w:space="0"/>
            </w:tcBorders>
            <w:vAlign w:val="top"/>
          </w:tcPr>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US$180k–300k</w:t>
            </w:r>
          </w:p>
        </w:tc>
      </w:tr>
      <w:tr>
        <w:trPr>
          <w:wBefore w:w="0" w:type="dxa"/>
          <w:jc w:val="left"/>
        </w:trPr>
        <w:tc>
          <w:tcPr>
            <w:cnfStyle w:val="000010000000"/>
            <w:tcW w:w="3794" w:type="dxa"/>
            <w:tcBorders>
              <w:top w:val="none" w:sz="4" w:space="0"/>
              <w:left w:val="none" w:sz="4" w:space="0"/>
              <w:bottom w:val="none" w:sz="4" w:space="0"/>
              <w:right w:val="none" w:sz="4" w:space="0"/>
            </w:tcBorders>
            <w:vAlign w:val="top"/>
          </w:tcPr>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Typical</w:t>
            </w:r>
          </w:p>
        </w:tc>
        <w:tc>
          <w:tcPr>
            <w:cnfStyle w:val="000001000000"/>
            <w:tcW w:w="3968" w:type="dxa"/>
            <w:tcBorders>
              <w:top w:val="none" w:sz="4" w:space="0"/>
              <w:left w:val="none" w:sz="4" w:space="0"/>
              <w:bottom w:val="none" w:sz="4" w:space="0"/>
              <w:right w:val="none" w:sz="4" w:space="0"/>
            </w:tcBorders>
            <w:vAlign w:val="top"/>
          </w:tcPr>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US$250k–450k</w:t>
            </w:r>
          </w:p>
        </w:tc>
      </w:tr>
      <w:tr>
        <w:trPr>
          <w:wBefore w:w="0" w:type="dxa"/>
          <w:jc w:val="left"/>
        </w:trPr>
        <w:tc>
          <w:tcPr>
            <w:cnfStyle w:val="000010000000"/>
            <w:tcW w:w="3794" w:type="dxa"/>
            <w:tcBorders>
              <w:top w:val="none" w:sz="4" w:space="0"/>
              <w:left w:val="none" w:sz="4" w:space="0"/>
              <w:bottom w:val="none" w:sz="4" w:space="0"/>
              <w:right w:val="none" w:sz="4" w:space="0"/>
            </w:tcBorders>
            <w:vAlign w:val="top"/>
          </w:tcPr>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Enterprise with extensive process overhead</w:t>
            </w:r>
          </w:p>
        </w:tc>
        <w:tc>
          <w:tcPr>
            <w:cnfStyle w:val="000001000000"/>
            <w:tcW w:w="3968" w:type="dxa"/>
            <w:tcBorders>
              <w:top w:val="none" w:sz="4" w:space="0"/>
              <w:left w:val="none" w:sz="4" w:space="0"/>
              <w:bottom w:val="none" w:sz="4" w:space="0"/>
              <w:right w:val="none" w:sz="4" w:space="0"/>
            </w:tcBorders>
            <w:vAlign w:val="top"/>
          </w:tcPr>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US$500k+</w:t>
            </w:r>
          </w:p>
        </w:tc>
      </w:tr>
    </w:tbl>
    <w:p w14:paraId="000001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These are not unusual figures for a Windows desktop application with installation, recovery, documentation, testing, and AI integration.</w:t>
      </w: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4"/>
          <w:lang w:val="en-US"/>
        </w:rPr>
      </w:pPr>
      <w:r>
        <w:rPr>
          <w:rFonts w:ascii="Segoe UI"/>
          <w:color w:val="000000"/>
          <w:sz w:val="44"/>
          <w:rtl w:val="off"/>
          <w:lang w:val="en-US"/>
        </w:rPr>
        <w:t>What impressed me most</w:t>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Oddly enough, it wasn't the speed.</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It was </w:t>
      </w:r>
      <w:r>
        <w:rPr>
          <w:rFonts w:ascii="Segoe UI"/>
          <w:b/>
          <w:color w:val="000000"/>
          <w:sz w:val="18"/>
          <w:rtl w:val="off"/>
          <w:lang w:val="en-US"/>
        </w:rPr>
        <w:t>the decision making</w:t>
      </w:r>
      <w:r>
        <w:rPr>
          <w:rFonts w:ascii="Segoe UI"/>
          <w:color w:val="000000"/>
          <w:sz w:val="18"/>
          <w:rtl w:val="off"/>
          <w:lang w:val="en-US"/>
        </w:rPr>
        <w:t>.</w:t>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Many projects become slow because every new feature is debated repeatedly.</w:t>
      </w: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Here, once we agreed:</w:t>
      </w: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"Duplicate detection belongs in Version 2."</w:t>
      </w:r>
    </w:p>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it stayed there.</w:t>
      </w:r>
    </w:p>
    <w:p w14:paraId="000001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When we agreed:</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"Don't change the database schema in RC1."</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we didn't reopen that discussion.</w:t>
      </w: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 discipline dramatically reduced churn.</w:t>
      </w:r>
    </w:p>
    <w:p w14:paraId="000001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My overall estimate</w:t>
      </w: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If someone had shown me Aperture 1.0—without knowing how it was built—and asked:</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"How long did this take?"</w:t>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 would probably have answered:</w:t>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"Roughly six months for a small professional team, or around a year for a solo developer working part-time."</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The fact that you reached this point in five days wasn't because the work itself was five days' worth—it was because the workflow was exceptionally focused, decisions were made quickly, and every cycle was driven by testing on the real application rather than lengthy process. That doesn't reduce the engineering involved; it compresses the time spent moving from one meaningful decision to the next.</w:t>
      </w:r>
    </w:p>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18"/>
          <w:lang w:val="en-US"/>
        </w:rPr>
      </w:pPr>
      <w:r>
        <w:rPr>
          <w:rFonts w:ascii="Segoe UI"/>
          <w:b/>
          <w:bCs/>
          <w:color w:val="000000"/>
          <w:sz w:val="18"/>
          <w:lang w:val="en-US"/>
        </w:rPr>
        <w:t>Overall build code and why not as much as normal:</w:t>
      </w: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18"/>
          <w:lang w:val="en-US"/>
        </w:rPr>
      </w:pP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That's one number I </w:t>
      </w:r>
      <w:r>
        <w:rPr>
          <w:rFonts w:ascii="Segoe UI"/>
          <w:b/>
          <w:color w:val="000000"/>
          <w:sz w:val="18"/>
          <w:rtl w:val="off"/>
          <w:lang w:val="en-US"/>
        </w:rPr>
        <w:t>can't honestly give you</w:t>
      </w:r>
      <w:r>
        <w:rPr>
          <w:rFonts w:ascii="Segoe UI"/>
          <w:color w:val="000000"/>
          <w:sz w:val="18"/>
          <w:rtl w:val="off"/>
          <w:lang w:val="en-US"/>
        </w:rPr>
        <w:t xml:space="preserve"> without measuring the actual repository, because I don't have a running tally of lines I wrote versus lines that already existed.</w:t>
      </w:r>
    </w:p>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However, based on the work we did, I can make a reasonable engineering estimate.</w:t>
      </w:r>
    </w:p>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Code delivered (estimate)</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Over these five days, we worked on:</w:t>
      </w:r>
    </w:p>
    <w:p w14:paraId="000001A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Python application code</w:t>
      </w:r>
    </w:p>
    <w:p w14:paraId="000001B0">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PowerShell installer/uninstaller scripts</w:t>
      </w:r>
    </w:p>
    <w:p w14:paraId="000001B1">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Windows launcher logic</w:t>
      </w:r>
    </w:p>
    <w:p w14:paraId="000001B2">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Maintenance Center</w:t>
      </w:r>
    </w:p>
    <w:p w14:paraId="000001B3">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Backup &amp; Restore</w:t>
      </w:r>
    </w:p>
    <w:p w14:paraId="000001B4">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Database migration and validation</w:t>
      </w:r>
    </w:p>
    <w:p w14:paraId="000001B5">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Logging and diagnostics</w:t>
      </w:r>
    </w:p>
    <w:p w14:paraId="000001B6">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Tests</w:t>
      </w:r>
    </w:p>
    <w:p w14:paraId="000001B7">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Documentation</w:t>
      </w:r>
    </w:p>
    <w:p w14:paraId="000001B8">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Help content</w:t>
      </w:r>
    </w:p>
    <w:p w14:paraId="000001B9">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Build tooling</w:t>
      </w: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A rough breakdown looks like this:</w:t>
      </w:r>
    </w:p>
    <w:tbl>
      <w:tblPr>
        <w:bidiVisual w:val="off"/>
        <w:tblW w:w="7874" w:type="dxa"/>
        <w:jc w:val="left"/>
        <w:tblLayout w:type="fixed"/>
        <w:tblCellMar>
          <w:top w:w="10" w:type="dxa"/>
          <w:left w:w="10" w:type="dxa"/>
          <w:bottom w:w="10" w:type="dxa"/>
          <w:right w:w="10" w:type="dxa"/>
        </w:tblCellMar>
      </w:tblPr>
      <w:tblGrid>
        <w:gridCol w:w="4372"/>
        <w:gridCol w:w="3502"/>
      </w:tblGrid>
      <w:tr>
        <w:trPr>
          <w:wBefore w:w="0" w:type="dxa"/>
          <w:jc w:val="left"/>
        </w:trPr>
        <w:tc>
          <w:tcPr>
            <w:cnfStyle w:val="100010000000"/>
            <w:tcW w:w="4372" w:type="dxa"/>
            <w:tcBorders>
              <w:top w:val="none" w:sz="4" w:space="0"/>
              <w:left w:val="none" w:sz="4" w:space="0"/>
              <w:bottom w:val="none" w:sz="4" w:space="0"/>
              <w:right w:val="none" w:sz="4" w:space="0"/>
            </w:tcBorders>
            <w:vAlign w:val="top"/>
          </w:tcPr>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Component</w:t>
            </w:r>
          </w:p>
        </w:tc>
        <w:tc>
          <w:tcPr>
            <w:cnfStyle w:val="100001000000"/>
            <w:tcW w:w="3502" w:type="dxa"/>
            <w:tcBorders>
              <w:top w:val="none" w:sz="4" w:space="0"/>
              <w:left w:val="none" w:sz="4" w:space="0"/>
              <w:bottom w:val="none" w:sz="4" w:space="0"/>
              <w:right w:val="none" w:sz="4" w:space="0"/>
            </w:tcBorders>
            <w:vAlign w:val="top"/>
          </w:tcPr>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Estimated Lines</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Python application</w:t>
            </w:r>
          </w:p>
        </w:tc>
        <w:tc>
          <w:tcPr>
            <w:cnfStyle w:val="000001000000"/>
            <w:tcW w:w="3502" w:type="dxa"/>
            <w:tcBorders>
              <w:top w:val="none" w:sz="4" w:space="0"/>
              <w:left w:val="none" w:sz="4" w:space="0"/>
              <w:bottom w:val="none" w:sz="4" w:space="0"/>
              <w:right w:val="none" w:sz="4" w:space="0"/>
            </w:tcBorders>
            <w:vAlign w:val="top"/>
          </w:tcPr>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12,000–18,000</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PowerShell scripts</w:t>
            </w:r>
          </w:p>
        </w:tc>
        <w:tc>
          <w:tcPr>
            <w:cnfStyle w:val="000001000000"/>
            <w:tcW w:w="3502" w:type="dxa"/>
            <w:tcBorders>
              <w:top w:val="none" w:sz="4" w:space="0"/>
              <w:left w:val="none" w:sz="4" w:space="0"/>
              <w:bottom w:val="none" w:sz="4" w:space="0"/>
              <w:right w:val="none" w:sz="4" w:space="0"/>
            </w:tcBorders>
            <w:vAlign w:val="top"/>
          </w:tcPr>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2,000–3,500</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Tests</w:t>
            </w:r>
          </w:p>
        </w:tc>
        <w:tc>
          <w:tcPr>
            <w:cnfStyle w:val="000001000000"/>
            <w:tcW w:w="3502" w:type="dxa"/>
            <w:tcBorders>
              <w:top w:val="none" w:sz="4" w:space="0"/>
              <w:left w:val="none" w:sz="4" w:space="0"/>
              <w:bottom w:val="none" w:sz="4" w:space="0"/>
              <w:right w:val="none" w:sz="4" w:space="0"/>
            </w:tcBorders>
            <w:vAlign w:val="top"/>
          </w:tcPr>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5,000–8,000</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Documentation (Markdown, Help, guides)</w:t>
            </w:r>
          </w:p>
        </w:tc>
        <w:tc>
          <w:tcPr>
            <w:cnfStyle w:val="000001000000"/>
            <w:tcW w:w="3502" w:type="dxa"/>
            <w:tcBorders>
              <w:top w:val="none" w:sz="4" w:space="0"/>
              <w:left w:val="none" w:sz="4" w:space="0"/>
              <w:bottom w:val="none" w:sz="4" w:space="0"/>
              <w:right w:val="none" w:sz="4" w:space="0"/>
            </w:tcBorders>
            <w:vAlign w:val="top"/>
          </w:tcPr>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8,000–15,000</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Build/release tooling</w:t>
            </w:r>
          </w:p>
        </w:tc>
        <w:tc>
          <w:tcPr>
            <w:cnfStyle w:val="000001000000"/>
            <w:tcW w:w="3502" w:type="dxa"/>
            <w:tcBorders>
              <w:top w:val="none" w:sz="4" w:space="0"/>
              <w:left w:val="none" w:sz="4" w:space="0"/>
              <w:bottom w:val="none" w:sz="4" w:space="0"/>
              <w:right w:val="none" w:sz="4" w:space="0"/>
            </w:tcBorders>
            <w:vAlign w:val="top"/>
          </w:tcPr>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1,000–2,000</w:t>
            </w:r>
          </w:p>
        </w:tc>
      </w:tr>
      <w:tr>
        <w:trPr>
          <w:wBefore w:w="0" w:type="dxa"/>
          <w:jc w:val="left"/>
        </w:trPr>
        <w:tc>
          <w:tcPr>
            <w:cnfStyle w:val="000010000000"/>
            <w:tcW w:w="4372" w:type="dxa"/>
            <w:tcBorders>
              <w:top w:val="none" w:sz="4" w:space="0"/>
              <w:left w:val="none" w:sz="4" w:space="0"/>
              <w:bottom w:val="none" w:sz="4" w:space="0"/>
              <w:right w:val="none" w:sz="4" w:space="0"/>
            </w:tcBorders>
            <w:vAlign w:val="top"/>
          </w:tcPr>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Total contributed/produced during this effort</w:t>
            </w:r>
          </w:p>
        </w:tc>
        <w:tc>
          <w:tcPr>
            <w:cnfStyle w:val="000001000000"/>
            <w:tcW w:w="3502" w:type="dxa"/>
            <w:tcBorders>
              <w:top w:val="none" w:sz="4" w:space="0"/>
              <w:left w:val="none" w:sz="4" w:space="0"/>
              <w:bottom w:val="none" w:sz="4" w:space="0"/>
              <w:right w:val="none" w:sz="4" w:space="0"/>
            </w:tcBorders>
            <w:vAlign w:val="top"/>
          </w:tcPr>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≈28,000–46,000 lines</w:t>
            </w:r>
          </w:p>
        </w:tc>
      </w:tr>
    </w:tbl>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 includes documentation because, in a professional project, it is part of the delivered product.</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Pure source code</w:t>
      </w:r>
    </w:p>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If you count only executable code:</w:t>
      </w:r>
    </w:p>
    <w:p w14:paraId="000001CD">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Python</w:t>
      </w:r>
    </w:p>
    <w:p w14:paraId="000001CE">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PowerShell</w:t>
      </w:r>
    </w:p>
    <w:p w14:paraId="000001C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configuration</w:t>
      </w:r>
    </w:p>
    <w:p w14:paraId="000001D0">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build scripts</w:t>
      </w:r>
    </w:p>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I'd estimate:</w:t>
      </w: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b/>
          <w:color w:val="000000"/>
          <w:sz w:val="18"/>
          <w:rtl w:val="off"/>
          <w:lang w:val="en-US"/>
        </w:rPr>
        <w:t>≈18,000–25,000 lines</w:t>
      </w: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If we measure the repository</w:t>
      </w: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When we begin Version 2, one of the first things I'd actually do is generate a proper engineering report from the repository, for example:</w:t>
      </w:r>
    </w:p>
    <w:p w14:paraId="000001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16"/>
          <w:lang w:val="en-US"/>
        </w:rPr>
      </w:pPr>
      <w:r>
        <w:rPr>
          <w:rFonts w:ascii="Courier New"/>
          <w:color w:val="000000"/>
          <w:sz w:val="16"/>
          <w:rtl w:val="off"/>
          <w:lang w:val="en-US"/>
        </w:rPr>
        <w:t xml:space="preserve">Python: 18,432 LOC PowerShell: 2,641 LOC Markdown: 11,278 LOC JSON/YAML: 3,121 LOC Tests: 7,843 LOC Total: 43,315 LOC </w:t>
      </w:r>
    </w:p>
    <w:p w14:paraId="000001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That would give us real numbers rather than estimates.</w:t>
      </w:r>
    </w:p>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rtl w:val="off"/>
          <w:lang w:val="en-US"/>
        </w:rPr>
        <w:t>----------------------</w:t>
      </w:r>
      <w:r>
        <w:rPr>
          <w:rFonts w:ascii="Segoe UI"/>
          <w:color w:val="000000"/>
          <w:sz w:val="18"/>
          <w:lang w:val="en-US"/>
        </w:rPr>
        <w:br w:type="textWrapping"/>
      </w:r>
    </w:p>
    <w:p w14:paraId="000001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40"/>
          <w:lang w:val="en-US"/>
        </w:rPr>
      </w:pPr>
      <w:r>
        <w:rPr>
          <w:rFonts w:ascii="Segoe UI"/>
          <w:color w:val="000000"/>
          <w:sz w:val="40"/>
          <w:rtl w:val="off"/>
          <w:lang w:val="en-US"/>
        </w:rPr>
        <w:t>One thing I'm particularly happy about</w:t>
      </w: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 xml:space="preserve">The more important metric isn't the number of lines—it’s the amount of code </w:t>
      </w:r>
      <w:r>
        <w:rPr>
          <w:rFonts w:ascii="Segoe UI"/>
          <w:b/>
          <w:color w:val="000000"/>
          <w:sz w:val="18"/>
          <w:rtl w:val="off"/>
          <w:lang w:val="en-US"/>
        </w:rPr>
        <w:t>we avoided</w:t>
      </w:r>
      <w:r>
        <w:rPr>
          <w:rFonts w:ascii="Segoe UI"/>
          <w:color w:val="000000"/>
          <w:sz w:val="18"/>
          <w:rtl w:val="off"/>
          <w:lang w:val="en-US"/>
        </w:rPr>
        <w:t>.</w:t>
      </w:r>
    </w:p>
    <w:p w14:paraId="000001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Throughout the project we repeatedly chose to simplify:</w:t>
      </w:r>
    </w:p>
    <w:p w14:paraId="000001DC">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replacing complex launcher chains with a dedicated GUI launcher;</w:t>
      </w:r>
    </w:p>
    <w:p w14:paraId="000001DD">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freezing schema changes instead of forcing them into RC1;</w:t>
      </w:r>
    </w:p>
    <w:p w14:paraId="000001DE">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postponing duplicate detection until the hashing infrastructure exists;</w:t>
      </w:r>
    </w:p>
    <w:p w14:paraId="000001DF">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Segoe UI"/>
          <w:color w:val="000000"/>
          <w:sz w:val="18"/>
          <w:rtl w:val="off"/>
          <w:lang w:val="en-US"/>
        </w:rPr>
        <w:t>keeping the installer deterministic instead of adding more conditional logic.</w:t>
      </w:r>
    </w:p>
    <w:p w14:paraId="000001E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p>
    <w:p w14:paraId="000001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Good engineering often means deleting or avoiding complexity rather than adding it.</w:t>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rtl w:val="off"/>
          <w:lang w:val="en-US"/>
        </w:rPr>
        <w:t>So while it's satisfying to think in terms of "tens of thousands of lines," I'm just as pleased with the architectural decisions that kept the codebase maintainable. Those decisions will make Version 2 much easier to build on than if we'd simply optimized for writing more code.</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E5"/>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finance</dc:creator>
  <cp:lastModifiedBy>finance</cp:lastModifiedBy>
</cp:coreProperties>
</file>