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1DEE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Chapter 2 — Scientific Framework of Female Metabolic Health (FINAL VERSION)</w:t>
      </w:r>
    </w:p>
    <w:p w14:paraId="58CF0CB3" w14:textId="77777777" w:rsidR="00530CA9" w:rsidRPr="00530CA9" w:rsidRDefault="00530CA9" w:rsidP="00530CA9">
      <w:pPr>
        <w:numPr>
          <w:ilvl w:val="0"/>
          <w:numId w:val="1"/>
        </w:numPr>
        <w:rPr>
          <w:lang w:val="en-US"/>
        </w:rPr>
      </w:pPr>
      <w:r w:rsidRPr="00530CA9">
        <w:rPr>
          <w:lang w:val="en-US"/>
        </w:rPr>
        <w:t>Objective Define the biochemical architecture of female metabolic health through four integrated metabolic axes, connect these axes to pathway-level physiology and molecular nodes, and translate this logic into a non-therapeutic, regulatory-safe intervention framework traceable to repository sources and NHANES-linked ML insights.</w:t>
      </w:r>
    </w:p>
    <w:p w14:paraId="1A2715AF" w14:textId="77777777" w:rsidR="00530CA9" w:rsidRPr="00530CA9" w:rsidRDefault="00530CA9" w:rsidP="00530CA9">
      <w:pPr>
        <w:numPr>
          <w:ilvl w:val="0"/>
          <w:numId w:val="1"/>
        </w:numPr>
        <w:rPr>
          <w:lang w:val="en-US"/>
        </w:rPr>
      </w:pPr>
      <w:r w:rsidRPr="00530CA9">
        <w:rPr>
          <w:lang w:val="en-US"/>
        </w:rPr>
        <w:t>Source list used sources/parsed/Playbook Técnico da SoulJu_draft_apoio.docx</w:t>
      </w:r>
    </w:p>
    <w:p w14:paraId="68778834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Base definition of the 4 metabolic axes and core molecular logic (bioenergetic, proteico-estrutural, defense/repair, systemic regulation).</w:t>
      </w:r>
    </w:p>
    <w:p w14:paraId="4CB1247B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sources/parsed/SoulJu_Strategic_Doc_Tecnico_Posicionamento.docx</w:t>
      </w:r>
    </w:p>
    <w:p w14:paraId="42D16A9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NHANES-L + ML outputs (Random Forest importance, clustering rationale, biological interpretation of sleep-related predictors).</w:t>
      </w:r>
    </w:p>
    <w:p w14:paraId="76F3BA09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sources/raw/Femme-Lipidic-Fire-Analise-Completa.docx</w:t>
      </w:r>
    </w:p>
    <w:p w14:paraId="7F34E387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AMPK/CPT-1/lipid transport positioning and ingredient-pathway framing (dihydroberberine, carnitine, ALA, inositol, magnesium, chromium).</w:t>
      </w:r>
    </w:p>
    <w:p w14:paraId="2B09A06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sources/raw/Femme-Cellular-Analise-Completa.docx</w:t>
      </w:r>
    </w:p>
    <w:p w14:paraId="2B5BCB6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NAD+/SIRT1/PGC-1</w:t>
      </w:r>
      <w:r w:rsidRPr="00530CA9">
        <w:t>α</w:t>
      </w:r>
      <w:r w:rsidRPr="00530CA9">
        <w:rPr>
          <w:lang w:val="en-US"/>
        </w:rPr>
        <w:t>/mitochondrial-redox positioning and longevity-support biochemical nodes.</w:t>
      </w:r>
    </w:p>
    <w:p w14:paraId="7B97713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sources/raw/Femme-Gut-Analise-Completa.docx</w:t>
      </w:r>
    </w:p>
    <w:p w14:paraId="7BDFC87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Gut-satiety-microbiome-barrier logic (glucomannan, PHGG, L. gasseri, glutamine, zinc) and gut-mediated metabolic signaling architecture.</w:t>
      </w:r>
    </w:p>
    <w:p w14:paraId="531A439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references/suplementos-alimentares_Anvisa.pdf + references/FUNCAO_INGREDIENTES_ANVISA.pdf</w:t>
      </w:r>
    </w:p>
    <w:p w14:paraId="319FC0E9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Regulatory boundary for non-therapeutic structure/function communication.</w:t>
      </w:r>
    </w:p>
    <w:p w14:paraId="58B8884E" w14:textId="77777777" w:rsidR="00530CA9" w:rsidRPr="00530CA9" w:rsidRDefault="00530CA9" w:rsidP="00530CA9">
      <w:pPr>
        <w:numPr>
          <w:ilvl w:val="0"/>
          <w:numId w:val="2"/>
        </w:numPr>
        <w:rPr>
          <w:lang w:val="en-US"/>
        </w:rPr>
      </w:pPr>
      <w:r w:rsidRPr="00530CA9">
        <w:rPr>
          <w:lang w:val="en-US"/>
        </w:rPr>
        <w:t>Technical narrative 3.1 Four metabolic axes (full biochemical definition) Axis 1 — Bioenergetic Flux &amp; Mitochondrial Throughput Biochemical definition: Integrated conversion of substrate-derived carbon and electrons into ATP through glycolysis, pyruvate dehydrogenase (PDH), Krebs cycle, and oxidative phosphorylation; includes substrate switching between glucose and fatty acids.</w:t>
      </w:r>
    </w:p>
    <w:p w14:paraId="3A51F420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 xml:space="preserve">Key pathways: Glycolysis → PDH complex → TCA/Krebs → ETC complexes I–V; </w:t>
      </w:r>
      <w:r w:rsidRPr="00530CA9">
        <w:t>β</w:t>
      </w:r>
      <w:r w:rsidRPr="00530CA9">
        <w:rPr>
          <w:lang w:val="en-US"/>
        </w:rPr>
        <w:t>-oxidation shuttle (CPT-1/CPT-2/carnitine-acylcarnitine translocase).</w:t>
      </w:r>
    </w:p>
    <w:p w14:paraId="750F36A7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Key molecules: Pyruvate, acetyl-CoA, NAD+/NADH, FAD/FADH2, CoQ10, carnitine, alpha-lipoic acid, magnesium, B-complex cofactors.</w:t>
      </w:r>
    </w:p>
    <w:p w14:paraId="63B0AC5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Physiological role: Sustains ATP availability, exercise/recovery capacity, circadian energy stability, and metabolic flexibility (glucose↔fat oxidation).</w:t>
      </w:r>
    </w:p>
    <w:p w14:paraId="0BD143D4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Axis 2 — Substrate Partition &amp; Insulin-Responsive Control Biochemical definition: Hormone- and energy-sensor-guided routing of nutrients toward oxidation, storage, or biosynthesis, especially at liver-muscle-adipose interfaces.</w:t>
      </w:r>
    </w:p>
    <w:p w14:paraId="7623DFE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pathways: Insulin receptor/PI3K-AKT signaling, AMPK signaling, ACC/CPT-1 gatekeeping, hepatic glucose output modulation, adipocyte lipolysis/lipogenesis control.</w:t>
      </w:r>
    </w:p>
    <w:p w14:paraId="59516A1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molecules: AMPK, ACC, malonyl-CoA, CPT-1, insulin, inositol phosphates, chromium-associated insulin potentiation context.</w:t>
      </w:r>
    </w:p>
    <w:p w14:paraId="236112F0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Physiological role: Controls glycemic stability, hunger/craving oscillation, fat oxidation access, and body-composition response under energy stress.</w:t>
      </w:r>
    </w:p>
    <w:p w14:paraId="5E20355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Axis 3 — Cellular Defense, Redox Homeostasis &amp; Repair Biochemical definition: Balance between reactive oxygen species (ROS) generation and antioxidant/repair capacity, coupled to NAD+-dependent signaling and mitochondrial quality control.</w:t>
      </w:r>
    </w:p>
    <w:p w14:paraId="14AB0E45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pathways: NAD+ salvage and redox cycling, SIRT1-linked transcriptional adaptation, glutathione redox cycle (GSH/GSSG), mitochondrial antioxidant buffering, stress-response signaling.</w:t>
      </w:r>
    </w:p>
    <w:p w14:paraId="014F215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molecules: NAD+, SIRT1, glutathione, vitamin C, CoQ10, quercetin, resveratrol, alpha-ketoglutarate.</w:t>
      </w:r>
    </w:p>
    <w:p w14:paraId="53BFE4B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Physiological role: Preserves mitochondrial integrity, supports recovery robustness, reduces oxidative overload, and sustains cellular maintenance programs.</w:t>
      </w:r>
    </w:p>
    <w:p w14:paraId="03B745D0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Axis 4 — Gut–Liver–Hormonal Systemic Regulation Biochemical definition: Bidirectional signaling network in which microbiome-derived metabolites, intestinal barrier status, hepatic biotransformation, and endocrine context jointly modulate metabolic phenotype.</w:t>
      </w:r>
    </w:p>
    <w:p w14:paraId="28FDF403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pathways: Fermentable fiber → SCFA production; intestinal barrier/tight-junction integrity; enterohepatic estrogen-related handling; bile-acid and glucose-lipid signaling cross-talk.</w:t>
      </w:r>
    </w:p>
    <w:p w14:paraId="3186DA74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Key molecules: SCFAs (acetate/propionate/butyrate), glutamine, zinc, inositol, estrogens (contextual), inflammatory mediators (e.g., CRP as proxy signal).</w:t>
      </w:r>
    </w:p>
    <w:p w14:paraId="1D7752E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Physiological role: Regulates satiety tone, nutrient handling efficiency, inflammatory burden, hormonal-metabolic coupling, and symptom expression variability.</w:t>
      </w:r>
    </w:p>
    <w:p w14:paraId="05B5568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3.2 Deep biochemical layer A) Glycolysis → PDH → Krebs → ETC → ATP Glycolysis (cytosol): Glucose is converted into pyruvate with net ATP and NADH generation. Flux adequacy depends on enzyme activity and cofactor availability.</w:t>
      </w:r>
    </w:p>
    <w:p w14:paraId="18C5E36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PDH gate (mitochondrial matrix entry): PDH converts pyruvate to acetyl-CoA. This is a control point linking carbohydrate intake to mitochondrial oxidation. PDH inhibition shifts metabolism toward lactate accumulation and lower oxidative ATP efficiency.</w:t>
      </w:r>
    </w:p>
    <w:p w14:paraId="7AB2604D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Krebs/TCA cycle: Acetyl-CoA condenses with oxaloacetate; successive dehydrogenase steps generate NADH/FADH2 and intermediates (including alpha-ketoglutarate) needed for energy and biosynthetic coupling.</w:t>
      </w:r>
    </w:p>
    <w:p w14:paraId="28256169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ETC/OxPhos: NADH/FADH2 donate electrons to complexes I/II → CoQ10 → complex III → cytochrome c → complex IV, generating a proton gradient used by ATP synthase (complex V).</w:t>
      </w:r>
    </w:p>
    <w:p w14:paraId="3D16C14D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ATP production outcome: Bioenergetic efficiency depends on substrate entry, redox balance, membrane integrity, and cofactor sufficiency (including magnesium and mitochondrial electron carriers).</w:t>
      </w:r>
    </w:p>
    <w:p w14:paraId="2D027DBE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 xml:space="preserve">B) </w:t>
      </w:r>
      <w:r w:rsidRPr="00530CA9">
        <w:t>β</w:t>
      </w:r>
      <w:r w:rsidRPr="00530CA9">
        <w:rPr>
          <w:lang w:val="en-US"/>
        </w:rPr>
        <w:t>-oxidation and CPT-1 Long-chain fatty acids require mitochondrial import via the carnitine shuttle.</w:t>
      </w:r>
    </w:p>
    <w:p w14:paraId="539EA289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CPT-1 (outer mitochondrial membrane) catalyzes acyl transfer to carnitine; this is a rate-limiting gateway for fat oxidation.</w:t>
      </w:r>
    </w:p>
    <w:p w14:paraId="07CE4AA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High malonyl-CoA inhibits CPT-1 (favoring storage); AMPK-mediated ACC inhibition lowers malonyl-CoA, disinhibiting CPT-1 and enabling oxidation.</w:t>
      </w:r>
    </w:p>
    <w:p w14:paraId="1013675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 xml:space="preserve">Physiological implication: improved access to </w:t>
      </w:r>
      <w:r w:rsidRPr="00530CA9">
        <w:t>β</w:t>
      </w:r>
      <w:r w:rsidRPr="00530CA9">
        <w:rPr>
          <w:lang w:val="en-US"/>
        </w:rPr>
        <w:t>-oxidation supports metabolic flexibility and can reduce energy volatility when carbohydrate availability fluctuates.</w:t>
      </w:r>
    </w:p>
    <w:p w14:paraId="5370AA61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C) AMPK signaling AMPK senses cellular energy deficit (high AMP/ADP:ATP context).</w:t>
      </w:r>
    </w:p>
    <w:p w14:paraId="24453E68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Activation pattern: ↑ glucose uptake support, ↑ fatty acid oxidation, ↓ anabolic energy-expensive pathways, improved mitochondrial adaptation signaling.</w:t>
      </w:r>
    </w:p>
    <w:p w14:paraId="0F77D63B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Strategic implication: AMPK-centered nutritional support is positioned as metabolic regulation support, not as pharmacologic treatment.</w:t>
      </w:r>
    </w:p>
    <w:p w14:paraId="03623CA0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D) NAD+ / SIRT1 / redox system NAD+ is both redox cofactor and signaling substrate. Declining NAD+ availability can reduce mitochondrial throughput and adaptive repair signaling.</w:t>
      </w:r>
    </w:p>
    <w:p w14:paraId="6ABC798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SIRT1 is NAD+-dependent and modulates transcriptional programs tied to mitochondrial function and stress adaptation.</w:t>
      </w:r>
    </w:p>
    <w:p w14:paraId="5B8EFAB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Redox coupling: NAD+/NADH balance intersects with ROS handling; glutathione network (GSH regeneration) and antioxidant nutrients support buffering capacity.</w:t>
      </w:r>
    </w:p>
    <w:p w14:paraId="17364EE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Functional implication: NAD+/SIRT1/redox integrity is a core axis of cellular resilience and perceived recovery quality.</w:t>
      </w:r>
    </w:p>
    <w:p w14:paraId="197D9B68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E) Gut–liver–hormonal axis Fermentable fibers and microbiota activity generate SCFAs affecting satiety signaling, barrier function, and hepatic metabolic tone.</w:t>
      </w:r>
    </w:p>
    <w:p w14:paraId="02BFB40F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Gut barrier integrity influences systemic inflammatory background, which can alter insulin responsiveness and endocrine-metabolic coupling.</w:t>
      </w:r>
    </w:p>
    <w:p w14:paraId="0F6B5DA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Liver integrates nutrient flux and hormone-related biotransformation; dysregulation can amplify symptom burden (energy instability, appetite dysregulation, abdominal discomfort).</w:t>
      </w:r>
    </w:p>
    <w:p w14:paraId="24F54822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3.3 Female-specific mechanistic layer Estradiol decline (especially transition years): Lower estradiol context is associated with reduced insulin sensitivity support, altered lipid handling, and less favorable substrate partition under stress.</w:t>
      </w:r>
    </w:p>
    <w:p w14:paraId="70DD171E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PGC-1</w:t>
      </w:r>
      <w:r w:rsidRPr="00530CA9">
        <w:t>α</w:t>
      </w:r>
      <w:r w:rsidRPr="00530CA9">
        <w:rPr>
          <w:lang w:val="en-US"/>
        </w:rPr>
        <w:t xml:space="preserve"> reduction trend: Female metabolic aging context may include lower mitochondrial biogenesis signaling (PGC-1</w:t>
      </w:r>
      <w:r w:rsidRPr="00530CA9">
        <w:t>α</w:t>
      </w:r>
      <w:r w:rsidRPr="00530CA9">
        <w:rPr>
          <w:lang w:val="en-US"/>
        </w:rPr>
        <w:t>-linked), reducing oxidative capacity and adaptation reserve.</w:t>
      </w:r>
    </w:p>
    <w:p w14:paraId="6CCCC0C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Insulin sensitivity changes: With hormonal transition and lifestyle load, glucose disposal efficiency may decline, increasing postprandial variability, craving patterns, and delayed energetic recovery.</w:t>
      </w:r>
    </w:p>
    <w:p w14:paraId="060C54E8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Fat distribution shifts: Tendency toward central/visceral deposition reflects altered endocrine-metabolic signaling and reduced metabolic flexibility, not merely caloric arithmetic.</w:t>
      </w:r>
    </w:p>
    <w:p w14:paraId="22220E31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Symptom emergence model (non-diagnostic):</w:t>
      </w:r>
    </w:p>
    <w:p w14:paraId="0F873356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fatigue / non-restorative sleep sensation</w:t>
      </w:r>
    </w:p>
    <w:p w14:paraId="50C9334C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appetite instability / cravings</w:t>
      </w:r>
    </w:p>
    <w:p w14:paraId="51C1C845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body-composition resistance</w:t>
      </w:r>
    </w:p>
    <w:p w14:paraId="122CDADB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GI discomfort and satiety inconsistency</w:t>
      </w:r>
    </w:p>
    <w:p w14:paraId="5DD4CA97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lower recovery tolerance</w:t>
      </w:r>
    </w:p>
    <w:p w14:paraId="476CE430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These are interpreted as emergent system-level outputs from multi-axis dysregulation.</w:t>
      </w:r>
    </w:p>
    <w:p w14:paraId="377ADD67" w14:textId="77777777" w:rsidR="00530CA9" w:rsidRPr="00530CA9" w:rsidRDefault="00530CA9" w:rsidP="00530CA9">
      <w:pPr>
        <w:numPr>
          <w:ilvl w:val="0"/>
          <w:numId w:val="3"/>
        </w:numPr>
        <w:rPr>
          <w:lang w:val="en-US"/>
        </w:rPr>
      </w:pPr>
      <w:r w:rsidRPr="00530CA9">
        <w:rPr>
          <w:lang w:val="en-US"/>
        </w:rPr>
        <w:t xml:space="preserve">Structured tables 4.1 Pathway cascade table (pathway → enzyme → cofactor → intervention logic) Pathway Key enzyme / control node Core cofactors / molecules Nutritional support intervention logic (non-therapeutic) Glycolysis → Pyruvate entry Hexokinase/PFK/PK + PDH gate B1/B2/B3/B5, Mg2+, lipoate context Support efficient carbohydrate-to-mitochondria flux and reduce energy volatility. PDH → Acetyl-CoA PDH complex Thiamine/lipoate/NAD+/CoA context Support oxidative carbohydrate metabolism upstream of TCA throughput. Krebs cycle Citrate synthase, IDH, </w:t>
      </w:r>
      <w:r w:rsidRPr="00530CA9">
        <w:t>α</w:t>
      </w:r>
      <w:r w:rsidRPr="00530CA9">
        <w:rPr>
          <w:lang w:val="en-US"/>
        </w:rPr>
        <w:t xml:space="preserve">-KGDH Acetyl-CoA, NAD+, FAD, </w:t>
      </w:r>
      <w:r w:rsidRPr="00530CA9">
        <w:t>α</w:t>
      </w:r>
      <w:r w:rsidRPr="00530CA9">
        <w:rPr>
          <w:lang w:val="en-US"/>
        </w:rPr>
        <w:t xml:space="preserve">-ketoglutarate, Mg2+ Support mitochondrial intermediate turnover and reducing-equivalent generation. ETC/OxPhos Complex I–V + CoQ10 transport NADH/FADH2/CoQ10/O2 Support electron transport efficiency and ATP production capacity. </w:t>
      </w:r>
      <w:r w:rsidRPr="00530CA9">
        <w:t>β</w:t>
      </w:r>
      <w:r w:rsidRPr="00530CA9">
        <w:rPr>
          <w:lang w:val="en-US"/>
        </w:rPr>
        <w:t>-oxidation CPT-1/CPT-2 + acyl-CoA dehydrogenases Carnitine, CoA, FAD/NAD+ Support long-chain fatty acid mitochondrial entry and oxidation access. AMPK-lipid gate AMPK → ACC → malonyl-CoA → CPT-1 AMP/ATP sensing, Mg2+ Support metabolic flexibility by favoring oxidation over storage in low-energy contexts. NAD+/SIRT1 response NAMPT/SIRT1 axis (functional framing) NAD+, polyphenol context Support adaptive mitochondrial and cellular stress-response signaling. Glutathione redox cycle GPx/GR and antioxidant network GSH/GSSG, vitamin C, selenium context Support redox buffering and recovery resilience under oxidative load. Gut-satiety-microbiome Fermentation + enteroendocrine signaling PHGG/glucomannan/SCFAs/probiotic context Support satiety rhythm, microbiome ecology, and downstream metabolic tone. Gut-barrier-liver cross-talk Tight junction and mucosal support nodes Glutamine, zinc, SCFA context Support barrier integrity and reduce inflammatory-metabolic spillover. 4.2 Molecular nodes table Molecular node Biochemical role Dysregulation consequence (non-diagnostic) Support directionality Acetyl-CoA Central carbon hub linking glycolysis/</w:t>
      </w:r>
      <w:r w:rsidRPr="00530CA9">
        <w:t>β</w:t>
      </w:r>
      <w:r w:rsidRPr="00530CA9">
        <w:rPr>
          <w:lang w:val="en-US"/>
        </w:rPr>
        <w:t>-oxidation to TCA and biosynthesis Reduced oxidative flux or excess storage signaling depending on context Improve substrate entry balance and mitochondrial oxidation coupling. NAD+ Redox carrier and signaling substrate for adaptive enzymes (e.g., sirtuin-linked) Lower mitochondrial throughput and weaker stress-adaptation signaling Support NAD+ availability/recycling context and mitochondrial demand matching. Glutathione (GSH) Primary intracellular redox buffer Higher oxidative burden, slower recovery perception Support antioxidant network regeneration and ROS buffering capacity. Alpha-</w:t>
      </w:r>
      <w:r w:rsidRPr="00530CA9">
        <w:rPr>
          <w:lang w:val="en-US"/>
        </w:rPr>
        <w:lastRenderedPageBreak/>
        <w:t>ketoglutarate TCA intermediate and nitrogen/amino-acid interface node Lower TCA flexibility and reduced metabolic adaptation range Support TCA continuity and amino-acid/energy integration. 4.3 Ingredient → pathway → symptom mapping (structure/function framing) Ingredient / component Primary pathway target Dominant axis Expected functional impact (non-therapeutic) Symptom cluster addressed (support framing) Dihydroberberine (GlucoVantage context) AMPK-centered metabolic sensing Axis 2 Supports glucose-lipid regulation signaling energy swings, craving instability L-carnitine (Carnipure context) CPT-1-dependent fatty acid transport/</w:t>
      </w:r>
      <w:r w:rsidRPr="00530CA9">
        <w:t>β</w:t>
      </w:r>
      <w:r w:rsidRPr="00530CA9">
        <w:rPr>
          <w:lang w:val="en-US"/>
        </w:rPr>
        <w:t>-oxidation Axis 1/2 Supports fatty acid mitochondrial entry low metabolic flexibility, composition resistance Alpha-lipoic acid PDH/TCA cofactor-redox interface Axis 1/3 Supports mitochondrial oxidative metabolism and redox handling fatigue, low recovery tolerance Inositol Insulin signaling support context Axis 2/4 Supports insulin-responsive nutrient partition appetite dysregulation, post-meal instability Magnesium ATP-enzyme cofactor network Axis 1/2/4 Supports ATP-dependent enzymatic efficiency fatigue, neuromuscular stress load CoQ10 ETC electron transport Axis 1/3 Supports mitochondrial respiratory chain function low energy resilience NAD+ support complex (e.g., RiaGev context) NAD+-dependent signaling/redox Axis 3 Supports cellular adaptive metabolism recovery decline, high stress-load sensitivity Resveratrol / quercetin context SIRT1/redox/senescence-support pathways Axis 3 Supports cellular maintenance signaling perceived accelerated aging burden Glucomannan Gastric satiety mechanics Axis 4 Supports satiety timing and intake control persistent hunger, overeating tendency PHGG Microbiome fermentation/SCFA production Axis 4 Supports gut-metabolic signaling stability satiety inconsistency, GI variability L. gasseri (strain-specific context) Microbiome composition modulation Axis 4 Supports metabolic-gut ecology abdominal discomfort, composition support context Glutamine + zinc Barrier integrity / mucosal support Axis 4 Supports intestinal barrier function GI sensitivity and inflammatory-metabolic spillover</w:t>
      </w:r>
    </w:p>
    <w:p w14:paraId="7F8C9BB2" w14:textId="77777777" w:rsidR="00530CA9" w:rsidRPr="00530CA9" w:rsidRDefault="00530CA9" w:rsidP="00530CA9">
      <w:pPr>
        <w:numPr>
          <w:ilvl w:val="0"/>
          <w:numId w:val="3"/>
        </w:numPr>
        <w:rPr>
          <w:lang w:val="en-US"/>
        </w:rPr>
      </w:pPr>
      <w:r w:rsidRPr="00530CA9">
        <w:rPr>
          <w:lang w:val="en-US"/>
        </w:rPr>
        <w:t>NHANES + ML integration (feature importance and biological interpretation) 5.1 Dataset/model context (as documented in source narrative) NHANES-L 2021–2023 linked base; n≈11,933 total; clustering subset with multi-axis validity reported separately.</w:t>
      </w:r>
    </w:p>
    <w:p w14:paraId="503DEF5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t>Modeling stack described: Random Forest (regression/classification), K-means (k=3), SHAP/PPI narrative layers.</w:t>
      </w:r>
    </w:p>
    <w:p w14:paraId="73143AEA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Operational target in strategic narrative: sleep-quality related phenotype and “poor sleep” classification context.</w:t>
      </w:r>
    </w:p>
    <w:p w14:paraId="6A25206F" w14:textId="77777777" w:rsidR="00530CA9" w:rsidRPr="00530CA9" w:rsidRDefault="00530CA9" w:rsidP="00530CA9">
      <w:r w:rsidRPr="00530CA9">
        <w:rPr>
          <w:lang w:val="en-US"/>
        </w:rPr>
        <w:t xml:space="preserve">5.2 Reported feature-importance signals (source-linked strategic values) Axis (model feature group) RF importance signal (reported) Biological interpretation in framework Energy axis ~19.9% (top signal in reported sleep regression context) Sleep fragility in this framework is strongly coupled to bioenergetic sufficiency, micronutrient-dependent mitochondrial throughput, and recovery metabolism. Hormonal axis ~17.2% (high signal in poor-sleep classification context) Endocrine transition state modulates thermoregulation, neuroendocrine rhythm, and metabolic timing, amplifying symptom variability. </w:t>
      </w:r>
      <w:r w:rsidRPr="00530CA9">
        <w:t>Stress / inflammatory / metabolic groups lower-to-mid ranked but non-zero These dimensions remain relevant but are interpreted as interacting modulators rather than single dominant drivers in the reported model framing. 5.3 K-means biological interpretation (k=3 narrative) The 3-cluster logic is interpreted as biologically distinct metabolic phenotypes, not diagnostic categories.</w:t>
      </w:r>
    </w:p>
    <w:p w14:paraId="2D5A453A" w14:textId="77777777" w:rsidR="00530CA9" w:rsidRPr="00530CA9" w:rsidRDefault="00530CA9" w:rsidP="00530CA9">
      <w:r w:rsidRPr="00530CA9">
        <w:t>Practical implication for SoulJu framework: prioritize protocol modularity by axis dominance (energy-first, hormonal-coupled, gut/systemic overlay) rather than one-claim products.</w:t>
      </w:r>
    </w:p>
    <w:p w14:paraId="7B1E820E" w14:textId="77777777" w:rsidR="00530CA9" w:rsidRPr="00530CA9" w:rsidRDefault="00530CA9" w:rsidP="00530CA9">
      <w:r w:rsidRPr="00530CA9">
        <w:t>Traceability note: these insights are strategic-model outputs and must be treated as population-level directional evidence, not individual clinical prediction.</w:t>
      </w:r>
    </w:p>
    <w:p w14:paraId="5C7057EF" w14:textId="77777777" w:rsidR="00530CA9" w:rsidRPr="00530CA9" w:rsidRDefault="00530CA9" w:rsidP="00530CA9">
      <w:r w:rsidRPr="00530CA9">
        <w:t>5.4 Explicit limitations Feature importance is model-dependent and sensitive to variable engineering and subgroup composition.</w:t>
      </w:r>
    </w:p>
    <w:p w14:paraId="5CEA479C" w14:textId="77777777" w:rsidR="00530CA9" w:rsidRPr="00530CA9" w:rsidRDefault="00530CA9" w:rsidP="00530CA9">
      <w:r w:rsidRPr="00530CA9">
        <w:t>NHANES-derived associations do not establish direct causality.</w:t>
      </w:r>
    </w:p>
    <w:p w14:paraId="22CA1912" w14:textId="77777777" w:rsidR="00530CA9" w:rsidRPr="00530CA9" w:rsidRDefault="00530CA9" w:rsidP="00530CA9">
      <w:r w:rsidRPr="00530CA9">
        <w:t>Transfer to specific commercial cohorts requires prospective validation and recalibration.</w:t>
      </w:r>
    </w:p>
    <w:p w14:paraId="3E308282" w14:textId="77777777" w:rsidR="00530CA9" w:rsidRPr="00530CA9" w:rsidRDefault="00530CA9" w:rsidP="00530CA9">
      <w:r w:rsidRPr="00530CA9">
        <w:t>Claims must remain within structure/function language boundaries.</w:t>
      </w:r>
    </w:p>
    <w:p w14:paraId="660B8D31" w14:textId="77777777" w:rsidR="00530CA9" w:rsidRPr="00530CA9" w:rsidRDefault="00530CA9" w:rsidP="00530CA9">
      <w:pPr>
        <w:numPr>
          <w:ilvl w:val="0"/>
          <w:numId w:val="4"/>
        </w:numPr>
      </w:pPr>
      <w:r w:rsidRPr="00530CA9">
        <w:t>Traceability logic and regulatory-safe framing 6.1 Traceability chain used in this chapter Source evidence → pathway mechanism → molecular node → axis function → symptom-support hypothesis → non-therapeutic communication.</w:t>
      </w:r>
    </w:p>
    <w:p w14:paraId="64347414" w14:textId="77777777" w:rsidR="00530CA9" w:rsidRPr="00530CA9" w:rsidRDefault="00530CA9" w:rsidP="00530CA9">
      <w:r w:rsidRPr="00530CA9">
        <w:t>6.2 Regulatory-safe language constraints applied This chapter does not diagnose, treat, cure, or prevent disease.</w:t>
      </w:r>
    </w:p>
    <w:p w14:paraId="4B5616F4" w14:textId="77777777" w:rsidR="00530CA9" w:rsidRPr="00530CA9" w:rsidRDefault="00530CA9" w:rsidP="00530CA9">
      <w:r w:rsidRPr="00530CA9">
        <w:t>All outputs are framed as support for physiological function (energy metabolism, substrate handling, gut integrity, cellular resilience).</w:t>
      </w:r>
    </w:p>
    <w:p w14:paraId="40BB79DD" w14:textId="77777777" w:rsidR="00530CA9" w:rsidRPr="00530CA9" w:rsidRDefault="00530CA9" w:rsidP="00530CA9">
      <w:r w:rsidRPr="00530CA9">
        <w:t>Female-specific statements are presented as biochemical plausibility and population-level directional interpretation.</w:t>
      </w:r>
    </w:p>
    <w:p w14:paraId="733EEA59" w14:textId="77777777" w:rsidR="00530CA9" w:rsidRPr="00530CA9" w:rsidRDefault="00530CA9" w:rsidP="00530CA9">
      <w:pPr>
        <w:rPr>
          <w:lang w:val="en-US"/>
        </w:rPr>
      </w:pPr>
      <w:r w:rsidRPr="00530CA9">
        <w:rPr>
          <w:lang w:val="en-US"/>
        </w:rPr>
        <w:lastRenderedPageBreak/>
        <w:t>Any efficacy expectation is uncertainty-qualified and context-dependent.</w:t>
      </w:r>
    </w:p>
    <w:p w14:paraId="4FB15B15" w14:textId="77777777" w:rsidR="00530CA9" w:rsidRPr="00530CA9" w:rsidRDefault="00530CA9" w:rsidP="00530CA9">
      <w:pPr>
        <w:numPr>
          <w:ilvl w:val="0"/>
          <w:numId w:val="5"/>
        </w:numPr>
        <w:rPr>
          <w:lang w:val="en-US"/>
        </w:rPr>
      </w:pPr>
      <w:r w:rsidRPr="00530CA9">
        <w:rPr>
          <w:lang w:val="en-US"/>
        </w:rPr>
        <w:t>Unresolved risks Evidence hierarchy risk: some pathway links are high-plausibility but not uniformly confirmed across all female subgroups.</w:t>
      </w:r>
    </w:p>
    <w:p w14:paraId="62000D1E" w14:textId="77777777" w:rsidR="00530CA9" w:rsidRPr="00530CA9" w:rsidRDefault="00530CA9" w:rsidP="00530CA9">
      <w:r w:rsidRPr="00530CA9">
        <w:t>Attribution risk in multi-ingredient systems: pathway-level coherence does not isolate single-compound effects in real-world protocols.</w:t>
      </w:r>
    </w:p>
    <w:p w14:paraId="37042598" w14:textId="77777777" w:rsidR="00530CA9" w:rsidRPr="00530CA9" w:rsidRDefault="00530CA9" w:rsidP="00530CA9">
      <w:r w:rsidRPr="00530CA9">
        <w:t>Model transportability risk: NHANES-derived feature rankings may shift with age-band focus, geography, and phenotype definitions.</w:t>
      </w:r>
    </w:p>
    <w:p w14:paraId="35230F10" w14:textId="77777777" w:rsidR="00530CA9" w:rsidRPr="00530CA9" w:rsidRDefault="00530CA9" w:rsidP="00530CA9">
      <w:r w:rsidRPr="00530CA9">
        <w:t>Regulatory interpretation drift: wording boundaries may vary by jurisdiction/channel and require ongoing legal-regulatory review.</w:t>
      </w:r>
    </w:p>
    <w:p w14:paraId="1D05A04C" w14:textId="77777777" w:rsidR="00530CA9" w:rsidRPr="00530CA9" w:rsidRDefault="00530CA9" w:rsidP="00530CA9">
      <w:r w:rsidRPr="00530CA9">
        <w:t>Hormonal heterogeneity risk: perimenopause/menopause transitions are biologically diverse; effect directionality may vary by baseline status.</w:t>
      </w:r>
    </w:p>
    <w:p w14:paraId="7BE34205" w14:textId="77777777" w:rsidR="00530CA9" w:rsidRPr="00530CA9" w:rsidRDefault="00530CA9" w:rsidP="00530CA9">
      <w:pPr>
        <w:numPr>
          <w:ilvl w:val="0"/>
          <w:numId w:val="6"/>
        </w:numPr>
      </w:pPr>
      <w:r w:rsidRPr="00530CA9">
        <w:t xml:space="preserve">QA status (FINAL) QA requirement Status Evidence in chapter 4 metabolic axes with full biochemical definition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 3.1 provides definition, pathways, molecules, and physiological role for each axis. Deep biochemical detail (glycolysis</w:t>
      </w:r>
      <w:r w:rsidRPr="00530CA9">
        <w:rPr>
          <w:rFonts w:ascii="Aptos" w:hAnsi="Aptos" w:cs="Aptos"/>
        </w:rPr>
        <w:t>→</w:t>
      </w:r>
      <w:r w:rsidRPr="00530CA9">
        <w:t xml:space="preserve">ATP, </w:t>
      </w:r>
      <w:r w:rsidRPr="00530CA9">
        <w:rPr>
          <w:rFonts w:ascii="Aptos" w:hAnsi="Aptos" w:cs="Aptos"/>
        </w:rPr>
        <w:t>β</w:t>
      </w:r>
      <w:r w:rsidRPr="00530CA9">
        <w:t xml:space="preserve">-oxidation/CPT-1, AMPK, NAD+/SIRT1/redox, gut-liver-hormonal)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 3.2 provides pathway-depth narrative. Female-specific mechanistic layer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 3.3 covers estradiol decline, PGC-1</w:t>
      </w:r>
      <w:r w:rsidRPr="00530CA9">
        <w:rPr>
          <w:rFonts w:ascii="Aptos" w:hAnsi="Aptos" w:cs="Aptos"/>
        </w:rPr>
        <w:t>α</w:t>
      </w:r>
      <w:r w:rsidRPr="00530CA9">
        <w:t xml:space="preserve"> trend, insulin sensitivity, fat distribution, and symptom emergence. Required tables included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Sections 4.1, 4.2, and 4.3 included in requested format. NHANES feature-importance integration + biological interpretation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 5 integrates RF/K-means narrative and interpretation. Regulatory-safe, non-therapeutic framing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Sections 6.2 and overall language constraints applied. Traceability logic explicit </w:t>
      </w:r>
      <w:r w:rsidRPr="00530CA9">
        <w:rPr>
          <w:rFonts w:ascii="Segoe UI Emoji" w:hAnsi="Segoe UI Emoji" w:cs="Segoe UI Emoji"/>
        </w:rPr>
        <w:t>✅</w:t>
      </w:r>
      <w:r w:rsidRPr="00530CA9">
        <w:t xml:space="preserve"> Closed Section 6.1 defines source-to-claim chain.</w:t>
      </w:r>
    </w:p>
    <w:p w14:paraId="70DFE612" w14:textId="77777777" w:rsidR="006B7A9E" w:rsidRPr="00530CA9" w:rsidRDefault="006B7A9E" w:rsidP="00530CA9"/>
    <w:sectPr w:rsidR="006B7A9E" w:rsidRPr="00530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230"/>
    <w:multiLevelType w:val="multilevel"/>
    <w:tmpl w:val="553AE5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757FE"/>
    <w:multiLevelType w:val="multilevel"/>
    <w:tmpl w:val="C77452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40B1B"/>
    <w:multiLevelType w:val="multilevel"/>
    <w:tmpl w:val="6AFA8A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652E8"/>
    <w:multiLevelType w:val="multilevel"/>
    <w:tmpl w:val="BDFAD9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A0E8B"/>
    <w:multiLevelType w:val="multilevel"/>
    <w:tmpl w:val="15EA0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C6B2E"/>
    <w:multiLevelType w:val="multilevel"/>
    <w:tmpl w:val="203A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388699">
    <w:abstractNumId w:val="5"/>
  </w:num>
  <w:num w:numId="2" w16cid:durableId="1186746626">
    <w:abstractNumId w:val="4"/>
  </w:num>
  <w:num w:numId="3" w16cid:durableId="1220021760">
    <w:abstractNumId w:val="0"/>
  </w:num>
  <w:num w:numId="4" w16cid:durableId="314067763">
    <w:abstractNumId w:val="3"/>
  </w:num>
  <w:num w:numId="5" w16cid:durableId="869760289">
    <w:abstractNumId w:val="1"/>
  </w:num>
  <w:num w:numId="6" w16cid:durableId="264271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B4"/>
    <w:rsid w:val="00530CA9"/>
    <w:rsid w:val="005F6F29"/>
    <w:rsid w:val="006B7A9E"/>
    <w:rsid w:val="006D44B4"/>
    <w:rsid w:val="00E5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1609D"/>
  <w15:chartTrackingRefBased/>
  <w15:docId w15:val="{715333A6-6C22-4CAA-BAAB-4D4B5200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2644</Words>
  <Characters>15046</Characters>
  <Application>Microsoft Office Word</Application>
  <DocSecurity>0</DocSecurity>
  <Lines>341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Lion</dc:creator>
  <cp:keywords/>
  <dc:description/>
  <cp:lastModifiedBy>Natalia Lion</cp:lastModifiedBy>
  <cp:revision>3</cp:revision>
  <dcterms:created xsi:type="dcterms:W3CDTF">2026-04-01T19:24:00Z</dcterms:created>
  <dcterms:modified xsi:type="dcterms:W3CDTF">2026-04-01T19:37:00Z</dcterms:modified>
</cp:coreProperties>
</file>