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0B981"/>
          <w:spacing w:val="200"/>
          <w:sz w:val="18"/>
          <w:szCs w:val="18"/>
        </w:rPr>
        <w:t xml:space="preserve">CONFIDENCIAL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Femme Cellular</w:t>
      </w:r>
    </w:p>
    <w:p>
      <w:pPr>
        <w:spacing w:before="80"/>
        <w:jc w:val="center"/>
      </w:pPr>
      <w:r>
        <w:rPr>
          <w:rFonts w:ascii="Arial" w:cs="Arial" w:eastAsia="Arial" w:hAnsi="Arial"/>
          <w:color w:val="10B981"/>
          <w:sz w:val="26"/>
          <w:szCs w:val="26"/>
        </w:rPr>
        <w:t xml:space="preserve">Regenerador Celular &amp; Longevidade Feminina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B7560"/>
          <w:sz w:val="20"/>
          <w:szCs w:val="20"/>
        </w:rPr>
        <w:t xml:space="preserve">4o pilar do Hub Metabolico | NAD+ Mitocondria Senescencia | P&amp;L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6B7560"/>
          <w:sz w:val="20"/>
          <w:szCs w:val="20"/>
        </w:rPr>
        <w:t xml:space="preserve">Marco 2026</w:t>
      </w:r>
    </w:p>
    <w:p>
      <w:r>
        <w:br w:type="page"/>
      </w:r>
    </w:p>
    <w:p>
      <w:pPr>
        <w:pBdr>
          <w:bottom w:val="single" w:color="10B98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1. TESE DE INVESTIMENTO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10B981" w:sz="6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560"/>
                <w:sz w:val="14"/>
                <w:szCs w:val="14"/>
              </w:rPr>
              <w:t xml:space="preserve">ANTI-AGING GLOBAL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US$ 4.9B</w:t>
            </w:r>
          </w:p>
          <w:p>
            <w:r>
              <w:rPr>
                <w:rFonts w:ascii="Arial" w:cs="Arial" w:eastAsia="Arial" w:hAnsi="Arial"/>
                <w:color w:val="6B7560"/>
                <w:sz w:val="14"/>
                <w:szCs w:val="14"/>
              </w:rPr>
              <w:t xml:space="preserve">2025, CAGR 8%</w:t>
            </w:r>
          </w:p>
        </w:tc>
        <w:tc>
          <w:tcPr>
            <w:tcW w:type="dxa" w:w="2520"/>
            <w:tcBorders>
              <w:top w:val="single" w:color="EAB308" w:sz="6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560"/>
                <w:sz w:val="14"/>
                <w:szCs w:val="14"/>
              </w:rPr>
              <w:t xml:space="preserve">NAD+ SEGMENT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EAB308"/>
                <w:sz w:val="28"/>
                <w:szCs w:val="28"/>
              </w:rPr>
              <w:t xml:space="preserve">+52% lanc.</w:t>
            </w:r>
          </w:p>
          <w:p>
            <w:r>
              <w:rPr>
                <w:rFonts w:ascii="Arial" w:cs="Arial" w:eastAsia="Arial" w:hAnsi="Arial"/>
                <w:color w:val="6B7560"/>
                <w:sz w:val="14"/>
                <w:szCs w:val="14"/>
              </w:rPr>
              <w:t xml:space="preserve">Maior crescimento</w:t>
            </w:r>
          </w:p>
        </w:tc>
        <w:tc>
          <w:tcPr>
            <w:tcW w:type="dxa" w:w="2520"/>
            <w:tcBorders>
              <w:top w:val="single" w:color="F43F5E" w:sz="6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560"/>
                <w:sz w:val="14"/>
                <w:szCs w:val="14"/>
              </w:rPr>
              <w:t xml:space="preserve">LONGEVITY BR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43F5E"/>
                <w:sz w:val="28"/>
                <w:szCs w:val="28"/>
              </w:rPr>
              <w:t xml:space="preserve">ZERO stacks</w:t>
            </w:r>
          </w:p>
          <w:p>
            <w:r>
              <w:rPr>
                <w:rFonts w:ascii="Arial" w:cs="Arial" w:eastAsia="Arial" w:hAnsi="Arial"/>
                <w:color w:val="6B7560"/>
                <w:sz w:val="14"/>
                <w:szCs w:val="14"/>
              </w:rPr>
              <w:t xml:space="preserve">Categoria inexistente</w:t>
            </w:r>
          </w:p>
        </w:tc>
        <w:tc>
          <w:tcPr>
            <w:tcW w:type="dxa" w:w="2520"/>
            <w:tcBorders>
              <w:top w:val="single" w:color="059669" w:sz="6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560"/>
                <w:sz w:val="14"/>
                <w:szCs w:val="14"/>
              </w:rPr>
              <w:t xml:space="preserve">FEMME CELLULAR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8"/>
                <w:szCs w:val="28"/>
              </w:rPr>
              <w:t xml:space="preserve">6 ativos</w:t>
            </w:r>
          </w:p>
          <w:p>
            <w:r>
              <w:rPr>
                <w:rFonts w:ascii="Arial" w:cs="Arial" w:eastAsia="Arial" w:hAnsi="Arial"/>
                <w:color w:val="6B7560"/>
                <w:sz w:val="14"/>
                <w:szCs w:val="14"/>
              </w:rPr>
              <w:t xml:space="preserve">NAD+ Mito Senolitico</w:t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B7560"/>
          <w:sz w:val="18"/>
          <w:szCs w:val="18"/>
        </w:rPr>
        <w:t xml:space="preserve">Femme Cellular e um Regenerador Celular que atua em 4 eixos: producao de NAD+, bioenergia mitocondrial, ativacao de sirtuinas e clearance de celulas senescentes. Combina RiaGev (patenteado) + CoQ10 Kaneka + PQQ + Resveratrol + Quercetina + Vitamina C.</w:t>
      </w:r>
    </w:p>
    <w:p>
      <w:pPr>
        <w:spacing w:before="60" w:after="60"/>
      </w:pPr>
      <w:r>
        <w:rPr>
          <w:rFonts w:ascii="Arial" w:cs="Arial" w:eastAsia="Arial" w:hAnsi="Arial"/>
          <w:color w:val="6B7560"/>
          <w:sz w:val="18"/>
          <w:szCs w:val="18"/>
        </w:rPr>
        <w:t xml:space="preserve">No Brasil, ZERO stacks integrados de longevidade celular existem. O 4o pilar do Hub fecha o ciclo de 24h + longevidade.</w:t>
      </w:r>
    </w:p>
    <w:p>
      <w:r>
        <w:br w:type="page"/>
      </w:r>
    </w:p>
    <w:p>
      <w:pPr>
        <w:pBdr>
          <w:bottom w:val="single" w:color="10B98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2. FORMULACAO HERO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3800"/>
        <w:gridCol w:w="2480"/>
      </w:tblGrid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Ingrediente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Dose</w:t>
            </w:r>
          </w:p>
        </w:tc>
        <w:tc>
          <w:tcPr>
            <w:tcW w:type="dxa" w:w="3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Mecanismo</w:t>
            </w:r>
          </w:p>
        </w:tc>
        <w:tc>
          <w:tcPr>
            <w:tcW w:type="dxa" w:w="24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Diferencial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RiaGev (NAD+ booster)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200-300 mg</w:t>
            </w:r>
          </w:p>
        </w:tc>
        <w:tc>
          <w:tcPr>
            <w:tcW w:type="dxa" w:w="3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Elevacao NAD+ + sirtuinas</w:t>
            </w:r>
          </w:p>
        </w:tc>
        <w:tc>
          <w:tcPr>
            <w:tcW w:type="dxa" w:w="24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EXCLUSIVO Patenteado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CoQ10 Kaneka Ubiquinol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100-150 mg</w:t>
            </w:r>
          </w:p>
        </w:tc>
        <w:tc>
          <w:tcPr>
            <w:tcW w:type="dxa" w:w="3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Cadeia respiratoria + antioxidante</w:t>
            </w:r>
          </w:p>
        </w:tc>
        <w:tc>
          <w:tcPr>
            <w:tcW w:type="dxa" w:w="24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EXCLUSIVO Kaneka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PQQ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5-10 mg</w:t>
            </w:r>
          </w:p>
        </w:tc>
        <w:tc>
          <w:tcPr>
            <w:tcW w:type="dxa" w:w="3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Biogenese NOVAS mitocondrias</w:t>
            </w:r>
          </w:p>
        </w:tc>
        <w:tc>
          <w:tcPr>
            <w:tcW w:type="dxa" w:w="24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Unico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Resveratrol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100-150 mg</w:t>
            </w:r>
          </w:p>
        </w:tc>
        <w:tc>
          <w:tcPr>
            <w:tcW w:type="dxa" w:w="3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Ativacao SIRT1</w:t>
            </w:r>
          </w:p>
        </w:tc>
        <w:tc>
          <w:tcPr>
            <w:tcW w:type="dxa" w:w="24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Sinergia NAD+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Quercetina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100 mg</w:t>
            </w:r>
          </w:p>
        </w:tc>
        <w:tc>
          <w:tcPr>
            <w:tcW w:type="dxa" w:w="3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Clearance celulas senescentes</w:t>
            </w:r>
          </w:p>
        </w:tc>
        <w:tc>
          <w:tcPr>
            <w:tcW w:type="dxa" w:w="24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Senolitico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Vitamina C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200 mg</w:t>
            </w:r>
          </w:p>
        </w:tc>
        <w:tc>
          <w:tcPr>
            <w:tcW w:type="dxa" w:w="3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Reciclagem antioxidantes</w:t>
            </w:r>
          </w:p>
        </w:tc>
        <w:tc>
          <w:tcPr>
            <w:tcW w:type="dxa" w:w="24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Amplificador</w:t>
            </w:r>
          </w:p>
        </w:tc>
      </w:tr>
    </w:tbl>
    <w:p>
      <w:pPr>
        <w:spacing w:before="14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 Eixos de Regeneracao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0B981"/>
          <w:sz w:val="18"/>
          <w:szCs w:val="18"/>
        </w:rPr>
        <w:t xml:space="preserve">1. NAD+ &amp; SIRTUINAS: RiaGev eleva NAD+ (+26% em 8 semanas), ativa SIRT1-7, reparo DNA. Resveratrol potencializa.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84CC16"/>
          <w:sz w:val="18"/>
          <w:szCs w:val="18"/>
        </w:rPr>
        <w:t xml:space="preserve">2. BIOENERGIA MITO: CoQ10 Kaneka na cadeia respiratoria + PQQ cria NOVAS mitocondrias via PGC-1a.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3. CLEARANCE SENESCENTE: Quercetina elimina celulas zumbis (SASP). Vit C amplifica.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AB308"/>
          <w:sz w:val="18"/>
          <w:szCs w:val="18"/>
        </w:rPr>
        <w:t xml:space="preserve">4. DEFESA ANTIOXIDANTE: CoQ10 + Vit C + Resveratrol = rede de 3 camadas contra ROS.</w:t>
      </w:r>
    </w:p>
    <w:p>
      <w:r>
        <w:br w:type="page"/>
      </w:r>
    </w:p>
    <w:p>
      <w:pPr>
        <w:pBdr>
          <w:bottom w:val="single" w:color="10B98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3. VS. CONCORRENTES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8"/>
        <w:gridCol w:w="1408"/>
        <w:gridCol w:w="1408"/>
        <w:gridCol w:w="1408"/>
        <w:gridCol w:w="1248"/>
      </w:tblGrid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Atributo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Femme Cellular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CoQ10 Vitafor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NMN generico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Resveratrol Ess.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LONGEVITY EUA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NAD+ patente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 RiaGev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NMN generico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CoQ10 Kaneka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Basico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PQQ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Resveratrol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Quercetina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eixos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 eixos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Patentes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Fem.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 Hub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Generico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Generico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Generico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Generico</w:t>
            </w:r>
          </w:p>
        </w:tc>
      </w:tr>
    </w:tbl>
    <w:p>
      <w:r>
        <w:br w:type="page"/>
      </w:r>
    </w:p>
    <w:p>
      <w:pPr>
        <w:pBdr>
          <w:bottom w:val="single" w:color="10B98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4. WHITE SPACE &amp; PRECO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10B981" w:sz="6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560"/>
                <w:sz w:val="14"/>
                <w:szCs w:val="14"/>
              </w:rPr>
              <w:t xml:space="preserve">TAM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R$ 800M</w:t>
            </w:r>
          </w:p>
          <w:p>
            <w:r>
              <w:rPr>
                <w:rFonts w:ascii="Arial" w:cs="Arial" w:eastAsia="Arial" w:hAnsi="Arial"/>
                <w:color w:val="6B7560"/>
                <w:sz w:val="14"/>
                <w:szCs w:val="14"/>
              </w:rPr>
              <w:t xml:space="preserve">Anti-aging BR</w:t>
            </w:r>
          </w:p>
        </w:tc>
        <w:tc>
          <w:tcPr>
            <w:tcW w:type="dxa" w:w="2520"/>
            <w:tcBorders>
              <w:top w:val="single" w:color="84CC16" w:sz="6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560"/>
                <w:sz w:val="14"/>
                <w:szCs w:val="14"/>
              </w:rPr>
              <w:t xml:space="preserve">SAM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4CC16"/>
                <w:sz w:val="28"/>
                <w:szCs w:val="28"/>
              </w:rPr>
              <w:t xml:space="preserve">R$ 200M</w:t>
            </w:r>
          </w:p>
          <w:p>
            <w:r>
              <w:rPr>
                <w:rFonts w:ascii="Arial" w:cs="Arial" w:eastAsia="Arial" w:hAnsi="Arial"/>
                <w:color w:val="6B7560"/>
                <w:sz w:val="14"/>
                <w:szCs w:val="14"/>
              </w:rPr>
              <w:t xml:space="preserve">Fem. premium 35+</w:t>
            </w:r>
          </w:p>
        </w:tc>
        <w:tc>
          <w:tcPr>
            <w:tcW w:type="dxa" w:w="2520"/>
            <w:tcBorders>
              <w:top w:val="single" w:color="EAB308" w:sz="6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560"/>
                <w:sz w:val="14"/>
                <w:szCs w:val="14"/>
              </w:rPr>
              <w:t xml:space="preserve">SOM A1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EAB308"/>
                <w:sz w:val="28"/>
                <w:szCs w:val="28"/>
              </w:rPr>
              <w:t xml:space="preserve">R$ 5-10M</w:t>
            </w:r>
          </w:p>
          <w:p>
            <w:r>
              <w:rPr>
                <w:rFonts w:ascii="Arial" w:cs="Arial" w:eastAsia="Arial" w:hAnsi="Arial"/>
                <w:color w:val="6B7560"/>
                <w:sz w:val="14"/>
                <w:szCs w:val="14"/>
              </w:rPr>
              <w:t xml:space="preserve"/>
            </w:r>
          </w:p>
        </w:tc>
        <w:tc>
          <w:tcPr>
            <w:tcW w:type="dxa" w:w="2520"/>
            <w:tcBorders>
              <w:top w:val="single" w:color="3B82F6" w:sz="6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560"/>
                <w:sz w:val="14"/>
                <w:szCs w:val="14"/>
              </w:rPr>
              <w:t xml:space="preserve">SOM A3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R$ 25-45M</w:t>
            </w:r>
          </w:p>
          <w:p>
            <w:r>
              <w:rPr>
                <w:rFonts w:ascii="Arial" w:cs="Arial" w:eastAsia="Arial" w:hAnsi="Arial"/>
                <w:color w:val="6B7560"/>
                <w:sz w:val="14"/>
                <w:szCs w:val="14"/>
              </w:rPr>
              <w:t xml:space="preserve"/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color w:val="6B7560"/>
          <w:sz w:val="18"/>
          <w:szCs w:val="18"/>
        </w:rPr>
        <w:t xml:space="preserve">Preco recomendado: R$ 189,90 / 60 caps (30 dias). R$ 6,33/dia. Acima NMN generico, abaixo Tru Niagen importado.</w:t>
      </w:r>
    </w:p>
    <w:p>
      <w:r>
        <w:br w:type="page"/>
      </w:r>
    </w:p>
    <w:p>
      <w:pPr>
        <w:pBdr>
          <w:bottom w:val="single" w:color="10B98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5. SWOT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FORCAS</w:t>
      </w:r>
    </w:p>
    <w:p>
      <w:pPr>
        <w:spacing w:before="60" w:after="60"/>
      </w:pPr>
      <w:r>
        <w:rPr>
          <w:rFonts w:ascii="Arial" w:cs="Arial" w:eastAsia="Arial" w:hAnsi="Arial"/>
          <w:color w:val="10B981"/>
          <w:sz w:val="18"/>
          <w:szCs w:val="18"/>
        </w:rPr>
        <w:t xml:space="preserve">  &gt;  2 patentes (RiaGev + Kaneka)</w:t>
      </w:r>
    </w:p>
    <w:p>
      <w:pPr>
        <w:spacing w:before="60" w:after="60"/>
      </w:pPr>
      <w:r>
        <w:rPr>
          <w:rFonts w:ascii="Arial" w:cs="Arial" w:eastAsia="Arial" w:hAnsi="Arial"/>
          <w:color w:val="10B981"/>
          <w:sz w:val="18"/>
          <w:szCs w:val="18"/>
        </w:rPr>
        <w:t xml:space="preserve">  &gt;  4 eixos simultaneos</w:t>
      </w:r>
    </w:p>
    <w:p>
      <w:pPr>
        <w:spacing w:before="60" w:after="60"/>
      </w:pPr>
      <w:r>
        <w:rPr>
          <w:rFonts w:ascii="Arial" w:cs="Arial" w:eastAsia="Arial" w:hAnsi="Arial"/>
          <w:color w:val="10B981"/>
          <w:sz w:val="18"/>
          <w:szCs w:val="18"/>
        </w:rPr>
        <w:t xml:space="preserve">  &gt;  PQQ exclusivo BR</w:t>
      </w:r>
    </w:p>
    <w:p>
      <w:pPr>
        <w:spacing w:before="60" w:after="60"/>
      </w:pPr>
      <w:r>
        <w:rPr>
          <w:rFonts w:ascii="Arial" w:cs="Arial" w:eastAsia="Arial" w:hAnsi="Arial"/>
          <w:color w:val="10B981"/>
          <w:sz w:val="18"/>
          <w:szCs w:val="18"/>
        </w:rPr>
        <w:t xml:space="preserve">  &gt;  Estudo clinico RiaGev</w:t>
      </w:r>
    </w:p>
    <w:p>
      <w:pPr>
        <w:spacing w:before="60" w:after="60"/>
      </w:pPr>
      <w:r>
        <w:rPr>
          <w:rFonts w:ascii="Arial" w:cs="Arial" w:eastAsia="Arial" w:hAnsi="Arial"/>
          <w:color w:val="10B981"/>
          <w:sz w:val="18"/>
          <w:szCs w:val="18"/>
        </w:rPr>
        <w:t xml:space="preserve">  &gt;  4o pilar Hub</w:t>
      </w:r>
    </w:p>
    <w:p>
      <w:pPr>
        <w:spacing w:before="60" w:after="60"/>
      </w:pPr>
      <w:r>
        <w:rPr>
          <w:rFonts w:ascii="Arial" w:cs="Arial" w:eastAsia="Arial" w:hAnsi="Arial"/>
          <w:color w:val="10B981"/>
          <w:sz w:val="18"/>
          <w:szCs w:val="18"/>
        </w:rPr>
        <w:t xml:space="preserve">  &gt;  Trend longevity global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FRAQUEZAS</w:t>
      </w:r>
    </w:p>
    <w:p>
      <w:pPr>
        <w:spacing w:before="60" w:after="60"/>
      </w:pPr>
      <w:r>
        <w:rPr>
          <w:rFonts w:ascii="Arial" w:cs="Arial" w:eastAsia="Arial" w:hAnsi="Arial"/>
          <w:color w:val="F43F5E"/>
          <w:sz w:val="18"/>
          <w:szCs w:val="18"/>
        </w:rPr>
        <w:t xml:space="preserve">  &gt;  COGS elevado</w:t>
      </w:r>
    </w:p>
    <w:p>
      <w:pPr>
        <w:spacing w:before="60" w:after="60"/>
      </w:pPr>
      <w:r>
        <w:rPr>
          <w:rFonts w:ascii="Arial" w:cs="Arial" w:eastAsia="Arial" w:hAnsi="Arial"/>
          <w:color w:val="F43F5E"/>
          <w:sz w:val="18"/>
          <w:szCs w:val="18"/>
        </w:rPr>
        <w:t xml:space="preserve">  &gt;  Categoria nova BR</w:t>
      </w:r>
    </w:p>
    <w:p>
      <w:pPr>
        <w:spacing w:before="60" w:after="60"/>
      </w:pPr>
      <w:r>
        <w:rPr>
          <w:rFonts w:ascii="Arial" w:cs="Arial" w:eastAsia="Arial" w:hAnsi="Arial"/>
          <w:color w:val="F43F5E"/>
          <w:sz w:val="18"/>
          <w:szCs w:val="18"/>
        </w:rPr>
        <w:t xml:space="preserve">  &gt;  Resultados graduais</w:t>
      </w:r>
    </w:p>
    <w:p>
      <w:pPr>
        <w:spacing w:before="60" w:after="60"/>
      </w:pPr>
      <w:r>
        <w:rPr>
          <w:rFonts w:ascii="Arial" w:cs="Arial" w:eastAsia="Arial" w:hAnsi="Arial"/>
          <w:color w:val="F43F5E"/>
          <w:sz w:val="18"/>
          <w:szCs w:val="18"/>
        </w:rPr>
        <w:t xml:space="preserve">  &gt;  ANVISA restritiva</w:t>
      </w:r>
    </w:p>
    <w:p>
      <w:pPr>
        <w:spacing w:before="60" w:after="60"/>
      </w:pPr>
      <w:r>
        <w:rPr>
          <w:rFonts w:ascii="Arial" w:cs="Arial" w:eastAsia="Arial" w:hAnsi="Arial"/>
          <w:color w:val="F43F5E"/>
          <w:sz w:val="18"/>
          <w:szCs w:val="18"/>
        </w:rPr>
        <w:t xml:space="preserve">  &gt;  Publico menor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OPORTUNIDADES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Categoria inexistente BR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Podcasts NAD+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Mulheres 35+ poder aquisitivo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Cross-sell Hub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Canal prescricao integrativista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AMEACAS</w:t>
      </w:r>
    </w:p>
    <w:p>
      <w:pPr>
        <w:spacing w:before="60" w:after="60"/>
      </w:pPr>
      <w:r>
        <w:rPr>
          <w:rFonts w:ascii="Arial" w:cs="Arial" w:eastAsia="Arial" w:hAnsi="Arial"/>
          <w:color w:val="84CC16"/>
          <w:sz w:val="18"/>
          <w:szCs w:val="18"/>
        </w:rPr>
        <w:t xml:space="preserve">  &gt;  Marcas globais (Tru Niagen)</w:t>
      </w:r>
    </w:p>
    <w:p>
      <w:pPr>
        <w:spacing w:before="60" w:after="60"/>
      </w:pPr>
      <w:r>
        <w:rPr>
          <w:rFonts w:ascii="Arial" w:cs="Arial" w:eastAsia="Arial" w:hAnsi="Arial"/>
          <w:color w:val="84CC16"/>
          <w:sz w:val="18"/>
          <w:szCs w:val="18"/>
        </w:rPr>
        <w:t xml:space="preserve">  &gt;  NMN generico Amazon</w:t>
      </w:r>
    </w:p>
    <w:p>
      <w:pPr>
        <w:spacing w:before="60" w:after="60"/>
      </w:pPr>
      <w:r>
        <w:rPr>
          <w:rFonts w:ascii="Arial" w:cs="Arial" w:eastAsia="Arial" w:hAnsi="Arial"/>
          <w:color w:val="84CC16"/>
          <w:sz w:val="18"/>
          <w:szCs w:val="18"/>
        </w:rPr>
        <w:t xml:space="preserve">  &gt;  Regulacao ANVISA</w:t>
      </w:r>
    </w:p>
    <w:p>
      <w:pPr>
        <w:spacing w:before="60" w:after="60"/>
      </w:pPr>
      <w:r>
        <w:rPr>
          <w:rFonts w:ascii="Arial" w:cs="Arial" w:eastAsia="Arial" w:hAnsi="Arial"/>
          <w:color w:val="84CC16"/>
          <w:sz w:val="18"/>
          <w:szCs w:val="18"/>
        </w:rPr>
        <w:t xml:space="preserve">  &gt;  Cambio</w:t>
      </w:r>
    </w:p>
    <w:p>
      <w:pPr>
        <w:spacing w:before="60" w:after="60"/>
      </w:pPr>
      <w:r>
        <w:rPr>
          <w:rFonts w:ascii="Arial" w:cs="Arial" w:eastAsia="Arial" w:hAnsi="Arial"/>
          <w:color w:val="84CC16"/>
          <w:sz w:val="18"/>
          <w:szCs w:val="18"/>
        </w:rPr>
        <w:t xml:space="preserve">  &gt;  Educacao necessaria</w:t>
      </w:r>
    </w:p>
    <w:p>
      <w:r>
        <w:br w:type="page"/>
      </w:r>
    </w:p>
    <w:p>
      <w:pPr>
        <w:pBdr>
          <w:bottom w:val="single" w:color="10B98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6. CANAIS &amp; GTM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2880"/>
        <w:gridCol w:w="1440"/>
        <w:gridCol w:w="2520"/>
      </w:tblGrid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Periodo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Canal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Meta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Budget</w:t>
            </w:r>
          </w:p>
        </w:tc>
      </w:tr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1. Pioneers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M1-6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D2C + YT/IG educacional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400-1K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R$ 120-250K</w:t>
            </w:r>
          </w:p>
        </w:tc>
      </w:tr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Protocol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M6-12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D2C + cross-sell + MP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1.5-3.5K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R$ 400-700K</w:t>
            </w:r>
          </w:p>
        </w:tc>
      </w:tr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Clinicas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2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+ Farmacias + B2B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5-12K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R$ 2-3M</w:t>
            </w:r>
          </w:p>
        </w:tc>
      </w:tr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Dominio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3+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Multi + Intl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15K+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Reinvestimento</w:t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B7560"/>
          <w:sz w:val="18"/>
          <w:szCs w:val="18"/>
        </w:rPr>
        <w:t xml:space="preserve">Hub Metabolico completo: Sculpt (manha) + Fire (dia) + Reset (noite) + Cellular (24/7). Cross-sell 35-45%. LTV ecossistema: R$ 1.200-1.600/ano.</w:t>
      </w:r>
    </w:p>
    <w:p>
      <w:r>
        <w:br w:type="page"/>
      </w:r>
    </w:p>
    <w:p>
      <w:pPr>
        <w:pBdr>
          <w:bottom w:val="single" w:color="10B98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7. P&amp;L — 5 ANOS (R$ mil)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10B981" w:sz="6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560"/>
                <w:sz w:val="14"/>
                <w:szCs w:val="14"/>
              </w:rPr>
              <w:t xml:space="preserve">INVEST.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R$ 2.5M</w:t>
            </w:r>
          </w:p>
          <w:p>
            <w:r>
              <w:rPr>
                <w:rFonts w:ascii="Arial" w:cs="Arial" w:eastAsia="Arial" w:hAnsi="Arial"/>
                <w:color w:val="6B7560"/>
                <w:sz w:val="14"/>
                <w:szCs w:val="14"/>
              </w:rPr>
              <w:t xml:space="preserve"/>
            </w:r>
          </w:p>
        </w:tc>
        <w:tc>
          <w:tcPr>
            <w:tcW w:type="dxa" w:w="2520"/>
            <w:tcBorders>
              <w:top w:val="single" w:color="84CC16" w:sz="6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560"/>
                <w:sz w:val="14"/>
                <w:szCs w:val="14"/>
              </w:rPr>
              <w:t xml:space="preserve">BREAK-EVEN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4CC16"/>
                <w:sz w:val="28"/>
                <w:szCs w:val="28"/>
              </w:rPr>
              <w:t xml:space="preserve">Mes 16</w:t>
            </w:r>
          </w:p>
          <w:p>
            <w:r>
              <w:rPr>
                <w:rFonts w:ascii="Arial" w:cs="Arial" w:eastAsia="Arial" w:hAnsi="Arial"/>
                <w:color w:val="6B7560"/>
                <w:sz w:val="14"/>
                <w:szCs w:val="14"/>
              </w:rPr>
              <w:t xml:space="preserve"/>
            </w:r>
          </w:p>
        </w:tc>
        <w:tc>
          <w:tcPr>
            <w:tcW w:type="dxa" w:w="2520"/>
            <w:tcBorders>
              <w:top w:val="single" w:color="EAB308" w:sz="6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560"/>
                <w:sz w:val="14"/>
                <w:szCs w:val="14"/>
              </w:rPr>
              <w:t xml:space="preserve">REC. A3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EAB308"/>
                <w:sz w:val="28"/>
                <w:szCs w:val="28"/>
              </w:rPr>
              <w:t xml:space="preserve">R$ 27.4M</w:t>
            </w:r>
          </w:p>
          <w:p>
            <w:r>
              <w:rPr>
                <w:rFonts w:ascii="Arial" w:cs="Arial" w:eastAsia="Arial" w:hAnsi="Arial"/>
                <w:color w:val="6B7560"/>
                <w:sz w:val="14"/>
                <w:szCs w:val="14"/>
              </w:rPr>
              <w:t xml:space="preserve"/>
            </w:r>
          </w:p>
        </w:tc>
        <w:tc>
          <w:tcPr>
            <w:tcW w:type="dxa" w:w="2520"/>
            <w:tcBorders>
              <w:top w:val="single" w:color="059669" w:sz="6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560"/>
                <w:sz w:val="14"/>
                <w:szCs w:val="14"/>
              </w:rPr>
              <w:t xml:space="preserve">EBITDA A5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8"/>
                <w:szCs w:val="28"/>
              </w:rPr>
              <w:t xml:space="preserve">R$ 27.9M</w:t>
            </w:r>
          </w:p>
          <w:p>
            <w:r>
              <w:rPr>
                <w:rFonts w:ascii="Arial" w:cs="Arial" w:eastAsia="Arial" w:hAnsi="Arial"/>
                <w:color w:val="6B7560"/>
                <w:sz w:val="14"/>
                <w:szCs w:val="14"/>
              </w:rPr>
              <w:t xml:space="preserve"/>
            </w:r>
          </w:p>
        </w:tc>
      </w:tr>
    </w:tbl>
    <w:p>
      <w:pPr>
        <w:spacing w:before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8"/>
        <w:gridCol w:w="1408"/>
        <w:gridCol w:w="1408"/>
        <w:gridCol w:w="1408"/>
        <w:gridCol w:w="1248"/>
      </w:tblGrid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1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3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4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5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RECEITA BRUTA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2.280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9.120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27.360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47.880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68.400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7560"/>
                <w:sz w:val="16"/>
                <w:szCs w:val="16"/>
              </w:rPr>
              <w:t xml:space="preserve">Unidades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14.400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57.600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172.800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302.400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432.000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(-) Impostos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(205)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(821)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(2.462)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(4.309)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(6.156)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REC. LIQUIDA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2.075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8.299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24.898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43.571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62.244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(-) COGS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(864)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(3.110)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(8.467)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(13.608)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(18.144)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LUCRO BRUTO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1.211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5.189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16.431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29.963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44.100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7560"/>
                <w:sz w:val="16"/>
                <w:szCs w:val="16"/>
              </w:rPr>
              <w:t xml:space="preserve">Margem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58,4%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62,5%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66,0%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68,8%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70,9%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(-) OPEX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(2.760)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(5.520)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(9.000)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(12.240)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(16.200)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EBITDA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43F5E"/>
                <w:sz w:val="18"/>
                <w:szCs w:val="18"/>
              </w:rPr>
              <w:t xml:space="preserve">(1.549)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43F5E"/>
                <w:sz w:val="18"/>
                <w:szCs w:val="18"/>
              </w:rPr>
              <w:t xml:space="preserve">(331)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7.431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17.723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27.900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7560"/>
                <w:sz w:val="16"/>
                <w:szCs w:val="16"/>
              </w:rPr>
              <w:t xml:space="preserve">Margem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-74,6%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-4,0%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29,8%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40,7%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44,8%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(-) D&amp;A+IR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(1.709)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(4.141)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(8.370)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LUCRO LIQ.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43F5E"/>
                <w:sz w:val="18"/>
                <w:szCs w:val="18"/>
              </w:rPr>
              <w:t xml:space="preserve">(1.549)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43F5E"/>
                <w:sz w:val="18"/>
                <w:szCs w:val="18"/>
              </w:rPr>
              <w:t xml:space="preserve">(331)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5.722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13.582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19.530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FC ACUMULADO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43F5E"/>
                <w:sz w:val="18"/>
                <w:szCs w:val="18"/>
              </w:rPr>
              <w:t xml:space="preserve">(1.549)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43F5E"/>
                <w:sz w:val="18"/>
                <w:szCs w:val="18"/>
              </w:rPr>
              <w:t xml:space="preserve">(1.880)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3.842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17.424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36.954</w:t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560"/>
          <w:sz w:val="18"/>
          <w:szCs w:val="18"/>
        </w:rPr>
        <w:t xml:space="preserve">COGS R$ 60/un (Ano 1) para R$ 42/un (Ano 5). Marketing 58% para 12%. Asset-light.</w:t>
      </w:r>
    </w:p>
    <w:p>
      <w:r>
        <w:br w:type="page"/>
      </w:r>
    </w:p>
    <w:p>
      <w:pPr>
        <w:pBdr>
          <w:bottom w:val="single" w:color="10B98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8. COGS UNITARIO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880"/>
        <w:gridCol w:w="2520"/>
      </w:tblGrid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Ingrediente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Custo/mes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COGS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RiaGev (250mg/dia x30)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R$ 15,00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CoQ10 Kaneka (125mg x30)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R$ 12,00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PQQ (7.5mg x30)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R$ 5,40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Resveratrol (125mg x30)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R$ 4,20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Quercetina (100mg x30)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R$ 2,40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Vitamina C (200mg x30)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R$ 1,00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Embalagem + fabricacao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R$ 20,00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TOTAL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R$ 60,00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100%</w:t>
            </w:r>
          </w:p>
        </w:tc>
      </w:tr>
    </w:tbl>
    <w:p>
      <w:r>
        <w:br w:type="page"/>
      </w:r>
    </w:p>
    <w:p>
      <w:pPr>
        <w:pBdr>
          <w:bottom w:val="single" w:color="10B98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9. RETORNO + HUB COMPLETO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2400"/>
        <w:gridCol w:w="2400"/>
      </w:tblGrid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Cenario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Multiplo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Valuation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Retorno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Serie B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3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8x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R$ 59M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~5x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Estrategico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5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6x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R$ 167M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~13x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Premium/IPO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5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10x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R$ 279M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~22x</w:t>
            </w:r>
          </w:p>
        </w:tc>
      </w:tr>
    </w:tbl>
    <w:p>
      <w:pPr>
        <w:spacing w:before="14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Hub Metabolico Feminino — Valuation Combinado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Produto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EBITDA A5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Val. 8x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Pilar</w:t>
            </w: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Femme Sculpt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R$ 49.3M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R$ 394M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Lipidic Fire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R$ 45.6M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R$ 365M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Metabolismo</w:t>
            </w: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Night Reset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R$ 35.2M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R$ 281M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Regeneracao</w:t>
            </w: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Femme Cellular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R$ 27.9M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R$ 223M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Longevidade</w:t>
            </w:r>
          </w:p>
        </w:tc>
      </w:tr>
      <w:tr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HUB TOTAL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R$ 158.0M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R$ 1.26B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Ecossistema</w:t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0B981"/>
          <w:sz w:val="18"/>
          <w:szCs w:val="18"/>
        </w:rPr>
        <w:t xml:space="preserve">Hub Metabolico Feminino: R$ 1.26 BILHAO valuation. Investimento total: R$ 11M seed. Retorno: 115x+. Primeiro unicornio brasileiro de suplementacao feminina.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560"/>
        <w:sz w:val="14"/>
        <w:szCs w:val="14"/>
      </w:rPr>
      <w:t xml:space="preserve">Pagina </w:t>
    </w:r>
    <w:r>
      <w:rPr>
        <w:rFonts w:ascii="Arial" w:cs="Arial" w:eastAsia="Arial" w:hAnsi="Arial"/>
        <w:color w:val="6B756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B981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0B981"/>
        <w:spacing w:val="100"/>
        <w:sz w:val="14"/>
        <w:szCs w:val="14"/>
      </w:rPr>
      <w:t xml:space="preserve">FEMME CELLULAR</w:t>
    </w:r>
    <w:r>
      <w:rPr>
        <w:rFonts w:ascii="Arial" w:cs="Arial" w:eastAsia="Arial" w:hAnsi="Arial"/>
        <w:color w:val="6B7560"/>
        <w:sz w:val="14"/>
        <w:szCs w:val="14"/>
      </w:rPr>
      <w:t xml:space="preserve">	Longevidade Celular + P&amp;L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2026-03-16T17:57:27.032Z</dcterms:created>
  <dcterms:modified xsi:type="dcterms:W3CDTF">2026-03-16T17:57:27.033Z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