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Arial" w:cs="Arial" w:eastAsia="Arial" w:hAnsi="Arial"/>
          <w:b/>
          <w:bCs/>
          <w:color w:val="F97316"/>
          <w:spacing w:val="200"/>
          <w:sz w:val="18"/>
          <w:szCs w:val="18"/>
        </w:rPr>
        <w:t xml:space="preserve">CONFIDENCIAL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Femme Lipidic Fire</w:t>
      </w:r>
    </w:p>
    <w:p>
      <w:pPr>
        <w:spacing w:before="80"/>
        <w:jc w:val="center"/>
      </w:pPr>
      <w:r>
        <w:rPr>
          <w:rFonts w:ascii="Arial" w:cs="Arial" w:eastAsia="Arial" w:hAnsi="Arial"/>
          <w:color w:val="F97316"/>
          <w:sz w:val="26"/>
          <w:szCs w:val="26"/>
        </w:rPr>
        <w:t xml:space="preserve">Modulador Lipidico Feminino Sem Estimulantes</w:t>
      </w:r>
    </w:p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Analise estrategica completa + P&amp;L detalhado para investidores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6B6560"/>
          <w:sz w:val="20"/>
          <w:szCs w:val="20"/>
        </w:rPr>
        <w:t xml:space="preserve">Marco 2026</w:t>
      </w:r>
    </w:p>
    <w:p>
      <w:r>
        <w:br w:type="page"/>
      </w:r>
    </w:p>
    <w:p>
      <w:pPr>
        <w:pBdr>
          <w:bottom w:val="single" w:color="F9731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F97316"/>
          <w:sz w:val="28"/>
          <w:szCs w:val="28"/>
        </w:rPr>
        <w:t xml:space="preserve">1. TESE DE INVESTIMENTO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F97316" w:sz="6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4"/>
                <w:szCs w:val="14"/>
              </w:rPr>
              <w:t xml:space="preserve">MERCADO GLOBAL FAT BURNERS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97316"/>
                <w:sz w:val="28"/>
                <w:szCs w:val="28"/>
              </w:rPr>
              <w:t xml:space="preserve">US$ 33B</w:t>
            </w:r>
          </w:p>
          <w:p>
            <w:r>
              <w:rPr>
                <w:rFonts w:ascii="Arial" w:cs="Arial" w:eastAsia="Arial" w:hAnsi="Arial"/>
                <w:color w:val="6B6560"/>
                <w:sz w:val="14"/>
                <w:szCs w:val="14"/>
              </w:rPr>
              <w:t xml:space="preserve">2024, CAGR 14%</w:t>
            </w:r>
          </w:p>
        </w:tc>
        <w:tc>
          <w:tcPr>
            <w:tcW w:type="dxa" w:w="2520"/>
            <w:tcBorders>
              <w:top w:val="single" w:color="EAB308" w:sz="6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4"/>
                <w:szCs w:val="14"/>
              </w:rPr>
              <w:t xml:space="preserve">BRASIL SUPLEMENTOS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EAB308"/>
                <w:sz w:val="28"/>
                <w:szCs w:val="28"/>
              </w:rPr>
              <w:t xml:space="preserve">R$ 10B</w:t>
            </w:r>
          </w:p>
          <w:p>
            <w:r>
              <w:rPr>
                <w:rFonts w:ascii="Arial" w:cs="Arial" w:eastAsia="Arial" w:hAnsi="Arial"/>
                <w:color w:val="6B6560"/>
                <w:sz w:val="14"/>
                <w:szCs w:val="14"/>
              </w:rPr>
              <w:t xml:space="preserve">5o maior do mundo</w:t>
            </w:r>
          </w:p>
        </w:tc>
        <w:tc>
          <w:tcPr>
            <w:tcW w:type="dxa" w:w="2520"/>
            <w:tcBorders>
              <w:top w:val="single" w:color="14B8A6" w:sz="6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4"/>
                <w:szCs w:val="14"/>
              </w:rPr>
              <w:t xml:space="preserve">TERMOGENICOS FEM. BR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4B8A6"/>
                <w:sz w:val="28"/>
                <w:szCs w:val="28"/>
              </w:rPr>
              <w:t xml:space="preserve">4 produtos</w:t>
            </w:r>
          </w:p>
          <w:p>
            <w:r>
              <w:rPr>
                <w:rFonts w:ascii="Arial" w:cs="Arial" w:eastAsia="Arial" w:hAnsi="Arial"/>
                <w:color w:val="6B6560"/>
                <w:sz w:val="14"/>
                <w:szCs w:val="14"/>
              </w:rPr>
              <w:t xml:space="preserve">Todos baseados em cafeina</w:t>
            </w:r>
          </w:p>
        </w:tc>
        <w:tc>
          <w:tcPr>
            <w:tcW w:type="dxa" w:w="2520"/>
            <w:tcBorders>
              <w:top w:val="single" w:color="DC2626" w:sz="6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4"/>
                <w:szCs w:val="14"/>
              </w:rPr>
              <w:t xml:space="preserve">LIPIDIC FIRE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8"/>
                <w:szCs w:val="28"/>
              </w:rPr>
              <w:t xml:space="preserve">ZERO cafeina</w:t>
            </w:r>
          </w:p>
          <w:p>
            <w:r>
              <w:rPr>
                <w:rFonts w:ascii="Arial" w:cs="Arial" w:eastAsia="Arial" w:hAnsi="Arial"/>
                <w:color w:val="6B6560"/>
                <w:sz w:val="14"/>
                <w:szCs w:val="14"/>
              </w:rPr>
              <w:t xml:space="preserve">Nova categoria</w:t>
            </w:r>
          </w:p>
        </w:tc>
      </w:tr>
    </w:tbl>
    <w:p>
      <w:pPr>
        <w:spacing w:before="1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6B6560"/>
          <w:sz w:val="18"/>
          <w:szCs w:val="18"/>
        </w:rPr>
        <w:t xml:space="preserve">O mercado global de suplementos para perda de peso vale US$ 33 bilhoes (2024) e cresce a 14% ao ano. Fat burners sao o maior segmento (44%). No Brasil, termogenicos sao dominados por formulas genericas de cafeina.</w:t>
      </w:r>
    </w:p>
    <w:p>
      <w:pPr>
        <w:spacing w:before="60" w:after="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Femme Lipidic Fire nao e um termogenico. E um Modulador Lipidico. A formulacao combina GlucoVantage (dihydroberberine) + Carnipure (L-carnitina) + EGCG + ALA + Inositol — um stack que atua em 5 vias metabolicas simultaneas, sem cafeina, sem estimulantes, sem taquicardia.</w:t>
      </w:r>
    </w:p>
    <w:p>
      <w:pPr>
        <w:spacing w:before="60" w:after="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Com 40%+ das academias frequentadas por mulheres e 100% dos termogenicos femininos baseados em cafeina, o white space para um modulador lipidico feminino sem estimulantes e imenso e nao atendido.</w:t>
      </w:r>
    </w:p>
    <w:p>
      <w:r>
        <w:br w:type="page"/>
      </w:r>
    </w:p>
    <w:p>
      <w:pPr>
        <w:pBdr>
          <w:bottom w:val="single" w:color="F9731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F97316"/>
          <w:sz w:val="28"/>
          <w:szCs w:val="28"/>
        </w:rPr>
        <w:t xml:space="preserve">2. FORMULACAO HERO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400"/>
        <w:gridCol w:w="2000"/>
        <w:gridCol w:w="2080"/>
      </w:tblGrid>
      <w:tr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Ingrediente</w:t>
            </w:r>
          </w:p>
        </w:tc>
        <w:tc>
          <w:tcPr>
            <w:tcW w:type="dxa" w:w="1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Dose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Mecanismo</w:t>
            </w:r>
          </w:p>
        </w:tc>
        <w:tc>
          <w:tcPr>
            <w:tcW w:type="dxa" w:w="20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Claim</w:t>
            </w:r>
          </w:p>
        </w:tc>
        <w:tc>
          <w:tcPr>
            <w:tcW w:type="dxa" w:w="20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Diferencial</w:t>
            </w:r>
          </w:p>
        </w:tc>
      </w:tr>
      <w:tr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GlucoVantage (DHB)</w:t>
            </w:r>
          </w:p>
        </w:tc>
        <w:tc>
          <w:tcPr>
            <w:tcW w:type="dxa" w:w="1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100-200 mg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Ativacao AMPK + metabolismo glicose</w:t>
            </w:r>
          </w:p>
        </w:tc>
        <w:tc>
          <w:tcPr>
            <w:tcW w:type="dxa" w:w="20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Metabolismo carboidratos</w:t>
            </w:r>
          </w:p>
        </w:tc>
        <w:tc>
          <w:tcPr>
            <w:tcW w:type="dxa" w:w="20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EXCLUSIVO Patenteado</w:t>
            </w:r>
          </w:p>
        </w:tc>
      </w:tr>
      <w:tr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Carnipure L-Carnitina</w:t>
            </w:r>
          </w:p>
        </w:tc>
        <w:tc>
          <w:tcPr>
            <w:tcW w:type="dxa" w:w="1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1.000 mg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Transporte AG para beta-oxidacao</w:t>
            </w:r>
          </w:p>
        </w:tc>
        <w:tc>
          <w:tcPr>
            <w:tcW w:type="dxa" w:w="20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Metabolismo gorduras</w:t>
            </w:r>
          </w:p>
        </w:tc>
        <w:tc>
          <w:tcPr>
            <w:tcW w:type="dxa" w:w="20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EXCLUSIVO Patenteado</w:t>
            </w:r>
          </w:p>
        </w:tc>
      </w:tr>
      <w:tr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EGCG</w:t>
            </w:r>
          </w:p>
        </w:tc>
        <w:tc>
          <w:tcPr>
            <w:tcW w:type="dxa" w:w="1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300 mg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Inibicao COMT + termogenese limpa</w:t>
            </w:r>
          </w:p>
        </w:tc>
        <w:tc>
          <w:tcPr>
            <w:tcW w:type="dxa" w:w="20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Antioxidante</w:t>
            </w:r>
          </w:p>
        </w:tc>
        <w:tc>
          <w:tcPr>
            <w:tcW w:type="dxa" w:w="20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Dose terapeutica</w:t>
            </w:r>
          </w:p>
        </w:tc>
      </w:tr>
      <w:tr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Acido Alfa-Lipoico</w:t>
            </w:r>
          </w:p>
        </w:tc>
        <w:tc>
          <w:tcPr>
            <w:tcW w:type="dxa" w:w="1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200 mg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Cofator mitocondrial + insulina</w:t>
            </w:r>
          </w:p>
        </w:tc>
        <w:tc>
          <w:tcPr>
            <w:tcW w:type="dxa" w:w="20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Antioxidante</w:t>
            </w:r>
          </w:p>
        </w:tc>
        <w:tc>
          <w:tcPr>
            <w:tcW w:type="dxa" w:w="20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Sinergia c/ Sculpt</w:t>
            </w:r>
          </w:p>
        </w:tc>
      </w:tr>
      <w:tr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Inositol</w:t>
            </w:r>
          </w:p>
        </w:tc>
        <w:tc>
          <w:tcPr>
            <w:tcW w:type="dxa" w:w="1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500 mg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Sinalizacao insulinica + SOP</w:t>
            </w:r>
          </w:p>
        </w:tc>
        <w:tc>
          <w:tcPr>
            <w:tcW w:type="dxa" w:w="20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Metabolismo</w:t>
            </w:r>
          </w:p>
        </w:tc>
        <w:tc>
          <w:tcPr>
            <w:tcW w:type="dxa" w:w="20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Feminino-especifico</w:t>
            </w:r>
          </w:p>
        </w:tc>
      </w:tr>
      <w:tr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Magnesio</w:t>
            </w:r>
          </w:p>
        </w:tc>
        <w:tc>
          <w:tcPr>
            <w:tcW w:type="dxa" w:w="1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150 mg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Cofator ATP + enzimas</w:t>
            </w:r>
          </w:p>
        </w:tc>
        <w:tc>
          <w:tcPr>
            <w:tcW w:type="dxa" w:w="20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Neuromuscular</w:t>
            </w:r>
          </w:p>
        </w:tc>
        <w:tc>
          <w:tcPr>
            <w:tcW w:type="dxa" w:w="20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Infraestrutura</w:t>
            </w:r>
          </w:p>
        </w:tc>
      </w:tr>
      <w:tr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Cromo</w:t>
            </w:r>
          </w:p>
        </w:tc>
        <w:tc>
          <w:tcPr>
            <w:tcW w:type="dxa" w:w="1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35 ug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Potenciador insulina</w:t>
            </w:r>
          </w:p>
        </w:tc>
        <w:tc>
          <w:tcPr>
            <w:tcW w:type="dxa" w:w="20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Metabolismo macros</w:t>
            </w:r>
          </w:p>
        </w:tc>
        <w:tc>
          <w:tcPr>
            <w:tcW w:type="dxa" w:w="20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Essencial</w:t>
            </w:r>
          </w:p>
        </w:tc>
      </w:tr>
    </w:tbl>
    <w:p>
      <w:pPr>
        <w:spacing w:before="14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Os 5 Pilares de Acao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97316"/>
          <w:sz w:val="18"/>
          <w:szCs w:val="18"/>
        </w:rPr>
        <w:t xml:space="preserve">1. SENSOR METABOLICO (AMPK): GlucoVantage ativa o sensor de energia celular. Mesma via que metformina e exercicio. Reduz lipogenese hepatica.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4B8A6"/>
          <w:sz w:val="18"/>
          <w:szCs w:val="18"/>
        </w:rPr>
        <w:t xml:space="preserve">2. TRANSPORTE LIPIDICO: Carnipure carrega acidos graxos para a mitocondria onde sao oxidados como energia. Sem carnitina, a gordura nao entra na fornalha celular.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EAB308"/>
          <w:sz w:val="18"/>
          <w:szCs w:val="18"/>
        </w:rPr>
        <w:t xml:space="preserve">3. TERMOGENESE LIMPA: EGCG 300mg aumenta gasto energetico via inibicao de COMT, prolongando norepinefrina. Termogenese real sem cafeina.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B82F6"/>
          <w:sz w:val="18"/>
          <w:szCs w:val="18"/>
        </w:rPr>
        <w:t xml:space="preserve">4. OTIMIZACAO MITOCONDRIAL: ALA 200mg + Magnesio sustentam producao de ATP e protegem mitocondrias de estresse oxidativo.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A855F7"/>
          <w:sz w:val="18"/>
          <w:szCs w:val="18"/>
        </w:rPr>
        <w:t xml:space="preserve">5. EIXO HORMONAL FEMININO: Inositol 500mg + Cromo 35ug modulam insulina e saude ovariana. Relevante para SOP e resistencia insulinica feminina.</w:t>
      </w:r>
    </w:p>
    <w:p>
      <w:r>
        <w:br w:type="page"/>
      </w:r>
    </w:p>
    <w:p>
      <w:pPr>
        <w:pBdr>
          <w:bottom w:val="single" w:color="F9731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F97316"/>
          <w:sz w:val="28"/>
          <w:szCs w:val="28"/>
        </w:rPr>
        <w:t xml:space="preserve">3. COMPARATIVO VS. CONCORRENTES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8"/>
        <w:gridCol w:w="1408"/>
        <w:gridCol w:w="1408"/>
        <w:gridCol w:w="1408"/>
        <w:gridCol w:w="1248"/>
      </w:tblGrid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Atributo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Lipidic Fire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Kimera Woman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Therma Pro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2Hot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Thermo Flame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Cafeina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ZERO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300 mg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285 mg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200 mg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180 mg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GlucoVantage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 100-200mg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L-Carnitina Carnipure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 1.000mg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EGCG dose terapeutica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 300mg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Cha verde (dose?)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Cha verde (dose?)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 200mg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Inositol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 500mg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Cromo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 35ug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Efeitos colaterais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Nenhum esperado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Taquicardia/insonia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Taquicardia/ansiedade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Taquicardia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Taquicardia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Uso noturno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Posicionamento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Modulador Lipidico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Termogenico fem.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Hardcore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Mainstream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Fat burner basico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Ingredientes patenteados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</w:t>
            </w:r>
          </w:p>
        </w:tc>
      </w:tr>
    </w:tbl>
    <w:p>
      <w:pPr>
        <w:spacing w:before="140"/>
      </w:pPr>
    </w:p>
    <w:p>
      <w:pPr>
        <w:spacing w:before="60" w:after="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O Femme Lipidic Fire possui 6 ingredientes ativos exclusivos que NENHUM termogenico concorrente oferece. A unica semelhanca e o cromo (presente no Kimera Woman). Todos os outros sao 100% baseados em cafeina como motor principal.</w:t>
      </w:r>
    </w:p>
    <w:p>
      <w:r>
        <w:br w:type="page"/>
      </w:r>
    </w:p>
    <w:p>
      <w:pPr>
        <w:pBdr>
          <w:bottom w:val="single" w:color="F9731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F97316"/>
          <w:sz w:val="28"/>
          <w:szCs w:val="28"/>
        </w:rPr>
        <w:t xml:space="preserve">4. WHITE SPACE E DIMENSIONAMENTO</w:t>
      </w:r>
    </w:p>
    <w:p>
      <w:pPr>
        <w:spacing w:before="60" w:after="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O mercado de termogenicos brasileiro opera em um unico quadrante: ESTIMULANTE + GENERICO. Todos usam cafeina como motor. Lipidic Fire cria o quadrante vazio de NAO-ESTIMULANTE + FEMININO.</w:t>
      </w:r>
    </w:p>
    <w:p>
      <w:pPr>
        <w:spacing w:before="1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Quadrante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Players Atuais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Estimulante + Generico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Therma Pro, Thermo Flame, Lipo 6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SATURADO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Estimulante + Feminino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Kimera Woman, Sanavita Thermo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POUCO EXPLORADO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Nao-estimulante + Generico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L-Carnitina avulsa, CLA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FRAGMENTADO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Nao-estimulante + Feminino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NENHUM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WHITE SPACE</w:t>
            </w:r>
          </w:p>
        </w:tc>
      </w:tr>
    </w:tbl>
    <w:p>
      <w:pPr>
        <w:spacing w:before="1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F97316" w:sz="6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4"/>
                <w:szCs w:val="14"/>
              </w:rPr>
              <w:t xml:space="preserve">TAM FAT BURNERS BR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97316"/>
                <w:sz w:val="28"/>
                <w:szCs w:val="28"/>
              </w:rPr>
              <w:t xml:space="preserve">R$ 1.8B</w:t>
            </w:r>
          </w:p>
          <w:p>
            <w:r>
              <w:rPr>
                <w:rFonts w:ascii="Arial" w:cs="Arial" w:eastAsia="Arial" w:hAnsi="Arial"/>
                <w:color w:val="6B6560"/>
                <w:sz w:val="14"/>
                <w:szCs w:val="14"/>
              </w:rPr>
              <w:t xml:space="preserve">Estimado 2024</w:t>
            </w:r>
          </w:p>
        </w:tc>
        <w:tc>
          <w:tcPr>
            <w:tcW w:type="dxa" w:w="2520"/>
            <w:tcBorders>
              <w:top w:val="single" w:color="EAB308" w:sz="6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4"/>
                <w:szCs w:val="14"/>
              </w:rPr>
              <w:t xml:space="preserve">SAM (FEM. NAO-ESTIMULANTE)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EAB308"/>
                <w:sz w:val="28"/>
                <w:szCs w:val="28"/>
              </w:rPr>
              <w:t xml:space="preserve">R$ 450M</w:t>
            </w:r>
          </w:p>
          <w:p>
            <w:r>
              <w:rPr>
                <w:rFonts w:ascii="Arial" w:cs="Arial" w:eastAsia="Arial" w:hAnsi="Arial"/>
                <w:color w:val="6B6560"/>
                <w:sz w:val="14"/>
                <w:szCs w:val="14"/>
              </w:rPr>
              <w:t xml:space="preserve">Mulheres sensiveis a cafeina</w:t>
            </w:r>
          </w:p>
        </w:tc>
        <w:tc>
          <w:tcPr>
            <w:tcW w:type="dxa" w:w="2520"/>
            <w:tcBorders>
              <w:top w:val="single" w:color="14B8A6" w:sz="6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4"/>
                <w:szCs w:val="14"/>
              </w:rPr>
              <w:t xml:space="preserve">SOM ANO 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4B8A6"/>
                <w:sz w:val="28"/>
                <w:szCs w:val="28"/>
              </w:rPr>
              <w:t xml:space="preserve">R$ 8-15M</w:t>
            </w:r>
          </w:p>
          <w:p>
            <w:r>
              <w:rPr>
                <w:rFonts w:ascii="Arial" w:cs="Arial" w:eastAsia="Arial" w:hAnsi="Arial"/>
                <w:color w:val="6B6560"/>
                <w:sz w:val="14"/>
                <w:szCs w:val="14"/>
              </w:rPr>
              <w:t xml:space="preserve">1.5-2% SAM</w:t>
            </w:r>
          </w:p>
        </w:tc>
        <w:tc>
          <w:tcPr>
            <w:tcW w:type="dxa" w:w="2520"/>
            <w:tcBorders>
              <w:top w:val="single" w:color="3B82F6" w:sz="6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4"/>
                <w:szCs w:val="14"/>
              </w:rPr>
              <w:t xml:space="preserve">SOM ANO 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3B82F6"/>
                <w:sz w:val="28"/>
                <w:szCs w:val="28"/>
              </w:rPr>
              <w:t xml:space="preserve">R$ 40-70M</w:t>
            </w:r>
          </w:p>
          <w:p>
            <w:r>
              <w:rPr>
                <w:rFonts w:ascii="Arial" w:cs="Arial" w:eastAsia="Arial" w:hAnsi="Arial"/>
                <w:color w:val="6B6560"/>
                <w:sz w:val="14"/>
                <w:szCs w:val="14"/>
              </w:rPr>
              <w:t xml:space="preserve">Expansao linha + canais</w:t>
            </w:r>
          </w:p>
        </w:tc>
      </w:tr>
    </w:tbl>
    <w:p>
      <w:r>
        <w:br w:type="page"/>
      </w:r>
    </w:p>
    <w:p>
      <w:pPr>
        <w:pBdr>
          <w:bottom w:val="single" w:color="F9731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F97316"/>
          <w:sz w:val="28"/>
          <w:szCs w:val="28"/>
        </w:rPr>
        <w:t xml:space="preserve">5. POSICIONAMENTO DE PRECO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680"/>
        <w:gridCol w:w="2160"/>
        <w:gridCol w:w="2880"/>
      </w:tblGrid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Produto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Preco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Formato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R$/dia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Thermo Flame (Black Skull)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R$ 45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120 caps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R$ 0,75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Therma Pro (Integralmedica)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R$ 65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60 caps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R$ 2,17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2Hot (Max Titanium)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R$ 75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60 caps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R$ 2,50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Kimera Woman (Iridium)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R$ 89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60 caps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R$ 2,97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FEMME LIPIDIC FIRE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R$ 139,90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60 caps (30 dias)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R$ 4,66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Lipo 6 Black (Nutrex)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R$ 160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60 caps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R$ 5,33</w:t>
            </w:r>
          </w:p>
        </w:tc>
      </w:tr>
    </w:tbl>
    <w:p>
      <w:pPr>
        <w:spacing w:before="140"/>
      </w:pPr>
    </w:p>
    <w:p>
      <w:pPr>
        <w:spacing w:before="60" w:after="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Preco recomendado: R$ 139,90 por pote de 60 capsulas (30 dias). Posiciona acima de Kimera Woman (+57%) e abaixo de Lipo 6 (-13%). O premium e 100% justificado por 2 ingredientes patenteados + formulacao de 5 vias.</w:t>
      </w:r>
    </w:p>
    <w:p>
      <w:r>
        <w:br w:type="page"/>
      </w:r>
    </w:p>
    <w:p>
      <w:pPr>
        <w:pBdr>
          <w:bottom w:val="single" w:color="F9731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F97316"/>
          <w:sz w:val="28"/>
          <w:szCs w:val="28"/>
        </w:rPr>
        <w:t xml:space="preserve">6. DIFERENCIACAO TECNOLOGICA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GlucoVantage (Dihydroberberine) — Patenteado</w:t>
      </w:r>
    </w:p>
    <w:p>
      <w:pPr>
        <w:spacing w:before="60" w:after="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Forma ativa e patenteada de berberine com 5x mais biodisponibilidade oral. Ativa AMPK — mesma via que metformina e exercicio aerobico. Estudos em resistencia insulinica, NAFLD, sindrome metabolica. Dose: 100-200mg (vs. 1500mg de berberine convencional). Nenhum termogenico no Brasil usa este ingrediente.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Carnipure (L-Carnitina) — Patenteado</w:t>
      </w:r>
    </w:p>
    <w:p>
      <w:pPr>
        <w:spacing w:before="60" w:after="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L-carnitina patenteada pela Lonza (Suica), pureza superior a 99%. Shuttle de acidos graxos para beta-oxidacao mitocondrial. Meta-analises positivas em composicao corporal, especialmente em mulheres. Concorrentes usam L-carnitina generica sem certificacao.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EGCG (300mg) — Dose Terapeutica</w:t>
      </w:r>
    </w:p>
    <w:p>
      <w:pPr>
        <w:spacing w:before="60" w:after="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Catequina principal do cha verde, isolada em dose terapeutica padronizada. Inibe COMT, prolongando norepinefrina e gerando termogenese sem cafeina. Concorrentes usam extrato de cha verde sem padronizar EGCG.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Inositol (500mg) — Feminino-Especifico</w:t>
      </w:r>
    </w:p>
    <w:p>
      <w:pPr>
        <w:spacing w:before="60" w:after="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Segundo mensageiro da insulina com evidencia forte em SOP (Sindrome dos Ovarios Policisticos). ZERO termogenicos incluem. Ingrediente 100% feminino-especifico que nenhum concorrente oferece.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Sinergia de 5 Vias Simultaneas</w:t>
      </w:r>
    </w:p>
    <w:p>
      <w:pPr>
        <w:spacing w:before="60" w:after="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A formulacao atua em AMPK (GlucoVantage) + beta-oxidacao (Carnipure) + termogenese (EGCG) + mitocondria (ALA + Mg) + eixo hormonal (Inositol + Cromo). Esse stack e impossivel de replicar com a logica de cafeina + pimenta dos concorrentes.</w:t>
      </w:r>
    </w:p>
    <w:p>
      <w:r>
        <w:br w:type="page"/>
      </w:r>
    </w:p>
    <w:p>
      <w:pPr>
        <w:pBdr>
          <w:bottom w:val="single" w:color="F9731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F97316"/>
          <w:sz w:val="28"/>
          <w:szCs w:val="28"/>
        </w:rPr>
        <w:t xml:space="preserve">7. ANALISE SWOT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FORCAS</w:t>
      </w:r>
    </w:p>
    <w:p>
      <w:pPr>
        <w:spacing w:before="60" w:after="60"/>
      </w:pPr>
      <w:r>
        <w:rPr>
          <w:rFonts w:ascii="Arial" w:cs="Arial" w:eastAsia="Arial" w:hAnsi="Arial"/>
          <w:color w:val="14B8A6"/>
          <w:sz w:val="18"/>
          <w:szCs w:val="18"/>
        </w:rPr>
        <w:t xml:space="preserve">  &gt;  Zero cafeina = zero efeitos colaterais estimulantes</w:t>
      </w:r>
    </w:p>
    <w:p>
      <w:pPr>
        <w:spacing w:before="60" w:after="60"/>
      </w:pPr>
      <w:r>
        <w:rPr>
          <w:rFonts w:ascii="Arial" w:cs="Arial" w:eastAsia="Arial" w:hAnsi="Arial"/>
          <w:color w:val="14B8A6"/>
          <w:sz w:val="18"/>
          <w:szCs w:val="18"/>
        </w:rPr>
        <w:t xml:space="preserve">  &gt;  2 ingredientes patenteados (GlucoVantage + Carnipure)</w:t>
      </w:r>
    </w:p>
    <w:p>
      <w:pPr>
        <w:spacing w:before="60" w:after="60"/>
      </w:pPr>
      <w:r>
        <w:rPr>
          <w:rFonts w:ascii="Arial" w:cs="Arial" w:eastAsia="Arial" w:hAnsi="Arial"/>
          <w:color w:val="14B8A6"/>
          <w:sz w:val="18"/>
          <w:szCs w:val="18"/>
        </w:rPr>
        <w:t xml:space="preserve">  &gt;  5 vias de acao simultaneas (AMPK, beta-oxidacao, termogenese, mitocondria, hormonal)</w:t>
      </w:r>
    </w:p>
    <w:p>
      <w:pPr>
        <w:spacing w:before="60" w:after="60"/>
      </w:pPr>
      <w:r>
        <w:rPr>
          <w:rFonts w:ascii="Arial" w:cs="Arial" w:eastAsia="Arial" w:hAnsi="Arial"/>
          <w:color w:val="14B8A6"/>
          <w:sz w:val="18"/>
          <w:szCs w:val="18"/>
        </w:rPr>
        <w:t xml:space="preserve">  &gt;  Inositol e 100% feminino-especifico (SOP)</w:t>
      </w:r>
    </w:p>
    <w:p>
      <w:pPr>
        <w:spacing w:before="60" w:after="60"/>
      </w:pPr>
      <w:r>
        <w:rPr>
          <w:rFonts w:ascii="Arial" w:cs="Arial" w:eastAsia="Arial" w:hAnsi="Arial"/>
          <w:color w:val="14B8A6"/>
          <w:sz w:val="18"/>
          <w:szCs w:val="18"/>
        </w:rPr>
        <w:t xml:space="preserve">  &gt;  Pode ser tomado a noite (diferencial enorme)</w:t>
      </w:r>
    </w:p>
    <w:p>
      <w:pPr>
        <w:spacing w:before="60" w:after="60"/>
      </w:pPr>
      <w:r>
        <w:rPr>
          <w:rFonts w:ascii="Arial" w:cs="Arial" w:eastAsia="Arial" w:hAnsi="Arial"/>
          <w:color w:val="14B8A6"/>
          <w:sz w:val="18"/>
          <w:szCs w:val="18"/>
        </w:rPr>
        <w:t xml:space="preserve">  &gt;  Sinergia com Femme Sculpt (mesmo hub metabolico)</w:t>
      </w:r>
    </w:p>
    <w:p>
      <w:pPr>
        <w:spacing w:before="60" w:after="60"/>
      </w:pPr>
      <w:r>
        <w:rPr>
          <w:rFonts w:ascii="Arial" w:cs="Arial" w:eastAsia="Arial" w:hAnsi="Arial"/>
          <w:color w:val="14B8A6"/>
          <w:sz w:val="18"/>
          <w:szCs w:val="18"/>
        </w:rPr>
        <w:t xml:space="preserve">  &gt;  Nova categoria mental: Modulador Lipidico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FRAQUEZAS</w:t>
      </w:r>
    </w:p>
    <w:p>
      <w:pPr>
        <w:spacing w:before="60" w:after="60"/>
      </w:pPr>
      <w:r>
        <w:rPr>
          <w:rFonts w:ascii="Arial" w:cs="Arial" w:eastAsia="Arial" w:hAnsi="Arial"/>
          <w:color w:val="DC2626"/>
          <w:sz w:val="18"/>
          <w:szCs w:val="18"/>
        </w:rPr>
        <w:t xml:space="preserve">  &gt;  Marca nova sem historico de mercado</w:t>
      </w:r>
    </w:p>
    <w:p>
      <w:pPr>
        <w:spacing w:before="60" w:after="60"/>
      </w:pPr>
      <w:r>
        <w:rPr>
          <w:rFonts w:ascii="Arial" w:cs="Arial" w:eastAsia="Arial" w:hAnsi="Arial"/>
          <w:color w:val="DC2626"/>
          <w:sz w:val="18"/>
          <w:szCs w:val="18"/>
        </w:rPr>
        <w:t xml:space="preserve">  &gt;  Ausencia de cafeina pode ser percebida como fraqueza pelo leigo</w:t>
      </w:r>
    </w:p>
    <w:p>
      <w:pPr>
        <w:spacing w:before="60" w:after="60"/>
      </w:pPr>
      <w:r>
        <w:rPr>
          <w:rFonts w:ascii="Arial" w:cs="Arial" w:eastAsia="Arial" w:hAnsi="Arial"/>
          <w:color w:val="DC2626"/>
          <w:sz w:val="18"/>
          <w:szCs w:val="18"/>
        </w:rPr>
        <w:t xml:space="preserve">  &gt;  Ingredientes patenteados elevam COGS</w:t>
      </w:r>
    </w:p>
    <w:p>
      <w:pPr>
        <w:spacing w:before="60" w:after="60"/>
      </w:pPr>
      <w:r>
        <w:rPr>
          <w:rFonts w:ascii="Arial" w:cs="Arial" w:eastAsia="Arial" w:hAnsi="Arial"/>
          <w:color w:val="DC2626"/>
          <w:sz w:val="18"/>
          <w:szCs w:val="18"/>
        </w:rPr>
        <w:t xml:space="preserve">  &gt;  Educacao de mercado necessaria (AMPK, GlucoVantage desconhecidos)</w:t>
      </w:r>
    </w:p>
    <w:p>
      <w:pPr>
        <w:spacing w:before="60" w:after="60"/>
      </w:pPr>
      <w:r>
        <w:rPr>
          <w:rFonts w:ascii="Arial" w:cs="Arial" w:eastAsia="Arial" w:hAnsi="Arial"/>
          <w:color w:val="DC2626"/>
          <w:sz w:val="18"/>
          <w:szCs w:val="18"/>
        </w:rPr>
        <w:t xml:space="preserve">  &gt;  Resultados menos sentidos imediatamente vs. cafeina (sem buzz)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OPORTUNIDADES</w:t>
      </w:r>
    </w:p>
    <w:p>
      <w:pPr>
        <w:spacing w:before="60" w:after="60"/>
      </w:pPr>
      <w:r>
        <w:rPr>
          <w:rFonts w:ascii="Arial" w:cs="Arial" w:eastAsia="Arial" w:hAnsi="Arial"/>
          <w:color w:val="3B82F6"/>
          <w:sz w:val="18"/>
          <w:szCs w:val="18"/>
        </w:rPr>
        <w:t xml:space="preserve">  &gt;  100% dos termogenicos femininos sao cafeina-based — zero concorrencia direta</w:t>
      </w:r>
    </w:p>
    <w:p>
      <w:pPr>
        <w:spacing w:before="60" w:after="60"/>
      </w:pPr>
      <w:r>
        <w:rPr>
          <w:rFonts w:ascii="Arial" w:cs="Arial" w:eastAsia="Arial" w:hAnsi="Arial"/>
          <w:color w:val="3B82F6"/>
          <w:sz w:val="18"/>
          <w:szCs w:val="18"/>
        </w:rPr>
        <w:t xml:space="preserve">  &gt;  Era GLP-1 (Ozempic) criou awareness sobre metabolismo lipidico</w:t>
      </w:r>
    </w:p>
    <w:p>
      <w:pPr>
        <w:spacing w:before="60" w:after="60"/>
      </w:pPr>
      <w:r>
        <w:rPr>
          <w:rFonts w:ascii="Arial" w:cs="Arial" w:eastAsia="Arial" w:hAnsi="Arial"/>
          <w:color w:val="3B82F6"/>
          <w:sz w:val="18"/>
          <w:szCs w:val="18"/>
        </w:rPr>
        <w:t xml:space="preserve">  &gt;  Canal de prescricao (nutris, endocrinos) ideal para produto tecnico</w:t>
      </w:r>
    </w:p>
    <w:p>
      <w:pPr>
        <w:spacing w:before="60" w:after="60"/>
      </w:pPr>
      <w:r>
        <w:rPr>
          <w:rFonts w:ascii="Arial" w:cs="Arial" w:eastAsia="Arial" w:hAnsi="Arial"/>
          <w:color w:val="3B82F6"/>
          <w:sz w:val="18"/>
          <w:szCs w:val="18"/>
        </w:rPr>
        <w:t xml:space="preserve">  &gt;  Cross-sell com Femme Sculpt (stack completo)</w:t>
      </w:r>
    </w:p>
    <w:p>
      <w:pPr>
        <w:spacing w:before="60" w:after="60"/>
      </w:pPr>
      <w:r>
        <w:rPr>
          <w:rFonts w:ascii="Arial" w:cs="Arial" w:eastAsia="Arial" w:hAnsi="Arial"/>
          <w:color w:val="3B82F6"/>
          <w:sz w:val="18"/>
          <w:szCs w:val="18"/>
        </w:rPr>
        <w:t xml:space="preserve">  &gt;  Publico SOP e enorme e mal atendido no Brasil</w:t>
      </w:r>
    </w:p>
    <w:p>
      <w:pPr>
        <w:spacing w:before="60" w:after="60"/>
      </w:pPr>
      <w:r>
        <w:rPr>
          <w:rFonts w:ascii="Arial" w:cs="Arial" w:eastAsia="Arial" w:hAnsi="Arial"/>
          <w:color w:val="3B82F6"/>
          <w:sz w:val="18"/>
          <w:szCs w:val="18"/>
        </w:rPr>
        <w:t xml:space="preserve">  &gt;  Mulheres 50+ buscam manejo metabolico sem estimulantes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AMEACAS</w:t>
      </w:r>
    </w:p>
    <w:p>
      <w:pPr>
        <w:spacing w:before="60" w:after="60"/>
      </w:pPr>
      <w:r>
        <w:rPr>
          <w:rFonts w:ascii="Arial" w:cs="Arial" w:eastAsia="Arial" w:hAnsi="Arial"/>
          <w:color w:val="F97316"/>
          <w:sz w:val="18"/>
          <w:szCs w:val="18"/>
        </w:rPr>
        <w:t xml:space="preserve">  &gt;  Grupos grandes (BRG, Supley) podem lancar versao sem cafeina</w:t>
      </w:r>
    </w:p>
    <w:p>
      <w:pPr>
        <w:spacing w:before="60" w:after="60"/>
      </w:pPr>
      <w:r>
        <w:rPr>
          <w:rFonts w:ascii="Arial" w:cs="Arial" w:eastAsia="Arial" w:hAnsi="Arial"/>
          <w:color w:val="F97316"/>
          <w:sz w:val="18"/>
          <w:szCs w:val="18"/>
        </w:rPr>
        <w:t xml:space="preserve">  &gt;  Consumidora pode preferir sentir o produto (efeito placebo cafeina)</w:t>
      </w:r>
    </w:p>
    <w:p>
      <w:pPr>
        <w:spacing w:before="60" w:after="60"/>
      </w:pPr>
      <w:r>
        <w:rPr>
          <w:rFonts w:ascii="Arial" w:cs="Arial" w:eastAsia="Arial" w:hAnsi="Arial"/>
          <w:color w:val="F97316"/>
          <w:sz w:val="18"/>
          <w:szCs w:val="18"/>
        </w:rPr>
        <w:t xml:space="preserve">  &gt;  Regulacao ANVISA sobre claims de berberine</w:t>
      </w:r>
    </w:p>
    <w:p>
      <w:pPr>
        <w:spacing w:before="60" w:after="60"/>
      </w:pPr>
      <w:r>
        <w:rPr>
          <w:rFonts w:ascii="Arial" w:cs="Arial" w:eastAsia="Arial" w:hAnsi="Arial"/>
          <w:color w:val="F97316"/>
          <w:sz w:val="18"/>
          <w:szCs w:val="18"/>
        </w:rPr>
        <w:t xml:space="preserve">  &gt;  Custo de materia-prima patenteada sujeito a cambio</w:t>
      </w:r>
    </w:p>
    <w:p>
      <w:pPr>
        <w:spacing w:before="60" w:after="60"/>
      </w:pPr>
      <w:r>
        <w:rPr>
          <w:rFonts w:ascii="Arial" w:cs="Arial" w:eastAsia="Arial" w:hAnsi="Arial"/>
          <w:color w:val="F97316"/>
          <w:sz w:val="18"/>
          <w:szCs w:val="18"/>
        </w:rPr>
        <w:t xml:space="preserve">  &gt;  Suplementos de berberine generica podem confundir o mercado</w:t>
      </w:r>
    </w:p>
    <w:p>
      <w:r>
        <w:br w:type="page"/>
      </w:r>
    </w:p>
    <w:p>
      <w:pPr>
        <w:pBdr>
          <w:bottom w:val="single" w:color="F9731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F97316"/>
          <w:sz w:val="28"/>
          <w:szCs w:val="28"/>
        </w:rPr>
        <w:t xml:space="preserve">8. CANAIS &amp; GO-TO-MARKET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2880"/>
        <w:gridCol w:w="1800"/>
        <w:gridCol w:w="2160"/>
      </w:tblGrid>
      <w:tr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Periodo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Canal</w:t>
            </w:r>
          </w:p>
        </w:tc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Meta un/mes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Budget</w:t>
            </w:r>
          </w:p>
        </w:tc>
      </w:tr>
      <w:tr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1. Lancamento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Mes 1-6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D2C + Social (IG/TikTok)</w:t>
            </w:r>
          </w:p>
        </w:tc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800-2.000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R$ 200-400K</w:t>
            </w:r>
          </w:p>
        </w:tc>
      </w:tr>
      <w:tr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Tracao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Mes 6-12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D2C + Marketplaces + Farmacias</w:t>
            </w:r>
          </w:p>
        </w:tc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3.000-6.000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R$ 600K-1M</w:t>
            </w:r>
          </w:p>
        </w:tc>
      </w:tr>
      <w:tr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Escala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2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Omnichannel + B2B clinicas</w:t>
            </w:r>
          </w:p>
        </w:tc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10.000-20.000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R$ 2-3M</w:t>
            </w:r>
          </w:p>
        </w:tc>
      </w:tr>
      <w:tr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Dominio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3+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Multi-canal + Internacional</w:t>
            </w:r>
          </w:p>
        </w:tc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25.000+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Reinvestimento</w:t>
            </w:r>
          </w:p>
        </w:tc>
      </w:tr>
    </w:tbl>
    <w:p>
      <w:pPr>
        <w:spacing w:before="14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Cross-Sell com Femme Sculpt</w:t>
      </w:r>
    </w:p>
    <w:p>
      <w:pPr>
        <w:spacing w:before="60" w:after="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Lipidic Fire (modulacao lipidica) + Sculpt (preservacao muscular) formam o Hub Metabolico Feminino. ALA e Magnesio aparecem em ambos. Taxa de cross-sell estimada: 25-35% das clientes.</w:t>
      </w:r>
    </w:p>
    <w:p>
      <w:r>
        <w:br w:type="page"/>
      </w:r>
    </w:p>
    <w:p>
      <w:pPr>
        <w:pBdr>
          <w:bottom w:val="single" w:color="F9731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F97316"/>
          <w:sz w:val="28"/>
          <w:szCs w:val="28"/>
        </w:rPr>
        <w:t xml:space="preserve">9. MOAT &amp; DEFENSIBILIDADE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6240"/>
      </w:tblGrid>
      <w:tr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Fonte de Moat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Intensidade</w:t>
            </w:r>
          </w:p>
        </w:tc>
        <w:tc>
          <w:tcPr>
            <w:tcW w:type="dxa" w:w="62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Descricao</w:t>
            </w:r>
          </w:p>
        </w:tc>
      </w:tr>
      <w:tr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Ingredientes Patenteados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FORTE</w:t>
            </w:r>
          </w:p>
        </w:tc>
        <w:tc>
          <w:tcPr>
            <w:tcW w:type="dxa" w:w="62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GlucoVantage (NNB Nutrition) e Carnipure (Lonza) com patente e fornecedor unico. Barreira legal + tecnica.</w:t>
            </w:r>
          </w:p>
        </w:tc>
      </w:tr>
      <w:tr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Categoria Nova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FORTE</w:t>
            </w:r>
          </w:p>
        </w:tc>
        <w:tc>
          <w:tcPr>
            <w:tcW w:type="dxa" w:w="62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Modulador Lipidico Feminino Sem Estimulantes e categoria inedita. First-mover em branding.</w:t>
            </w:r>
          </w:p>
        </w:tc>
      </w:tr>
      <w:tr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Ecossistema (Hub)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FORTE</w:t>
            </w:r>
          </w:p>
        </w:tc>
        <w:tc>
          <w:tcPr>
            <w:tcW w:type="dxa" w:w="62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Lipidic Fire + Femme Sculpt + futuros SKUs formam sistema. Lock-in via stack sinergico.</w:t>
            </w:r>
          </w:p>
        </w:tc>
      </w:tr>
      <w:tr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Prescricao Medica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CONSTRUIVEL</w:t>
            </w:r>
          </w:p>
        </w:tc>
        <w:tc>
          <w:tcPr>
            <w:tcW w:type="dxa" w:w="62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Nutricionistas e endocrinologistas sao canal ideal para produto tecnico sem estimulantes.</w:t>
            </w:r>
          </w:p>
        </w:tc>
      </w:tr>
      <w:tr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Educacao / Conteudo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CONSTRUIVEL</w:t>
            </w:r>
          </w:p>
        </w:tc>
        <w:tc>
          <w:tcPr>
            <w:tcW w:type="dxa" w:w="62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Conteudo cientifico sobre AMPK e metabolismo lipidico posiciona marca como autoridade.</w:t>
            </w:r>
          </w:p>
        </w:tc>
      </w:tr>
    </w:tbl>
    <w:p>
      <w:r>
        <w:br w:type="page"/>
      </w:r>
    </w:p>
    <w:p>
      <w:pPr>
        <w:pBdr>
          <w:bottom w:val="single" w:color="F9731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F97316"/>
          <w:sz w:val="28"/>
          <w:szCs w:val="28"/>
        </w:rPr>
        <w:t xml:space="preserve">10. DRE / P&amp;L PROJETADA — 5 ANOS (R$ mil)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F97316" w:sz="6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4"/>
                <w:szCs w:val="14"/>
              </w:rPr>
              <w:t xml:space="preserve">INVESTIMENTO SEED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97316"/>
                <w:sz w:val="28"/>
                <w:szCs w:val="28"/>
              </w:rPr>
              <w:t xml:space="preserve">R$ 2.8M</w:t>
            </w:r>
          </w:p>
          <w:p>
            <w:r>
              <w:rPr>
                <w:rFonts w:ascii="Arial" w:cs="Arial" w:eastAsia="Arial" w:hAnsi="Arial"/>
                <w:color w:val="6B6560"/>
                <w:sz w:val="14"/>
                <w:szCs w:val="14"/>
              </w:rPr>
              <w:t xml:space="preserve">Capital adicional</w:t>
            </w:r>
          </w:p>
        </w:tc>
        <w:tc>
          <w:tcPr>
            <w:tcW w:type="dxa" w:w="2520"/>
            <w:tcBorders>
              <w:top w:val="single" w:color="14B8A6" w:sz="6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4"/>
                <w:szCs w:val="14"/>
              </w:rPr>
              <w:t xml:space="preserve">BREAK-EVEN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4B8A6"/>
                <w:sz w:val="28"/>
                <w:szCs w:val="28"/>
              </w:rPr>
              <w:t xml:space="preserve">Mes 15</w:t>
            </w:r>
          </w:p>
          <w:p>
            <w:r>
              <w:rPr>
                <w:rFonts w:ascii="Arial" w:cs="Arial" w:eastAsia="Arial" w:hAnsi="Arial"/>
                <w:color w:val="6B6560"/>
                <w:sz w:val="14"/>
                <w:szCs w:val="14"/>
              </w:rPr>
              <w:t xml:space="preserve">EBITDA positivo</w:t>
            </w:r>
          </w:p>
        </w:tc>
        <w:tc>
          <w:tcPr>
            <w:tcW w:type="dxa" w:w="2520"/>
            <w:tcBorders>
              <w:top w:val="single" w:color="EAB308" w:sz="6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4"/>
                <w:szCs w:val="14"/>
              </w:rPr>
              <w:t xml:space="preserve">RECEITA ANO 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EAB308"/>
                <w:sz w:val="28"/>
                <w:szCs w:val="28"/>
              </w:rPr>
              <w:t xml:space="preserve">R$ 38.4M</w:t>
            </w:r>
          </w:p>
          <w:p>
            <w:r>
              <w:rPr>
                <w:rFonts w:ascii="Arial" w:cs="Arial" w:eastAsia="Arial" w:hAnsi="Arial"/>
                <w:color w:val="6B6560"/>
                <w:sz w:val="14"/>
                <w:szCs w:val="14"/>
              </w:rPr>
              <w:t xml:space="preserve">Cenario base</w:t>
            </w:r>
          </w:p>
        </w:tc>
        <w:tc>
          <w:tcPr>
            <w:tcW w:type="dxa" w:w="2520"/>
            <w:tcBorders>
              <w:top w:val="single" w:color="3B82F6" w:sz="6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60"/>
                <w:sz w:val="14"/>
                <w:szCs w:val="14"/>
              </w:rPr>
              <w:t xml:space="preserve">EBITDA ANO 5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3B82F6"/>
                <w:sz w:val="28"/>
                <w:szCs w:val="28"/>
              </w:rPr>
              <w:t xml:space="preserve">R$ 45.6M</w:t>
            </w:r>
          </w:p>
          <w:p>
            <w:r>
              <w:rPr>
                <w:rFonts w:ascii="Arial" w:cs="Arial" w:eastAsia="Arial" w:hAnsi="Arial"/>
                <w:color w:val="6B6560"/>
                <w:sz w:val="14"/>
                <w:szCs w:val="14"/>
              </w:rPr>
              <w:t xml:space="preserve">Margem 50%</w:t>
            </w:r>
          </w:p>
        </w:tc>
      </w:tr>
    </w:tbl>
    <w:p>
      <w:pPr>
        <w:spacing w:before="1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8"/>
        <w:gridCol w:w="1408"/>
        <w:gridCol w:w="1408"/>
        <w:gridCol w:w="1408"/>
        <w:gridCol w:w="1248"/>
      </w:tblGrid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ANO 1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ANO 2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ANO 3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ANO 4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ANO 5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RECEITA BRUTA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3.780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13.440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38.400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67.200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100.800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ind w:left="360"/>
              <w:jc w:val="left"/>
            </w:pPr>
            <w:r>
              <w:rPr>
                <w:rFonts w:ascii="Arial" w:cs="Arial" w:eastAsia="Arial" w:hAnsi="Arial"/>
                <w:color w:val="6B6560"/>
                <w:sz w:val="18"/>
                <w:szCs w:val="18"/>
              </w:rPr>
              <w:t xml:space="preserve">Unidades vendidas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27.000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96.000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274.300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480.000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720.000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ind w:left="360"/>
              <w:jc w:val="left"/>
            </w:pPr>
            <w:r>
              <w:rPr>
                <w:rFonts w:ascii="Arial" w:cs="Arial" w:eastAsia="Arial" w:hAnsi="Arial"/>
                <w:color w:val="6B6560"/>
                <w:sz w:val="18"/>
                <w:szCs w:val="18"/>
              </w:rPr>
              <w:t xml:space="preserve">Preco liquido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R$ 117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R$ 117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R$ 117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R$ 117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R$ 117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ind w:left="360"/>
              <w:jc w:val="left"/>
            </w:pPr>
            <w:r>
              <w:rPr>
                <w:rFonts w:ascii="Arial" w:cs="Arial" w:eastAsia="Arial" w:hAnsi="Arial"/>
                <w:color w:val="6B6560"/>
                <w:sz w:val="18"/>
                <w:szCs w:val="18"/>
              </w:rPr>
              <w:t xml:space="preserve">SKUs ativos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(-) Impostos s/ receita (9%)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(340)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(1.210)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(3.456)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(6.048)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(9.072)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RECEITA LIQUIDA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3.440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12.230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34.944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61.152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91.728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(-) COGS TOTAL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(1.215)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(3.840)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(10.297)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(17.280)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(24.480)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ind w:left="360"/>
              <w:jc w:val="left"/>
            </w:pPr>
            <w:r>
              <w:rPr>
                <w:rFonts w:ascii="Arial" w:cs="Arial" w:eastAsia="Arial" w:hAnsi="Arial"/>
                <w:color w:val="6B6560"/>
                <w:sz w:val="18"/>
                <w:szCs w:val="18"/>
              </w:rPr>
              <w:t xml:space="preserve">Materia-prima (R$ 35/un)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(945)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(2.880)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(7.680)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(12.960)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(18.000)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ind w:left="360"/>
              <w:jc w:val="left"/>
            </w:pPr>
            <w:r>
              <w:rPr>
                <w:rFonts w:ascii="Arial" w:cs="Arial" w:eastAsia="Arial" w:hAnsi="Arial"/>
                <w:color w:val="6B6560"/>
                <w:sz w:val="18"/>
                <w:szCs w:val="18"/>
              </w:rPr>
              <w:t xml:space="preserve">Embalagem + fabricacao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(270)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(960)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(2.617)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(4.320)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(6.480)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LUCRO BRUTO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2.225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8.390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24.647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43.872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67.248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ind w:left="360"/>
              <w:jc w:val="left"/>
            </w:pPr>
            <w:r>
              <w:rPr>
                <w:rFonts w:ascii="Arial" w:cs="Arial" w:eastAsia="Arial" w:hAnsi="Arial"/>
                <w:color w:val="6B6560"/>
                <w:sz w:val="18"/>
                <w:szCs w:val="18"/>
              </w:rPr>
              <w:t xml:space="preserve">Margem bruta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64,7%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68,6%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70,5%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71,7%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73,3%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(-) DESPESAS OPERACIONAIS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(3.600)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(7.200)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(12.480)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(16.560)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(21.600)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ind w:left="360"/>
              <w:jc w:val="left"/>
            </w:pPr>
            <w:r>
              <w:rPr>
                <w:rFonts w:ascii="Arial" w:cs="Arial" w:eastAsia="Arial" w:hAnsi="Arial"/>
                <w:color w:val="6B6560"/>
                <w:sz w:val="18"/>
                <w:szCs w:val="18"/>
              </w:rPr>
              <w:t xml:space="preserve">Marketing &amp; Vendas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(1.800)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(3.600)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(6.120)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(8.280)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(10.800)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ind w:left="720"/>
              <w:jc w:val="left"/>
            </w:pPr>
            <w:r>
              <w:rPr>
                <w:rFonts w:ascii="Arial" w:cs="Arial" w:eastAsia="Arial" w:hAnsi="Arial"/>
                <w:color w:val="6B6560"/>
                <w:sz w:val="16"/>
                <w:szCs w:val="16"/>
              </w:rPr>
              <w:t xml:space="preserve">Midia paga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6"/>
                <w:szCs w:val="16"/>
              </w:rPr>
              <w:t xml:space="preserve">(900)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6"/>
                <w:szCs w:val="16"/>
              </w:rPr>
              <w:t xml:space="preserve">(1.800)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6"/>
                <w:szCs w:val="16"/>
              </w:rPr>
              <w:t xml:space="preserve">(3.060)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6"/>
                <w:szCs w:val="16"/>
              </w:rPr>
              <w:t xml:space="preserve">(4.140)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6"/>
                <w:szCs w:val="16"/>
              </w:rPr>
              <w:t xml:space="preserve">(5.400)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ind w:left="720"/>
              <w:jc w:val="left"/>
            </w:pPr>
            <w:r>
              <w:rPr>
                <w:rFonts w:ascii="Arial" w:cs="Arial" w:eastAsia="Arial" w:hAnsi="Arial"/>
                <w:color w:val="6B6560"/>
                <w:sz w:val="16"/>
                <w:szCs w:val="16"/>
              </w:rPr>
              <w:t xml:space="preserve">Influenciadoras + embaixadoras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6"/>
                <w:szCs w:val="16"/>
              </w:rPr>
              <w:t xml:space="preserve">(480)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6"/>
                <w:szCs w:val="16"/>
              </w:rPr>
              <w:t xml:space="preserve">(960)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6"/>
                <w:szCs w:val="16"/>
              </w:rPr>
              <w:t xml:space="preserve">(1.440)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6"/>
                <w:szCs w:val="16"/>
              </w:rPr>
              <w:t xml:space="preserve">(1.920)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6"/>
                <w:szCs w:val="16"/>
              </w:rPr>
              <w:t xml:space="preserve">(2.400)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ind w:left="720"/>
              <w:jc w:val="left"/>
            </w:pPr>
            <w:r>
              <w:rPr>
                <w:rFonts w:ascii="Arial" w:cs="Arial" w:eastAsia="Arial" w:hAnsi="Arial"/>
                <w:color w:val="6B6560"/>
                <w:sz w:val="16"/>
                <w:szCs w:val="16"/>
              </w:rPr>
              <w:t xml:space="preserve">Nutricionistas + endocrinos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6"/>
                <w:szCs w:val="16"/>
              </w:rPr>
              <w:t xml:space="preserve">(180)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6"/>
                <w:szCs w:val="16"/>
              </w:rPr>
              <w:t xml:space="preserve">(360)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6"/>
                <w:szCs w:val="16"/>
              </w:rPr>
              <w:t xml:space="preserve">(720)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6"/>
                <w:szCs w:val="16"/>
              </w:rPr>
              <w:t xml:space="preserve">(960)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6"/>
                <w:szCs w:val="16"/>
              </w:rPr>
              <w:t xml:space="preserve">(1.200)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ind w:left="720"/>
              <w:jc w:val="left"/>
            </w:pPr>
            <w:r>
              <w:rPr>
                <w:rFonts w:ascii="Arial" w:cs="Arial" w:eastAsia="Arial" w:hAnsi="Arial"/>
                <w:color w:val="6B6560"/>
                <w:sz w:val="16"/>
                <w:szCs w:val="16"/>
              </w:rPr>
              <w:t xml:space="preserve">Trade + frete + sampling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6"/>
                <w:szCs w:val="16"/>
              </w:rPr>
              <w:t xml:space="preserve">(240)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6"/>
                <w:szCs w:val="16"/>
              </w:rPr>
              <w:t xml:space="preserve">(480)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6"/>
                <w:szCs w:val="16"/>
              </w:rPr>
              <w:t xml:space="preserve">(900)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6"/>
                <w:szCs w:val="16"/>
              </w:rPr>
              <w:t xml:space="preserve">(1.260)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6"/>
                <w:szCs w:val="16"/>
              </w:rPr>
              <w:t xml:space="preserve">(1.800)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ind w:left="360"/>
              <w:jc w:val="left"/>
            </w:pPr>
            <w:r>
              <w:rPr>
                <w:rFonts w:ascii="Arial" w:cs="Arial" w:eastAsia="Arial" w:hAnsi="Arial"/>
                <w:color w:val="6B6560"/>
                <w:sz w:val="18"/>
                <w:szCs w:val="18"/>
              </w:rPr>
              <w:t xml:space="preserve">Pessoas (Headcount)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(1.080)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(2.160)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(3.960)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(5.280)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(6.720)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ind w:left="360"/>
              <w:jc w:val="left"/>
            </w:pPr>
            <w:r>
              <w:rPr>
                <w:rFonts w:ascii="Arial" w:cs="Arial" w:eastAsia="Arial" w:hAnsi="Arial"/>
                <w:color w:val="6B6560"/>
                <w:sz w:val="18"/>
                <w:szCs w:val="18"/>
              </w:rPr>
              <w:t xml:space="preserve">G&amp;A + Tech + P&amp;D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(720)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(1.440)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(2.400)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(3.000)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(4.080)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EBITDA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(1.375)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1.190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12.167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27.312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45.648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ind w:left="360"/>
              <w:jc w:val="left"/>
            </w:pPr>
            <w:r>
              <w:rPr>
                <w:rFonts w:ascii="Arial" w:cs="Arial" w:eastAsia="Arial" w:hAnsi="Arial"/>
                <w:color w:val="6B6560"/>
                <w:sz w:val="18"/>
                <w:szCs w:val="18"/>
              </w:rPr>
              <w:t xml:space="preserve">Margem EBITDA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-40,0%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9,7%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34,8%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44,7%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49,7%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(-) D&amp;A + IR/CSLL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(190)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(2.880)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(6.528)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(13.195)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LUCRO LIQUIDO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(1.375)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1.000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9.287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20.784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32.453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ind w:left="360"/>
              <w:jc w:val="left"/>
            </w:pPr>
            <w:r>
              <w:rPr>
                <w:rFonts w:ascii="Arial" w:cs="Arial" w:eastAsia="Arial" w:hAnsi="Arial"/>
                <w:color w:val="6B6560"/>
                <w:sz w:val="18"/>
                <w:szCs w:val="18"/>
              </w:rPr>
              <w:t xml:space="preserve">Margem liquida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-40,0%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8,2%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26,6%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34,0%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35,4%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FLUXO CAIXA ACUMULADO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(1.375)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(375)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8.912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29.696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62.149</w:t>
            </w:r>
          </w:p>
        </w:tc>
      </w:tr>
    </w:tbl>
    <w:p>
      <w:pPr>
        <w:spacing w:before="14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Premissas: Pote 60 caps (30 dias), preco cheio R$ 139,90, liquido R$ 117. COGS R$ 45/un (Ano 1) caindo para R$ 34/un (Ano 5). Marketing 48% para 11% da receita. Headcount 5 para 20. Asset-light. Cross-sell com Sculpt nao modelado separadamente.</w:t>
      </w:r>
    </w:p>
    <w:p>
      <w:r>
        <w:br w:type="page"/>
      </w:r>
    </w:p>
    <w:p>
      <w:pPr>
        <w:pBdr>
          <w:bottom w:val="single" w:color="F9731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F97316"/>
          <w:sz w:val="28"/>
          <w:szCs w:val="28"/>
        </w:rPr>
        <w:t xml:space="preserve">11. COGS UNITARIO DETALHADO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60"/>
        <w:gridCol w:w="1660"/>
        <w:gridCol w:w="1660"/>
        <w:gridCol w:w="2300"/>
      </w:tblGrid>
      <w:tr>
        <w:tc>
          <w:tcPr>
            <w:tcW w:type="dxa" w:w="2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Ingrediente</w:t>
            </w:r>
          </w:p>
        </w:tc>
        <w:tc>
          <w:tcPr>
            <w:tcW w:type="dxa" w:w="16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Custo/dia</w:t>
            </w:r>
          </w:p>
        </w:tc>
        <w:tc>
          <w:tcPr>
            <w:tcW w:type="dxa" w:w="16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x30 dias</w:t>
            </w:r>
          </w:p>
        </w:tc>
        <w:tc>
          <w:tcPr>
            <w:tcW w:type="dxa" w:w="16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COGS</w:t>
            </w:r>
          </w:p>
        </w:tc>
        <w:tc>
          <w:tcPr>
            <w:tcW w:type="dxa" w:w="23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Tendencia</w:t>
            </w:r>
          </w:p>
        </w:tc>
      </w:tr>
      <w:tr>
        <w:tc>
          <w:tcPr>
            <w:tcW w:type="dxa" w:w="2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Carnipure L-Carnitina (1g)</w:t>
            </w:r>
          </w:p>
        </w:tc>
        <w:tc>
          <w:tcPr>
            <w:tcW w:type="dxa" w:w="16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R$ 0,40</w:t>
            </w:r>
          </w:p>
        </w:tc>
        <w:tc>
          <w:tcPr>
            <w:tcW w:type="dxa" w:w="16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R$ 12,00</w:t>
            </w:r>
          </w:p>
        </w:tc>
        <w:tc>
          <w:tcPr>
            <w:tcW w:type="dxa" w:w="16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26,7%</w:t>
            </w:r>
          </w:p>
        </w:tc>
        <w:tc>
          <w:tcPr>
            <w:tcW w:type="dxa" w:w="23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Queda c/ volume</w:t>
            </w:r>
          </w:p>
        </w:tc>
      </w:tr>
      <w:tr>
        <w:tc>
          <w:tcPr>
            <w:tcW w:type="dxa" w:w="2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GlucoVantage (150mg)</w:t>
            </w:r>
          </w:p>
        </w:tc>
        <w:tc>
          <w:tcPr>
            <w:tcW w:type="dxa" w:w="16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R$ 0,35</w:t>
            </w:r>
          </w:p>
        </w:tc>
        <w:tc>
          <w:tcPr>
            <w:tcW w:type="dxa" w:w="16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R$ 10,50</w:t>
            </w:r>
          </w:p>
        </w:tc>
        <w:tc>
          <w:tcPr>
            <w:tcW w:type="dxa" w:w="16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23,3%</w:t>
            </w:r>
          </w:p>
        </w:tc>
        <w:tc>
          <w:tcPr>
            <w:tcW w:type="dxa" w:w="23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Queda c/ contrato</w:t>
            </w:r>
          </w:p>
        </w:tc>
      </w:tr>
      <w:tr>
        <w:tc>
          <w:tcPr>
            <w:tcW w:type="dxa" w:w="2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EGCG padronizado (300mg)</w:t>
            </w:r>
          </w:p>
        </w:tc>
        <w:tc>
          <w:tcPr>
            <w:tcW w:type="dxa" w:w="16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R$ 0,18</w:t>
            </w:r>
          </w:p>
        </w:tc>
        <w:tc>
          <w:tcPr>
            <w:tcW w:type="dxa" w:w="16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R$ 5,40</w:t>
            </w:r>
          </w:p>
        </w:tc>
        <w:tc>
          <w:tcPr>
            <w:tcW w:type="dxa" w:w="16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12,0%</w:t>
            </w:r>
          </w:p>
        </w:tc>
        <w:tc>
          <w:tcPr>
            <w:tcW w:type="dxa" w:w="23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Estavel</w:t>
            </w:r>
          </w:p>
        </w:tc>
      </w:tr>
      <w:tr>
        <w:tc>
          <w:tcPr>
            <w:tcW w:type="dxa" w:w="2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Inositol (500mg)</w:t>
            </w:r>
          </w:p>
        </w:tc>
        <w:tc>
          <w:tcPr>
            <w:tcW w:type="dxa" w:w="16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R$ 0,08</w:t>
            </w:r>
          </w:p>
        </w:tc>
        <w:tc>
          <w:tcPr>
            <w:tcW w:type="dxa" w:w="16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R$ 2,40</w:t>
            </w:r>
          </w:p>
        </w:tc>
        <w:tc>
          <w:tcPr>
            <w:tcW w:type="dxa" w:w="16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5,3%</w:t>
            </w:r>
          </w:p>
        </w:tc>
        <w:tc>
          <w:tcPr>
            <w:tcW w:type="dxa" w:w="23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Estavel</w:t>
            </w:r>
          </w:p>
        </w:tc>
      </w:tr>
      <w:tr>
        <w:tc>
          <w:tcPr>
            <w:tcW w:type="dxa" w:w="2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ALA (200mg)</w:t>
            </w:r>
          </w:p>
        </w:tc>
        <w:tc>
          <w:tcPr>
            <w:tcW w:type="dxa" w:w="16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R$ 0,15</w:t>
            </w:r>
          </w:p>
        </w:tc>
        <w:tc>
          <w:tcPr>
            <w:tcW w:type="dxa" w:w="16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R$ 4,50</w:t>
            </w:r>
          </w:p>
        </w:tc>
        <w:tc>
          <w:tcPr>
            <w:tcW w:type="dxa" w:w="16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10,0%</w:t>
            </w:r>
          </w:p>
        </w:tc>
        <w:tc>
          <w:tcPr>
            <w:tcW w:type="dxa" w:w="23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Estavel</w:t>
            </w:r>
          </w:p>
        </w:tc>
      </w:tr>
      <w:tr>
        <w:tc>
          <w:tcPr>
            <w:tcW w:type="dxa" w:w="2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Magnesio + Cromo</w:t>
            </w:r>
          </w:p>
        </w:tc>
        <w:tc>
          <w:tcPr>
            <w:tcW w:type="dxa" w:w="16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R$ 0,04</w:t>
            </w:r>
          </w:p>
        </w:tc>
        <w:tc>
          <w:tcPr>
            <w:tcW w:type="dxa" w:w="16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R$ 1,20</w:t>
            </w:r>
          </w:p>
        </w:tc>
        <w:tc>
          <w:tcPr>
            <w:tcW w:type="dxa" w:w="16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2,7%</w:t>
            </w:r>
          </w:p>
        </w:tc>
        <w:tc>
          <w:tcPr>
            <w:tcW w:type="dxa" w:w="23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Estavel</w:t>
            </w:r>
          </w:p>
        </w:tc>
      </w:tr>
      <w:tr>
        <w:tc>
          <w:tcPr>
            <w:tcW w:type="dxa" w:w="2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Embalagem + capsulas + fabricacao</w:t>
            </w:r>
          </w:p>
        </w:tc>
        <w:tc>
          <w:tcPr>
            <w:tcW w:type="dxa" w:w="16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R$ 9,00</w:t>
            </w:r>
          </w:p>
        </w:tc>
        <w:tc>
          <w:tcPr>
            <w:tcW w:type="dxa" w:w="16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20,0%</w:t>
            </w:r>
          </w:p>
        </w:tc>
        <w:tc>
          <w:tcPr>
            <w:tcW w:type="dxa" w:w="23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Queda c/ escala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6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6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6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23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2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TOTAL COGS / UNIDADE</w:t>
            </w:r>
          </w:p>
        </w:tc>
        <w:tc>
          <w:tcPr>
            <w:tcW w:type="dxa" w:w="16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R$ 45,00</w:t>
            </w:r>
          </w:p>
        </w:tc>
        <w:tc>
          <w:tcPr>
            <w:tcW w:type="dxa" w:w="16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100%</w:t>
            </w:r>
          </w:p>
        </w:tc>
        <w:tc>
          <w:tcPr>
            <w:tcW w:type="dxa" w:w="23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F9731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F97316"/>
          <w:sz w:val="28"/>
          <w:szCs w:val="28"/>
        </w:rPr>
        <w:t xml:space="preserve">12. RETORNO AO INVESTIDOR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1440"/>
        <w:gridCol w:w="1560"/>
        <w:gridCol w:w="1680"/>
        <w:gridCol w:w="2160"/>
      </w:tblGrid>
      <w:tr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Cenario de Saida</w:t>
            </w:r>
          </w:p>
        </w:tc>
        <w:tc>
          <w:tcPr>
            <w:tcW w:type="dxa" w:w="10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Timing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Multiplo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EBITDA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Valuation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Retorno (20% eq.)</w:t>
            </w:r>
          </w:p>
        </w:tc>
      </w:tr>
      <w:tr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Serie B</w:t>
            </w:r>
          </w:p>
        </w:tc>
        <w:tc>
          <w:tcPr>
            <w:tcW w:type="dxa" w:w="10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3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8x EBITDA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R$ 12.2M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R$ 97M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~7x</w:t>
            </w:r>
          </w:p>
        </w:tc>
      </w:tr>
      <w:tr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Venda estrategico</w:t>
            </w:r>
          </w:p>
        </w:tc>
        <w:tc>
          <w:tcPr>
            <w:tcW w:type="dxa" w:w="10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5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6x EBITDA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R$ 45.6M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R$ 274M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~20x</w:t>
            </w:r>
          </w:p>
        </w:tc>
      </w:tr>
      <w:tr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Venda premium / IPO</w:t>
            </w:r>
          </w:p>
        </w:tc>
        <w:tc>
          <w:tcPr>
            <w:tcW w:type="dxa" w:w="10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5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10x EBITDA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R$ 45.6M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R$ 456M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~33x</w:t>
            </w:r>
          </w:p>
        </w:tc>
      </w:tr>
    </w:tbl>
    <w:p>
      <w:pPr>
        <w:spacing w:before="14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Fluxo de Caixa Acumulado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Periodo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FCO Periodo (R$ mil)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Acumulado (R$ mil)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Ano 0 (Seed)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+2.800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2.800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1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(1.375)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1.425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2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1.190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2.425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3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12.167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8.912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4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27.312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29.696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5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45.648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62.149</w:t>
            </w:r>
          </w:p>
        </w:tc>
      </w:tr>
    </w:tbl>
    <w:p>
      <w:pPr>
        <w:spacing w:before="1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/>
          <w:iCs/>
          <w:color w:val="F97316"/>
          <w:sz w:val="18"/>
          <w:szCs w:val="18"/>
        </w:rPr>
        <w:t xml:space="preserve">Se avaliado como parte do Hub Metabolico Feminino (Sculpt + Fire + futuros SKUs), o multiplo sobe para 10-15x EBITDA por ser ecossistema, nao produto isolado. Valuation combinado Ano 5 pode superar R$ 700M.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560"/>
        <w:sz w:val="14"/>
        <w:szCs w:val="14"/>
      </w:rPr>
      <w:t xml:space="preserve">Pagina </w:t>
    </w:r>
    <w:r>
      <w:rPr>
        <w:rFonts w:ascii="Arial" w:cs="Arial" w:eastAsia="Arial" w:hAnsi="Arial"/>
        <w:color w:val="6B656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97316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F97316"/>
        <w:spacing w:val="100"/>
        <w:sz w:val="14"/>
        <w:szCs w:val="14"/>
      </w:rPr>
      <w:t xml:space="preserve">FEMME LIPIDIC FIRE</w:t>
    </w:r>
    <w:r>
      <w:rPr>
        <w:rFonts w:ascii="Arial" w:cs="Arial" w:eastAsia="Arial" w:hAnsi="Arial"/>
        <w:color w:val="6B6560"/>
        <w:sz w:val="14"/>
        <w:szCs w:val="14"/>
      </w:rPr>
      <w:t xml:space="preserve">	Analise Estrategica + P&amp;L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2026-03-16T17:31:32.759Z</dcterms:created>
  <dcterms:modified xsi:type="dcterms:W3CDTF">2026-03-16T17:31:32.760Z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