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pPr>
      <w:r>
        <w:rPr>
          <w:rFonts w:hint="eastAsia"/>
        </w:rPr>
        <w:t>目录</w:t>
      </w:r>
    </w:p>
    <w:p>
      <w:pPr>
        <w:ind w:firstLine="560"/>
      </w:pPr>
    </w:p>
    <w:p>
      <w:pPr>
        <w:ind w:firstLine="560"/>
      </w:pPr>
    </w:p>
    <w:p>
      <w:pPr>
        <w:pStyle w:val="2"/>
      </w:pPr>
      <w:r>
        <w:rPr>
          <w:rFonts w:hint="eastAsia"/>
        </w:rPr>
        <w:t>指标的含义</w:t>
      </w:r>
    </w:p>
    <w:p>
      <w:pPr>
        <w:tabs>
          <w:tab w:val="left" w:pos="7032"/>
        </w:tabs>
        <w:ind w:firstLine="560"/>
      </w:pPr>
      <w:r>
        <w:tab/>
      </w:r>
      <w:bookmarkStart w:id="0" w:name="_GoBack"/>
      <w:bookmarkEnd w:id="0"/>
    </w:p>
    <w:p>
      <w:pPr>
        <w:pStyle w:val="2"/>
      </w:pPr>
      <w:r>
        <w:rPr>
          <w:rFonts w:hint="eastAsia"/>
        </w:rPr>
        <w:t>指标的数据规范</w:t>
      </w:r>
    </w:p>
    <w:tbl>
      <w:tblPr>
        <w:tblStyle w:val="12"/>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8" w:hRule="atLeast"/>
        </w:trPr>
        <w:tc>
          <w:tcPr>
            <w:tcW w:w="2552" w:type="dxa"/>
          </w:tcPr>
          <w:p>
            <w:pPr>
              <w:spacing w:line="360" w:lineRule="auto"/>
              <w:ind w:firstLine="560"/>
              <w:jc w:val="center"/>
              <w:rPr>
                <w:rFonts w:eastAsia="仿宋_GB2312"/>
                <w:szCs w:val="28"/>
              </w:rPr>
            </w:pPr>
            <w:r>
              <w:rPr>
                <w:rFonts w:eastAsia="仿宋_GB2312"/>
                <w:szCs w:val="28"/>
              </w:rPr>
              <w:t>属性</w:t>
            </w:r>
          </w:p>
        </w:tc>
        <w:tc>
          <w:tcPr>
            <w:tcW w:w="6804" w:type="dxa"/>
          </w:tcPr>
          <w:p>
            <w:pPr>
              <w:spacing w:line="360" w:lineRule="auto"/>
              <w:ind w:firstLine="560"/>
              <w:jc w:val="center"/>
              <w:rPr>
                <w:rFonts w:eastAsia="仿宋_GB2312"/>
                <w:szCs w:val="28"/>
              </w:rPr>
            </w:pPr>
            <w:r>
              <w:rPr>
                <w:rFonts w:eastAsia="仿宋_GB2312"/>
                <w:szCs w:val="28"/>
              </w:rPr>
              <w:t>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5" w:hRule="atLeast"/>
        </w:trPr>
        <w:tc>
          <w:tcPr>
            <w:tcW w:w="9356" w:type="dxa"/>
            <w:gridSpan w:val="2"/>
          </w:tcPr>
          <w:p>
            <w:pPr>
              <w:spacing w:line="360" w:lineRule="auto"/>
              <w:ind w:firstLine="560"/>
              <w:rPr>
                <w:rFonts w:eastAsia="仿宋_GB2312"/>
                <w:b/>
                <w:i/>
                <w:szCs w:val="28"/>
                <w:u w:val="single"/>
              </w:rPr>
            </w:pPr>
            <w:r>
              <w:rPr>
                <w:rFonts w:eastAsia="仿宋_GB2312"/>
                <w:b/>
                <w:i/>
                <w:szCs w:val="28"/>
                <w:u w:val="single"/>
              </w:rPr>
              <w:t>业务属性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5" w:hRule="atLeast"/>
        </w:trPr>
        <w:tc>
          <w:tcPr>
            <w:tcW w:w="2552" w:type="dxa"/>
            <w:vAlign w:val="center"/>
          </w:tcPr>
          <w:p>
            <w:pPr>
              <w:spacing w:line="360" w:lineRule="auto"/>
              <w:ind w:firstLine="560"/>
              <w:rPr>
                <w:rFonts w:eastAsia="仿宋_GB2312"/>
                <w:color w:val="000000"/>
                <w:szCs w:val="28"/>
              </w:rPr>
            </w:pPr>
            <w:r>
              <w:rPr>
                <w:rFonts w:eastAsia="仿宋_GB2312"/>
                <w:szCs w:val="28"/>
              </w:rPr>
              <w:t>内部标识符</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指标数据的唯一编号</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中文名称</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指标数据的中文名称是对指标数据的统一命名</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7"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指标数据英文名称</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指标数据的英文名称是对指标数据的统一英文命名，有常用英文简称的采用英文简称</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指标数据别名</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指标数据在报表应用或者内部经营管理过程中使用的其他别名、常用名。 如果存在多个别名，别名之间以“、”作为分割符</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定义</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定义是对指标数据简短的业务描述。 尽量不超过1000个字，对指标数据的描述必须准确和完整，满足“定义统一”的要求。可以从四个方面进行描述：</w:t>
            </w:r>
          </w:p>
          <w:p>
            <w:pPr>
              <w:spacing w:line="360" w:lineRule="auto"/>
              <w:ind w:firstLine="560"/>
              <w:rPr>
                <w:rFonts w:eastAsia="仿宋_GB2312"/>
                <w:color w:val="000000"/>
                <w:szCs w:val="28"/>
              </w:rPr>
            </w:pPr>
            <w:r>
              <w:rPr>
                <w:rFonts w:eastAsia="仿宋_GB2312"/>
                <w:color w:val="000000"/>
                <w:szCs w:val="28"/>
              </w:rPr>
              <w:t>a）指标数据的原理或概念解释；</w:t>
            </w:r>
          </w:p>
          <w:p>
            <w:pPr>
              <w:spacing w:line="360" w:lineRule="auto"/>
              <w:ind w:firstLine="560"/>
              <w:rPr>
                <w:rFonts w:eastAsia="仿宋_GB2312"/>
                <w:color w:val="000000"/>
                <w:szCs w:val="28"/>
              </w:rPr>
            </w:pPr>
            <w:r>
              <w:rPr>
                <w:rFonts w:eastAsia="仿宋_GB2312"/>
                <w:color w:val="000000"/>
                <w:szCs w:val="28"/>
              </w:rPr>
              <w:t>b）</w:t>
            </w:r>
            <w:r>
              <w:rPr>
                <w:rFonts w:hint="eastAsia" w:eastAsia="仿宋_GB2312"/>
                <w:color w:val="000000"/>
                <w:szCs w:val="28"/>
              </w:rPr>
              <w:t>银行</w:t>
            </w:r>
            <w:r>
              <w:rPr>
                <w:rFonts w:eastAsia="仿宋_GB2312"/>
                <w:color w:val="000000"/>
                <w:szCs w:val="28"/>
              </w:rPr>
              <w:t>的业务特色说明，与通用概念、监管要求的差异性等；</w:t>
            </w:r>
          </w:p>
          <w:p>
            <w:pPr>
              <w:spacing w:line="360" w:lineRule="auto"/>
              <w:ind w:firstLine="560"/>
              <w:rPr>
                <w:rFonts w:eastAsia="仿宋_GB2312"/>
                <w:color w:val="000000"/>
                <w:szCs w:val="28"/>
              </w:rPr>
            </w:pPr>
            <w:r>
              <w:rPr>
                <w:rFonts w:eastAsia="仿宋_GB2312"/>
                <w:color w:val="000000"/>
                <w:szCs w:val="28"/>
              </w:rPr>
              <w:t>c）针对的</w:t>
            </w:r>
            <w:r>
              <w:rPr>
                <w:rFonts w:hint="eastAsia" w:eastAsia="仿宋_GB2312"/>
                <w:color w:val="000000"/>
                <w:szCs w:val="28"/>
              </w:rPr>
              <w:t>银行</w:t>
            </w:r>
            <w:r>
              <w:rPr>
                <w:rFonts w:eastAsia="仿宋_GB2312"/>
                <w:color w:val="000000"/>
                <w:szCs w:val="28"/>
              </w:rPr>
              <w:t>业务范围、产品范围等；</w:t>
            </w:r>
          </w:p>
          <w:p>
            <w:pPr>
              <w:spacing w:line="360" w:lineRule="auto"/>
              <w:ind w:firstLine="560"/>
              <w:rPr>
                <w:rFonts w:eastAsia="仿宋_GB2312"/>
                <w:color w:val="000000"/>
                <w:szCs w:val="28"/>
              </w:rPr>
            </w:pPr>
            <w:r>
              <w:rPr>
                <w:rFonts w:eastAsia="仿宋_GB2312"/>
                <w:color w:val="000000"/>
                <w:szCs w:val="28"/>
              </w:rPr>
              <w:t>d）指标数据的用途。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业务规则</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为满足“口径统一”的要求，描述该指标数据对应的业务计算规则，以及在统计过程中需要特别说明的口径解释</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业务范围</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用于描述计算该指标数据所采用的各种业务范围或限制条件，如：统计范围的筛选规则、信息间的关联关系和约束条件以及例外情况等，也是满足“口径统一”的要求</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报送范围</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该指标数据做为采集数据时，描述该指标数据的报送机构范围以及报送的最小报送机构单位。如果指标数据是行内基于自身采集到的数据进行统计出来的报表数据，该项为空</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生效日期</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指标数据的生效日期</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失效日期</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指标数据的失效日期</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维度信息</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指标数据应用分析所使用的维度中文名称。例如指标数据“正常贷款余额”的组合维度可以是机构、担保方式、发放期限、对公贷款行业投向等。 维度可引用标准编号，如机构编码（IP300001）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常用统计规则</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公共统计规则旨在就指标数据实际计算过程中一些常见的计算方法、统计分析方法等进行说明，便于业务人员在遇到实际相关指标时进行参考。多个统计规则并列时，使用“、”作为分隔符</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统计频率</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指标数据的统计频率，如果是采集数据，则对应于采集频率；如果是固定频率生产的报表数据，则对应于生成数据的频率；如果不定期统计的报表数据，该项可为空</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9356" w:type="dxa"/>
            <w:gridSpan w:val="2"/>
            <w:vAlign w:val="center"/>
          </w:tcPr>
          <w:p>
            <w:pPr>
              <w:spacing w:line="360" w:lineRule="auto"/>
              <w:ind w:firstLine="560"/>
              <w:rPr>
                <w:rFonts w:eastAsia="仿宋_GB2312"/>
                <w:b/>
                <w:i/>
                <w:color w:val="000000"/>
                <w:szCs w:val="28"/>
                <w:u w:val="single"/>
              </w:rPr>
            </w:pPr>
            <w:r>
              <w:rPr>
                <w:rFonts w:eastAsia="仿宋_GB2312"/>
                <w:b/>
                <w:i/>
                <w:color w:val="000000"/>
                <w:szCs w:val="28"/>
                <w:u w:val="single"/>
              </w:rPr>
              <w:t>技术属性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指标数据单位</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指标数据在业务管理或者报表统计中经常使用的度量衡，包括亿元、万元、元、百分比等</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计算公式</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计算公式通过数学运算符（如加减乘除等）将参与计算的数据项联系起来，更好地描述指标数据的本质和内涵。 公式中四则运算的符号统一采用“+-×÷”</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数据类别</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指标数据对应的数据类别，反映指标数据在表达形式的特点，分为金额型、数值型、比率型三大类</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数据格式</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可信源系统中存储的字段类型描述</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数据精度</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对于数值类和金额类数据项，需定义该数值或金额在系统中存储的取值精度，即需保留小数点后的位数</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值域</w:t>
            </w:r>
          </w:p>
        </w:tc>
        <w:tc>
          <w:tcPr>
            <w:tcW w:w="6804" w:type="dxa"/>
            <w:vAlign w:val="center"/>
          </w:tcPr>
          <w:p>
            <w:pPr>
              <w:spacing w:line="360" w:lineRule="auto"/>
              <w:ind w:firstLine="560"/>
              <w:rPr>
                <w:rFonts w:eastAsia="仿宋_GB2312"/>
                <w:color w:val="000000"/>
                <w:szCs w:val="28"/>
              </w:rPr>
            </w:pPr>
            <w:r>
              <w:rPr>
                <w:rFonts w:eastAsia="仿宋_GB2312"/>
                <w:szCs w:val="28"/>
              </w:rPr>
              <w:t>数据元的允许值的集合</w:t>
            </w:r>
            <w:r>
              <w:rPr>
                <w:rFonts w:hint="eastAsia" w:eastAsia="仿宋_GB2312"/>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最后维护日期</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记录维护该指标数据内容的最新日期</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9356" w:type="dxa"/>
            <w:gridSpan w:val="2"/>
            <w:vAlign w:val="center"/>
          </w:tcPr>
          <w:p>
            <w:pPr>
              <w:spacing w:line="360" w:lineRule="auto"/>
              <w:ind w:firstLine="560"/>
              <w:rPr>
                <w:rFonts w:eastAsia="仿宋_GB2312"/>
                <w:b/>
                <w:i/>
                <w:color w:val="000000"/>
                <w:szCs w:val="28"/>
                <w:u w:val="single"/>
              </w:rPr>
            </w:pPr>
            <w:r>
              <w:rPr>
                <w:rFonts w:eastAsia="仿宋_GB2312"/>
                <w:b/>
                <w:i/>
                <w:color w:val="000000"/>
                <w:szCs w:val="28"/>
                <w:u w:val="single"/>
              </w:rPr>
              <w:t>管理属性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业务责任部门</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描述指标数据拥有最终业务解释权的组织机构名称，同时也是日常标准执行工作进行监督的责任组织机构</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指标数据归属业务领域</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根据</w:t>
            </w:r>
            <w:r>
              <w:rPr>
                <w:rFonts w:eastAsia="仿宋_GB2312"/>
                <w:szCs w:val="28"/>
                <w:lang w:val="zh-CN"/>
              </w:rPr>
              <w:t>银行</w:t>
            </w:r>
            <w:r>
              <w:rPr>
                <w:rFonts w:eastAsia="仿宋_GB2312"/>
                <w:color w:val="000000"/>
                <w:szCs w:val="28"/>
              </w:rPr>
              <w:t>对业务领域的分类，描述该指标数据归属的业务领域。业务领域分类可以为多种分类方式，如果隶属于多个业务领域，使用“、”作为分隔符</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相关明细数据</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当指标数据维度值定义需要继承或者映射相关明细数据时，需指明相关明细数据</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相关指标数据标准</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当某个指标数据引用其他指标数据进行口径汇总或者运算时，需指明参与计算的其他指标数据。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规范制定人</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该规范制定的责任人，一般情况下隶属于业务责任部门</w:t>
            </w:r>
            <w:r>
              <w:rPr>
                <w:rFonts w:hint="eastAsia" w:eastAsia="仿宋_GB2312"/>
                <w:color w:val="000000"/>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报送机构</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当指标数据为采集数据时，描述其报送机构类型。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552" w:type="dxa"/>
            <w:vAlign w:val="center"/>
          </w:tcPr>
          <w:p>
            <w:pPr>
              <w:spacing w:line="360" w:lineRule="auto"/>
              <w:ind w:firstLine="560"/>
              <w:rPr>
                <w:rFonts w:eastAsia="仿宋_GB2312"/>
                <w:color w:val="000000"/>
                <w:szCs w:val="28"/>
              </w:rPr>
            </w:pPr>
            <w:r>
              <w:rPr>
                <w:rFonts w:eastAsia="仿宋_GB2312"/>
                <w:color w:val="000000"/>
                <w:szCs w:val="28"/>
              </w:rPr>
              <w:t>备注</w:t>
            </w:r>
          </w:p>
        </w:tc>
        <w:tc>
          <w:tcPr>
            <w:tcW w:w="6804" w:type="dxa"/>
            <w:vAlign w:val="center"/>
          </w:tcPr>
          <w:p>
            <w:pPr>
              <w:spacing w:line="360" w:lineRule="auto"/>
              <w:ind w:firstLine="560"/>
              <w:rPr>
                <w:rFonts w:eastAsia="仿宋_GB2312"/>
                <w:color w:val="000000"/>
                <w:szCs w:val="28"/>
              </w:rPr>
            </w:pPr>
            <w:r>
              <w:rPr>
                <w:rFonts w:eastAsia="仿宋_GB2312"/>
                <w:color w:val="000000"/>
                <w:szCs w:val="28"/>
              </w:rPr>
              <w:t>其他说明</w:t>
            </w:r>
            <w:r>
              <w:rPr>
                <w:rFonts w:hint="eastAsia" w:eastAsia="仿宋_GB2312"/>
                <w:color w:val="000000"/>
                <w:szCs w:val="28"/>
              </w:rPr>
              <w:t>。</w:t>
            </w:r>
          </w:p>
        </w:tc>
      </w:tr>
    </w:tbl>
    <w:p>
      <w:pPr>
        <w:ind w:firstLine="560"/>
      </w:pPr>
    </w:p>
    <w:p>
      <w:pPr>
        <w:pStyle w:val="2"/>
        <w:ind w:left="0" w:firstLine="0"/>
        <w:rPr>
          <w:rFonts w:hint="eastAsia"/>
        </w:rPr>
      </w:pPr>
      <w:r>
        <w:rPr>
          <w:rFonts w:hint="eastAsia"/>
        </w:rPr>
        <w:t>范例</w:t>
      </w:r>
    </w:p>
    <w:p>
      <w:pPr>
        <w:ind w:firstLine="560"/>
      </w:pPr>
      <w:r>
        <w:drawing>
          <wp:inline distT="0" distB="0" distL="0" distR="0">
            <wp:extent cx="3226435" cy="46926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srcRect/>
                    <a:stretch>
                      <a:fillRect/>
                    </a:stretch>
                  </pic:blipFill>
                  <pic:spPr>
                    <a:xfrm>
                      <a:off x="0" y="0"/>
                      <a:ext cx="3226435" cy="4692650"/>
                    </a:xfrm>
                    <a:prstGeom prst="rect">
                      <a:avLst/>
                    </a:prstGeom>
                    <a:noFill/>
                    <a:ln w="9525">
                      <a:noFill/>
                      <a:miter lim="800000"/>
                      <a:headEnd/>
                      <a:tailEnd/>
                    </a:ln>
                  </pic:spPr>
                </pic:pic>
              </a:graphicData>
            </a:graphic>
          </wp:inline>
        </w:drawing>
      </w:r>
    </w:p>
    <w:p>
      <w:pPr>
        <w:pStyle w:val="3"/>
        <w:ind w:left="140" w:leftChars="50" w:firstLine="0"/>
      </w:pPr>
      <w:r>
        <w:t>业务</w:t>
      </w:r>
      <w:r>
        <w:rPr>
          <w:rFonts w:hint="eastAsia"/>
        </w:rPr>
        <w:t>描述</w:t>
      </w:r>
    </w:p>
    <w:tbl>
      <w:tblPr>
        <w:tblStyle w:val="12"/>
        <w:tblW w:w="827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6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8" w:hRule="atLeast"/>
        </w:trPr>
        <w:tc>
          <w:tcPr>
            <w:tcW w:w="2160" w:type="dxa"/>
          </w:tcPr>
          <w:p>
            <w:pPr>
              <w:spacing w:line="360" w:lineRule="auto"/>
              <w:ind w:firstLine="560"/>
              <w:jc w:val="center"/>
              <w:rPr>
                <w:rFonts w:eastAsia="仿宋_GB2312"/>
                <w:szCs w:val="28"/>
              </w:rPr>
            </w:pPr>
            <w:r>
              <w:rPr>
                <w:rFonts w:eastAsia="仿宋_GB2312"/>
                <w:szCs w:val="28"/>
              </w:rPr>
              <w:t>属性</w:t>
            </w:r>
          </w:p>
        </w:tc>
        <w:tc>
          <w:tcPr>
            <w:tcW w:w="6113" w:type="dxa"/>
          </w:tcPr>
          <w:p>
            <w:pPr>
              <w:spacing w:line="360" w:lineRule="auto"/>
              <w:ind w:firstLine="560"/>
              <w:jc w:val="center"/>
              <w:rPr>
                <w:rFonts w:eastAsia="仿宋_GB2312"/>
                <w:szCs w:val="28"/>
              </w:rPr>
            </w:pPr>
            <w:r>
              <w:rPr>
                <w:rFonts w:eastAsia="仿宋_GB2312"/>
                <w:szCs w:val="28"/>
              </w:rPr>
              <w:t>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5" w:hRule="atLeast"/>
        </w:trPr>
        <w:tc>
          <w:tcPr>
            <w:tcW w:w="2160" w:type="dxa"/>
            <w:vAlign w:val="center"/>
          </w:tcPr>
          <w:p>
            <w:pPr>
              <w:spacing w:line="360" w:lineRule="auto"/>
              <w:ind w:firstLine="560"/>
              <w:rPr>
                <w:rFonts w:eastAsia="仿宋_GB2312"/>
                <w:color w:val="000000"/>
                <w:szCs w:val="28"/>
              </w:rPr>
            </w:pPr>
            <w:r>
              <w:rPr>
                <w:rFonts w:eastAsia="仿宋_GB2312"/>
                <w:szCs w:val="28"/>
              </w:rPr>
              <w:t>内部标识符</w:t>
            </w:r>
          </w:p>
        </w:tc>
        <w:tc>
          <w:tcPr>
            <w:tcW w:w="6113" w:type="dxa"/>
            <w:vAlign w:val="center"/>
          </w:tcPr>
          <w:p>
            <w:pPr>
              <w:spacing w:line="360" w:lineRule="auto"/>
              <w:ind w:firstLine="560"/>
              <w:rPr>
                <w:rFonts w:eastAsia="仿宋_GB2312"/>
                <w:color w:val="000000"/>
                <w:szCs w:val="28"/>
              </w:rPr>
            </w:pPr>
            <w:r>
              <w:rPr>
                <w:rFonts w:eastAsia="仿宋_GB2312"/>
                <w:color w:val="000000"/>
                <w:szCs w:val="28"/>
              </w:rPr>
              <w:t>Z</w:t>
            </w:r>
            <w:r>
              <w:rPr>
                <w:rFonts w:hint="eastAsia" w:eastAsia="仿宋_GB2312"/>
                <w:color w:val="000000"/>
                <w:szCs w:val="28"/>
              </w:rPr>
              <w:t>b000001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中文名称</w:t>
            </w:r>
          </w:p>
        </w:tc>
        <w:tc>
          <w:tcPr>
            <w:tcW w:w="6113" w:type="dxa"/>
            <w:vAlign w:val="center"/>
          </w:tcPr>
          <w:p>
            <w:pPr>
              <w:spacing w:line="360" w:lineRule="auto"/>
              <w:ind w:firstLine="560"/>
              <w:rPr>
                <w:rFonts w:eastAsia="仿宋_GB2312"/>
                <w:color w:val="000000"/>
                <w:szCs w:val="28"/>
              </w:rPr>
            </w:pPr>
            <w:r>
              <w:rPr>
                <w:rFonts w:hint="eastAsia" w:eastAsia="仿宋_GB2312"/>
                <w:color w:val="000000"/>
                <w:szCs w:val="28"/>
              </w:rPr>
              <w:t>各项存款余额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7"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指标数据英文名称</w:t>
            </w:r>
          </w:p>
        </w:tc>
        <w:tc>
          <w:tcPr>
            <w:tcW w:w="6113" w:type="dxa"/>
            <w:vAlign w:val="center"/>
          </w:tcPr>
          <w:p>
            <w:pPr>
              <w:spacing w:line="360" w:lineRule="auto"/>
              <w:ind w:firstLine="560"/>
              <w:rPr>
                <w:rFonts w:eastAsia="仿宋_GB2312"/>
                <w:color w:val="000000"/>
                <w:szCs w:val="28"/>
              </w:rPr>
            </w:pPr>
            <w:r>
              <w:rPr>
                <w:rFonts w:hint="eastAsia" w:eastAsia="仿宋_GB2312"/>
                <w:color w:val="000000"/>
                <w:szCs w:val="28"/>
              </w:rPr>
              <w:t>GXCK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指标数据别名</w:t>
            </w:r>
          </w:p>
        </w:tc>
        <w:tc>
          <w:tcPr>
            <w:tcW w:w="6113" w:type="dxa"/>
            <w:vAlign w:val="center"/>
          </w:tcPr>
          <w:p>
            <w:pPr>
              <w:spacing w:line="360" w:lineRule="auto"/>
              <w:ind w:firstLine="560"/>
              <w:rPr>
                <w:rFonts w:eastAsia="仿宋_GB2312"/>
                <w:color w:val="000000"/>
                <w:szCs w:val="28"/>
              </w:rPr>
            </w:pPr>
            <w:r>
              <w:rPr>
                <w:rFonts w:hint="eastAsia" w:eastAsia="仿宋_GB2312"/>
                <w:color w:val="000000"/>
                <w:szCs w:val="28"/>
              </w:rPr>
              <w:t>各项存款余额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定义</w:t>
            </w:r>
          </w:p>
        </w:tc>
        <w:tc>
          <w:tcPr>
            <w:tcW w:w="6113" w:type="dxa"/>
            <w:vAlign w:val="center"/>
          </w:tcPr>
          <w:p>
            <w:pPr>
              <w:spacing w:line="360" w:lineRule="auto"/>
              <w:ind w:firstLine="560"/>
              <w:rPr>
                <w:rFonts w:eastAsia="仿宋_GB2312"/>
                <w:color w:val="000000"/>
                <w:szCs w:val="28"/>
              </w:rPr>
            </w:pPr>
            <w:r>
              <w:rPr>
                <w:rFonts w:hint="eastAsia" w:eastAsia="仿宋_GB2312"/>
                <w:color w:val="000000"/>
                <w:szCs w:val="28"/>
              </w:rPr>
              <w:t>统计各项存款余额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业务规则</w:t>
            </w:r>
          </w:p>
        </w:tc>
        <w:tc>
          <w:tcPr>
            <w:tcW w:w="6113" w:type="dxa"/>
            <w:vAlign w:val="center"/>
          </w:tcPr>
          <w:p>
            <w:pPr>
              <w:spacing w:line="360" w:lineRule="auto"/>
              <w:ind w:firstLine="0" w:firstLineChars="0"/>
              <w:rPr>
                <w:rFonts w:eastAsia="仿宋_GB2312"/>
                <w:color w:val="000000"/>
                <w:szCs w:val="28"/>
              </w:rPr>
            </w:pPr>
            <w:r>
              <w:rPr>
                <w:rFonts w:hint="eastAsia" w:eastAsia="仿宋_GB2312"/>
                <w:color w:val="000000"/>
                <w:szCs w:val="28"/>
              </w:rPr>
              <w:t>科目号前4位为（'2001','2003','2005','2006','2011','2014','2002','2004','2012','2013')+'20070101'+'20070201'+'20070301'+'20170198'+'20171198'+科目号前6位为('231401'+'231409'-'132101'-'132109'+'231421'-'132121'+'231499'-'132199'+'231403'-'132103')+('231402'-'132102'+'231422'-'132122')+'201712'+'201713'+'201714'+'201702'+'201703'+'201704'+'231423'+250318+250321+250322+250323+250324+250325+250329+250331+250341+2008+科目号8位为（'25031802','25032102','25032202','25032302','25032402','25032502','25032902','25033102','25034102'）并且借贷方向为借时金额为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业务范围</w:t>
            </w:r>
          </w:p>
        </w:tc>
        <w:tc>
          <w:tcPr>
            <w:tcW w:w="6113" w:type="dxa"/>
            <w:vAlign w:val="center"/>
          </w:tcPr>
          <w:p>
            <w:pPr>
              <w:ind w:firstLine="0" w:firstLineChars="0"/>
              <w:rPr>
                <w:rFonts w:eastAsia="仿宋_GB2312"/>
                <w:color w:val="000000"/>
                <w:kern w:val="0"/>
                <w:szCs w:val="28"/>
              </w:rPr>
            </w:pPr>
            <w:r>
              <w:rPr>
                <w:rFonts w:hint="eastAsia" w:eastAsia="仿宋_GB2312"/>
                <w:color w:val="000000"/>
                <w:kern w:val="0"/>
                <w:szCs w:val="28"/>
              </w:rPr>
              <w:t>包括：活期存款余额、定期存款余额、财政性存款余额、</w:t>
            </w:r>
            <w:r>
              <w:rPr>
                <w:rFonts w:hint="eastAsia" w:eastAsia="仿宋_GB2312"/>
                <w:color w:val="FF0000"/>
                <w:kern w:val="0"/>
                <w:szCs w:val="28"/>
              </w:rPr>
              <w:t>对私存款余额（个人活期+个人定期）、对公存款余额（单位活期+单位定期）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报送范围</w:t>
            </w:r>
          </w:p>
        </w:tc>
        <w:tc>
          <w:tcPr>
            <w:tcW w:w="6113" w:type="dxa"/>
            <w:vAlign w:val="center"/>
          </w:tcPr>
          <w:p>
            <w:pPr>
              <w:spacing w:line="360" w:lineRule="auto"/>
              <w:ind w:firstLine="198" w:firstLineChars="71"/>
              <w:rPr>
                <w:rFonts w:eastAsia="仿宋_GB2312"/>
                <w:color w:val="000000"/>
                <w:szCs w:val="28"/>
              </w:rPr>
            </w:pPr>
            <w:r>
              <w:rPr>
                <w:rFonts w:hint="eastAsia" w:eastAsia="仿宋_GB2312"/>
                <w:color w:val="000000"/>
                <w:szCs w:val="28"/>
              </w:rPr>
              <w:t xml:space="preserve">  业务处、行长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生效日期</w:t>
            </w:r>
          </w:p>
        </w:tc>
        <w:tc>
          <w:tcPr>
            <w:tcW w:w="6113" w:type="dxa"/>
            <w:vAlign w:val="center"/>
          </w:tcPr>
          <w:p>
            <w:pPr>
              <w:spacing w:line="360" w:lineRule="auto"/>
              <w:ind w:firstLine="560"/>
              <w:rPr>
                <w:rFonts w:eastAsia="仿宋_GB2312"/>
                <w:color w:val="000000"/>
                <w:szCs w:val="28"/>
              </w:rPr>
            </w:pPr>
            <w:r>
              <w:rPr>
                <w:rFonts w:hint="eastAsia" w:eastAsia="仿宋_GB2312"/>
                <w:color w:val="000000"/>
                <w:szCs w:val="28"/>
              </w:rPr>
              <w:t>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失效日期</w:t>
            </w:r>
          </w:p>
        </w:tc>
        <w:tc>
          <w:tcPr>
            <w:tcW w:w="6113" w:type="dxa"/>
            <w:vAlign w:val="center"/>
          </w:tcPr>
          <w:p>
            <w:pPr>
              <w:spacing w:line="360" w:lineRule="auto"/>
              <w:ind w:firstLine="560"/>
              <w:rPr>
                <w:rFonts w:eastAsia="仿宋_GB2312"/>
                <w:color w:val="000000"/>
                <w:szCs w:val="28"/>
              </w:rPr>
            </w:pPr>
            <w:r>
              <w:rPr>
                <w:rFonts w:hint="eastAsia" w:eastAsia="仿宋_GB2312"/>
                <w:color w:val="000000"/>
                <w:szCs w:val="28"/>
              </w:rPr>
              <w:t>2999-12-31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维度信息</w:t>
            </w:r>
          </w:p>
        </w:tc>
        <w:tc>
          <w:tcPr>
            <w:tcW w:w="6113" w:type="dxa"/>
            <w:vAlign w:val="center"/>
          </w:tcPr>
          <w:p>
            <w:pPr>
              <w:spacing w:line="360" w:lineRule="auto"/>
              <w:ind w:firstLine="0" w:firstLineChars="0"/>
              <w:rPr>
                <w:rFonts w:eastAsia="仿宋_GB2312"/>
                <w:color w:val="000000"/>
                <w:szCs w:val="28"/>
              </w:rPr>
            </w:pPr>
            <w:r>
              <w:rPr>
                <w:rFonts w:eastAsia="仿宋_GB2312"/>
                <w:color w:val="000000"/>
                <w:szCs w:val="28"/>
              </w:rPr>
              <w:t>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常用统计规则</w:t>
            </w:r>
          </w:p>
        </w:tc>
        <w:tc>
          <w:tcPr>
            <w:tcW w:w="6113" w:type="dxa"/>
            <w:vAlign w:val="center"/>
          </w:tcPr>
          <w:p>
            <w:pPr>
              <w:spacing w:line="360" w:lineRule="auto"/>
              <w:ind w:firstLine="198" w:firstLineChars="71"/>
              <w:rPr>
                <w:rFonts w:eastAsia="仿宋_GB2312"/>
                <w:color w:val="000000"/>
                <w:szCs w:val="28"/>
              </w:rPr>
            </w:pPr>
            <w:r>
              <w:rPr>
                <w:rFonts w:hint="eastAsia" w:eastAsia="仿宋_GB2312"/>
                <w:color w:val="000000"/>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4" w:hRule="atLeast"/>
        </w:trPr>
        <w:tc>
          <w:tcPr>
            <w:tcW w:w="2160" w:type="dxa"/>
            <w:vAlign w:val="center"/>
          </w:tcPr>
          <w:p>
            <w:pPr>
              <w:spacing w:line="360" w:lineRule="auto"/>
              <w:ind w:firstLine="560"/>
              <w:rPr>
                <w:rFonts w:eastAsia="仿宋_GB2312"/>
                <w:color w:val="000000"/>
                <w:szCs w:val="28"/>
              </w:rPr>
            </w:pPr>
            <w:r>
              <w:rPr>
                <w:rFonts w:eastAsia="仿宋_GB2312"/>
                <w:color w:val="000000"/>
                <w:szCs w:val="28"/>
              </w:rPr>
              <w:t>统计频率</w:t>
            </w:r>
          </w:p>
        </w:tc>
        <w:tc>
          <w:tcPr>
            <w:tcW w:w="6113" w:type="dxa"/>
            <w:vAlign w:val="center"/>
          </w:tcPr>
          <w:p>
            <w:pPr>
              <w:spacing w:line="360" w:lineRule="auto"/>
              <w:ind w:firstLine="198" w:firstLineChars="71"/>
              <w:rPr>
                <w:rFonts w:eastAsia="仿宋_GB2312"/>
                <w:color w:val="000000"/>
                <w:szCs w:val="28"/>
              </w:rPr>
            </w:pPr>
            <w:r>
              <w:rPr>
                <w:rFonts w:hint="eastAsia" w:eastAsia="仿宋_GB2312"/>
                <w:color w:val="000000"/>
                <w:szCs w:val="28"/>
              </w:rPr>
              <w:t>月、年</w:t>
            </w:r>
          </w:p>
        </w:tc>
      </w:tr>
    </w:tbl>
    <w:p>
      <w:pPr>
        <w:ind w:firstLine="560"/>
      </w:pPr>
    </w:p>
    <w:p>
      <w:pPr>
        <w:pStyle w:val="3"/>
        <w:ind w:left="140"/>
      </w:pPr>
      <w:r>
        <w:rPr>
          <w:rFonts w:hint="eastAsia"/>
        </w:rPr>
        <w:t>取数口径</w:t>
      </w:r>
    </w:p>
    <w:p>
      <w:pPr>
        <w:ind w:firstLine="560"/>
        <w:rPr>
          <w:rFonts w:hint="eastAsia"/>
        </w:rPr>
      </w:pPr>
      <w:r>
        <w:rPr>
          <w:rFonts w:hint="eastAsia"/>
        </w:rPr>
        <w:t>源表：活期/定期存款账户表，同业模块账户</w:t>
      </w:r>
    </w:p>
    <w:p>
      <w:pPr>
        <w:ind w:firstLine="560"/>
        <w:rPr>
          <w:rFonts w:hint="eastAsia"/>
        </w:rPr>
      </w:pPr>
    </w:p>
    <w:p>
      <w:pPr>
        <w:ind w:firstLine="560"/>
        <w:rPr>
          <w:rFonts w:hint="eastAsia"/>
        </w:rPr>
      </w:pPr>
    </w:p>
    <w:p>
      <w:pPr>
        <w:ind w:firstLine="560"/>
        <w:rPr>
          <w:rFonts w:hint="eastAsia"/>
        </w:rPr>
      </w:pPr>
    </w:p>
    <w:p>
      <w:pPr>
        <w:ind w:firstLine="560"/>
        <w:rPr>
          <w:rFonts w:hint="eastAsia"/>
        </w:rPr>
      </w:pPr>
    </w:p>
    <w:p>
      <w:pPr>
        <w:ind w:firstLine="560"/>
        <w:rPr>
          <w:rFonts w:hint="eastAsia"/>
        </w:rPr>
      </w:pPr>
    </w:p>
    <w:p>
      <w:pPr>
        <w:ind w:firstLine="560"/>
        <w:rPr>
          <w:rFonts w:hint="eastAsia"/>
        </w:rPr>
      </w:pPr>
    </w:p>
    <w:p>
      <w:pPr>
        <w:ind w:firstLine="560"/>
        <w:rPr>
          <w:rFonts w:hint="eastAsia"/>
        </w:rPr>
      </w:pPr>
    </w:p>
    <w:p>
      <w:pPr>
        <w:ind w:firstLine="560"/>
        <w:rPr>
          <w:rFonts w:hint="eastAsia"/>
        </w:rPr>
      </w:pPr>
    </w:p>
    <w:p>
      <w:pPr>
        <w:ind w:firstLine="560"/>
        <w:rPr>
          <w:rFonts w:hint="eastAsia"/>
        </w:rPr>
      </w:pPr>
    </w:p>
    <w:p>
      <w:pPr>
        <w:ind w:firstLine="560"/>
        <w:rPr>
          <w:rFonts w:hint="eastAsia"/>
        </w:rPr>
      </w:pPr>
    </w:p>
    <w:p>
      <w:pPr>
        <w:ind w:firstLine="560"/>
      </w:pPr>
    </w:p>
    <w:p>
      <w:pPr>
        <w:pStyle w:val="3"/>
        <w:ind w:left="140"/>
      </w:pPr>
      <w:r>
        <w:rPr>
          <w:rFonts w:hint="eastAsia"/>
        </w:rPr>
        <w:t>输出结果</w:t>
      </w:r>
    </w:p>
    <w:tbl>
      <w:tblPr>
        <w:tblStyle w:val="13"/>
        <w:tblW w:w="58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8"/>
        <w:gridCol w:w="1619"/>
        <w:gridCol w:w="901"/>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blHeader/>
        </w:trPr>
        <w:tc>
          <w:tcPr>
            <w:tcW w:w="2458" w:type="dxa"/>
          </w:tcPr>
          <w:p>
            <w:pPr>
              <w:ind w:firstLine="0" w:firstLineChars="0"/>
            </w:pPr>
            <w:r>
              <w:rPr>
                <w:rFonts w:hint="eastAsia"/>
              </w:rPr>
              <w:t>字段名称（有序）</w:t>
            </w:r>
          </w:p>
        </w:tc>
        <w:tc>
          <w:tcPr>
            <w:tcW w:w="1619" w:type="dxa"/>
          </w:tcPr>
          <w:p>
            <w:pPr>
              <w:ind w:firstLine="0" w:firstLineChars="0"/>
            </w:pPr>
            <w:r>
              <w:rPr>
                <w:rFonts w:hint="eastAsia"/>
              </w:rPr>
              <w:t>类型</w:t>
            </w:r>
          </w:p>
        </w:tc>
        <w:tc>
          <w:tcPr>
            <w:tcW w:w="901" w:type="dxa"/>
          </w:tcPr>
          <w:p>
            <w:pPr>
              <w:ind w:firstLine="0" w:firstLineChars="0"/>
              <w:rPr>
                <w:rFonts w:hint="eastAsia"/>
              </w:rPr>
            </w:pPr>
            <w:r>
              <w:rPr>
                <w:rFonts w:hint="eastAsia"/>
              </w:rPr>
              <w:t>口径</w:t>
            </w:r>
          </w:p>
        </w:tc>
        <w:tc>
          <w:tcPr>
            <w:tcW w:w="901" w:type="dxa"/>
          </w:tcPr>
          <w:p>
            <w:pPr>
              <w:ind w:firstLine="0" w:firstLineChars="0"/>
            </w:pPr>
            <w:r>
              <w:rPr>
                <w:rFonts w:hint="eastAsia"/>
              </w:rPr>
              <w:t>排序</w:t>
            </w:r>
          </w:p>
        </w:tc>
      </w:tr>
      <w:tr>
        <w:tblPrEx>
          <w:tblLayout w:type="fixed"/>
        </w:tblPrEx>
        <w:trPr>
          <w:trHeight w:val="270" w:hRule="atLeast"/>
        </w:trPr>
        <w:tc>
          <w:tcPr>
            <w:tcW w:w="2458" w:type="dxa"/>
          </w:tcPr>
          <w:p>
            <w:pPr>
              <w:ind w:firstLine="0" w:firstLineChars="0"/>
              <w:jc w:val="both"/>
              <w:rPr>
                <w:szCs w:val="28"/>
              </w:rPr>
            </w:pPr>
            <w:r>
              <w:rPr>
                <w:rFonts w:hint="eastAsia"/>
                <w:szCs w:val="28"/>
              </w:rPr>
              <w:t>机构号</w:t>
            </w:r>
          </w:p>
        </w:tc>
        <w:tc>
          <w:tcPr>
            <w:tcW w:w="1619" w:type="dxa"/>
          </w:tcPr>
          <w:p>
            <w:pPr>
              <w:ind w:firstLine="0" w:firstLineChars="0"/>
              <w:rPr>
                <w:szCs w:val="28"/>
              </w:rPr>
            </w:pPr>
          </w:p>
        </w:tc>
        <w:tc>
          <w:tcPr>
            <w:tcW w:w="901" w:type="dxa"/>
          </w:tcPr>
          <w:p>
            <w:pPr>
              <w:ind w:firstLine="0" w:firstLineChars="0"/>
              <w:rPr>
                <w:szCs w:val="28"/>
              </w:rPr>
            </w:pPr>
          </w:p>
        </w:tc>
        <w:tc>
          <w:tcPr>
            <w:tcW w:w="901" w:type="dxa"/>
            <w:vMerge w:val="restart"/>
          </w:tcPr>
          <w:p>
            <w:pPr>
              <w:ind w:firstLine="0" w:firstLineChars="0"/>
              <w:rPr>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2458" w:type="dxa"/>
          </w:tcPr>
          <w:p>
            <w:pPr>
              <w:ind w:firstLine="0" w:firstLineChars="0"/>
              <w:jc w:val="both"/>
              <w:rPr>
                <w:szCs w:val="28"/>
              </w:rPr>
            </w:pPr>
            <w:r>
              <w:rPr>
                <w:rFonts w:hint="eastAsia"/>
                <w:szCs w:val="28"/>
              </w:rPr>
              <w:t>各项存款余额</w:t>
            </w:r>
          </w:p>
        </w:tc>
        <w:tc>
          <w:tcPr>
            <w:tcW w:w="1619" w:type="dxa"/>
          </w:tcPr>
          <w:p>
            <w:pPr>
              <w:ind w:firstLine="0" w:firstLineChars="0"/>
              <w:jc w:val="both"/>
              <w:rPr>
                <w:szCs w:val="28"/>
              </w:rPr>
            </w:pPr>
          </w:p>
        </w:tc>
        <w:tc>
          <w:tcPr>
            <w:tcW w:w="901" w:type="dxa"/>
          </w:tcPr>
          <w:p>
            <w:pPr>
              <w:ind w:firstLine="0" w:firstLineChars="0"/>
              <w:jc w:val="both"/>
              <w:rPr>
                <w:rFonts w:hint="eastAsia"/>
                <w:szCs w:val="28"/>
              </w:rPr>
            </w:pPr>
          </w:p>
        </w:tc>
        <w:tc>
          <w:tcPr>
            <w:tcW w:w="901" w:type="dxa"/>
            <w:vMerge w:val="continue"/>
          </w:tcPr>
          <w:p>
            <w:pPr>
              <w:ind w:firstLine="0" w:firstLineChars="0"/>
              <w:jc w:val="both"/>
              <w:rPr>
                <w:szCs w:val="28"/>
              </w:rPr>
            </w:pPr>
          </w:p>
        </w:tc>
      </w:tr>
      <w:tr>
        <w:tblPrEx>
          <w:tblLayout w:type="fixed"/>
        </w:tblPrEx>
        <w:trPr>
          <w:trHeight w:val="270" w:hRule="atLeast"/>
        </w:trPr>
        <w:tc>
          <w:tcPr>
            <w:tcW w:w="2458" w:type="dxa"/>
          </w:tcPr>
          <w:p>
            <w:pPr>
              <w:ind w:firstLine="0" w:firstLineChars="0"/>
              <w:jc w:val="both"/>
              <w:rPr>
                <w:szCs w:val="28"/>
              </w:rPr>
            </w:pPr>
            <w:r>
              <w:rPr>
                <w:szCs w:val="28"/>
              </w:rPr>
              <w:t>活期存款余额</w:t>
            </w:r>
          </w:p>
        </w:tc>
        <w:tc>
          <w:tcPr>
            <w:tcW w:w="1619" w:type="dxa"/>
          </w:tcPr>
          <w:p>
            <w:pPr>
              <w:ind w:firstLine="0" w:firstLineChars="0"/>
              <w:jc w:val="both"/>
              <w:rPr>
                <w:szCs w:val="28"/>
              </w:rPr>
            </w:pPr>
          </w:p>
        </w:tc>
        <w:tc>
          <w:tcPr>
            <w:tcW w:w="901" w:type="dxa"/>
          </w:tcPr>
          <w:p>
            <w:pPr>
              <w:ind w:firstLine="0" w:firstLineChars="0"/>
              <w:jc w:val="both"/>
              <w:rPr>
                <w:szCs w:val="28"/>
              </w:rPr>
            </w:pPr>
          </w:p>
        </w:tc>
        <w:tc>
          <w:tcPr>
            <w:tcW w:w="901" w:type="dxa"/>
            <w:vMerge w:val="continue"/>
          </w:tcPr>
          <w:p>
            <w:pPr>
              <w:ind w:firstLine="0" w:firstLineChars="0"/>
              <w:jc w:val="both"/>
              <w:rPr>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58" w:type="dxa"/>
          </w:tcPr>
          <w:p>
            <w:pPr>
              <w:ind w:firstLine="0" w:firstLineChars="0"/>
              <w:jc w:val="both"/>
              <w:rPr>
                <w:szCs w:val="28"/>
              </w:rPr>
            </w:pPr>
            <w:r>
              <w:rPr>
                <w:szCs w:val="28"/>
              </w:rPr>
              <w:t>定期存款余额</w:t>
            </w:r>
          </w:p>
        </w:tc>
        <w:tc>
          <w:tcPr>
            <w:tcW w:w="1619" w:type="dxa"/>
          </w:tcPr>
          <w:p>
            <w:pPr>
              <w:ind w:firstLine="0" w:firstLineChars="0"/>
              <w:jc w:val="both"/>
              <w:rPr>
                <w:szCs w:val="28"/>
              </w:rPr>
            </w:pPr>
            <w:r>
              <w:rPr>
                <w:rFonts w:hint="eastAsia"/>
                <w:szCs w:val="28"/>
              </w:rPr>
              <w:t>　</w:t>
            </w:r>
          </w:p>
        </w:tc>
        <w:tc>
          <w:tcPr>
            <w:tcW w:w="901" w:type="dxa"/>
          </w:tcPr>
          <w:p>
            <w:pPr>
              <w:ind w:firstLine="0" w:firstLineChars="0"/>
              <w:jc w:val="both"/>
              <w:rPr>
                <w:szCs w:val="28"/>
              </w:rPr>
            </w:pPr>
          </w:p>
        </w:tc>
        <w:tc>
          <w:tcPr>
            <w:tcW w:w="901" w:type="dxa"/>
            <w:vMerge w:val="continue"/>
          </w:tcPr>
          <w:p>
            <w:pPr>
              <w:ind w:firstLine="0" w:firstLineChars="0"/>
              <w:jc w:val="both"/>
              <w:rPr>
                <w:szCs w:val="28"/>
              </w:rPr>
            </w:pPr>
          </w:p>
        </w:tc>
      </w:tr>
      <w:tr>
        <w:tblPrEx>
          <w:tblLayout w:type="fixed"/>
        </w:tblPrEx>
        <w:trPr>
          <w:trHeight w:val="285" w:hRule="atLeast"/>
        </w:trPr>
        <w:tc>
          <w:tcPr>
            <w:tcW w:w="2458" w:type="dxa"/>
          </w:tcPr>
          <w:p>
            <w:pPr>
              <w:ind w:firstLine="0" w:firstLineChars="0"/>
              <w:jc w:val="both"/>
              <w:rPr>
                <w:szCs w:val="28"/>
              </w:rPr>
            </w:pPr>
            <w:r>
              <w:rPr>
                <w:szCs w:val="28"/>
              </w:rPr>
              <w:t>对私存款余额</w:t>
            </w:r>
          </w:p>
        </w:tc>
        <w:tc>
          <w:tcPr>
            <w:tcW w:w="1619" w:type="dxa"/>
          </w:tcPr>
          <w:p>
            <w:pPr>
              <w:ind w:firstLine="0" w:firstLineChars="0"/>
              <w:jc w:val="both"/>
              <w:rPr>
                <w:rFonts w:hint="eastAsia"/>
                <w:szCs w:val="28"/>
              </w:rPr>
            </w:pPr>
          </w:p>
        </w:tc>
        <w:tc>
          <w:tcPr>
            <w:tcW w:w="901" w:type="dxa"/>
          </w:tcPr>
          <w:p>
            <w:pPr>
              <w:ind w:firstLine="0" w:firstLineChars="0"/>
              <w:jc w:val="both"/>
              <w:rPr>
                <w:szCs w:val="28"/>
              </w:rPr>
            </w:pPr>
          </w:p>
        </w:tc>
        <w:tc>
          <w:tcPr>
            <w:tcW w:w="901" w:type="dxa"/>
            <w:vMerge w:val="continue"/>
          </w:tcPr>
          <w:p>
            <w:pPr>
              <w:ind w:firstLine="0" w:firstLineChars="0"/>
              <w:jc w:val="both"/>
              <w:rPr>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58" w:type="dxa"/>
          </w:tcPr>
          <w:p>
            <w:pPr>
              <w:ind w:firstLine="0" w:firstLineChars="0"/>
              <w:jc w:val="both"/>
              <w:rPr>
                <w:szCs w:val="28"/>
              </w:rPr>
            </w:pPr>
            <w:r>
              <w:rPr>
                <w:szCs w:val="28"/>
              </w:rPr>
              <w:t>个人活期存款余额</w:t>
            </w:r>
          </w:p>
        </w:tc>
        <w:tc>
          <w:tcPr>
            <w:tcW w:w="1619" w:type="dxa"/>
          </w:tcPr>
          <w:p>
            <w:pPr>
              <w:ind w:firstLine="0" w:firstLineChars="0"/>
              <w:jc w:val="both"/>
              <w:rPr>
                <w:rFonts w:hint="eastAsia"/>
                <w:szCs w:val="28"/>
              </w:rPr>
            </w:pPr>
          </w:p>
        </w:tc>
        <w:tc>
          <w:tcPr>
            <w:tcW w:w="901" w:type="dxa"/>
          </w:tcPr>
          <w:p>
            <w:pPr>
              <w:ind w:firstLine="0" w:firstLineChars="0"/>
              <w:jc w:val="both"/>
              <w:rPr>
                <w:szCs w:val="28"/>
              </w:rPr>
            </w:pPr>
          </w:p>
        </w:tc>
        <w:tc>
          <w:tcPr>
            <w:tcW w:w="901" w:type="dxa"/>
            <w:vMerge w:val="continue"/>
          </w:tcPr>
          <w:p>
            <w:pPr>
              <w:ind w:firstLine="0" w:firstLineChars="0"/>
              <w:jc w:val="both"/>
              <w:rPr>
                <w:szCs w:val="28"/>
              </w:rPr>
            </w:pPr>
          </w:p>
        </w:tc>
      </w:tr>
      <w:tr>
        <w:tblPrEx>
          <w:tblLayout w:type="fixed"/>
        </w:tblPrEx>
        <w:trPr>
          <w:trHeight w:val="285" w:hRule="atLeast"/>
        </w:trPr>
        <w:tc>
          <w:tcPr>
            <w:tcW w:w="2458" w:type="dxa"/>
          </w:tcPr>
          <w:p>
            <w:pPr>
              <w:ind w:firstLine="0" w:firstLineChars="0"/>
              <w:jc w:val="both"/>
              <w:rPr>
                <w:szCs w:val="28"/>
              </w:rPr>
            </w:pPr>
            <w:r>
              <w:rPr>
                <w:szCs w:val="28"/>
              </w:rPr>
              <w:t>个人定期存款余额</w:t>
            </w:r>
          </w:p>
        </w:tc>
        <w:tc>
          <w:tcPr>
            <w:tcW w:w="1619" w:type="dxa"/>
          </w:tcPr>
          <w:p>
            <w:pPr>
              <w:ind w:firstLine="0" w:firstLineChars="0"/>
              <w:jc w:val="both"/>
              <w:rPr>
                <w:rFonts w:hint="eastAsia"/>
                <w:szCs w:val="28"/>
              </w:rPr>
            </w:pPr>
          </w:p>
        </w:tc>
        <w:tc>
          <w:tcPr>
            <w:tcW w:w="901" w:type="dxa"/>
          </w:tcPr>
          <w:p>
            <w:pPr>
              <w:ind w:firstLine="0" w:firstLineChars="0"/>
              <w:jc w:val="both"/>
              <w:rPr>
                <w:szCs w:val="28"/>
              </w:rPr>
            </w:pPr>
          </w:p>
        </w:tc>
        <w:tc>
          <w:tcPr>
            <w:tcW w:w="901" w:type="dxa"/>
            <w:vMerge w:val="continue"/>
          </w:tcPr>
          <w:p>
            <w:pPr>
              <w:ind w:firstLine="0" w:firstLineChars="0"/>
              <w:jc w:val="both"/>
              <w:rPr>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58" w:type="dxa"/>
          </w:tcPr>
          <w:p>
            <w:pPr>
              <w:ind w:firstLine="0" w:firstLineChars="0"/>
              <w:jc w:val="both"/>
              <w:rPr>
                <w:szCs w:val="28"/>
              </w:rPr>
            </w:pPr>
            <w:r>
              <w:rPr>
                <w:szCs w:val="28"/>
              </w:rPr>
              <w:t>对公存款余额</w:t>
            </w:r>
          </w:p>
        </w:tc>
        <w:tc>
          <w:tcPr>
            <w:tcW w:w="1619" w:type="dxa"/>
          </w:tcPr>
          <w:p>
            <w:pPr>
              <w:ind w:firstLine="0" w:firstLineChars="0"/>
              <w:jc w:val="both"/>
              <w:rPr>
                <w:rFonts w:hint="eastAsia"/>
                <w:szCs w:val="28"/>
              </w:rPr>
            </w:pPr>
          </w:p>
        </w:tc>
        <w:tc>
          <w:tcPr>
            <w:tcW w:w="901" w:type="dxa"/>
          </w:tcPr>
          <w:p>
            <w:pPr>
              <w:ind w:firstLine="0" w:firstLineChars="0"/>
              <w:jc w:val="both"/>
              <w:rPr>
                <w:szCs w:val="28"/>
              </w:rPr>
            </w:pPr>
          </w:p>
        </w:tc>
        <w:tc>
          <w:tcPr>
            <w:tcW w:w="901" w:type="dxa"/>
            <w:vMerge w:val="continue"/>
          </w:tcPr>
          <w:p>
            <w:pPr>
              <w:ind w:firstLine="0" w:firstLineChars="0"/>
              <w:jc w:val="both"/>
              <w:rPr>
                <w:szCs w:val="28"/>
              </w:rPr>
            </w:pPr>
          </w:p>
        </w:tc>
      </w:tr>
      <w:tr>
        <w:tblPrEx>
          <w:tblLayout w:type="fixed"/>
        </w:tblPrEx>
        <w:trPr>
          <w:trHeight w:val="285" w:hRule="atLeast"/>
        </w:trPr>
        <w:tc>
          <w:tcPr>
            <w:tcW w:w="2458" w:type="dxa"/>
          </w:tcPr>
          <w:p>
            <w:pPr>
              <w:ind w:firstLine="0" w:firstLineChars="0"/>
              <w:jc w:val="both"/>
              <w:rPr>
                <w:szCs w:val="28"/>
              </w:rPr>
            </w:pPr>
            <w:r>
              <w:rPr>
                <w:szCs w:val="28"/>
              </w:rPr>
              <w:t>单位活期存款余额</w:t>
            </w:r>
          </w:p>
        </w:tc>
        <w:tc>
          <w:tcPr>
            <w:tcW w:w="1619" w:type="dxa"/>
          </w:tcPr>
          <w:p>
            <w:pPr>
              <w:ind w:firstLine="0" w:firstLineChars="0"/>
              <w:jc w:val="both"/>
              <w:rPr>
                <w:rFonts w:hint="eastAsia"/>
                <w:szCs w:val="28"/>
              </w:rPr>
            </w:pPr>
          </w:p>
        </w:tc>
        <w:tc>
          <w:tcPr>
            <w:tcW w:w="901" w:type="dxa"/>
          </w:tcPr>
          <w:p>
            <w:pPr>
              <w:ind w:firstLine="0" w:firstLineChars="0"/>
              <w:jc w:val="both"/>
              <w:rPr>
                <w:szCs w:val="28"/>
              </w:rPr>
            </w:pPr>
          </w:p>
        </w:tc>
        <w:tc>
          <w:tcPr>
            <w:tcW w:w="901" w:type="dxa"/>
            <w:vMerge w:val="continue"/>
          </w:tcPr>
          <w:p>
            <w:pPr>
              <w:ind w:firstLine="0" w:firstLineChars="0"/>
              <w:jc w:val="both"/>
              <w:rPr>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58" w:type="dxa"/>
          </w:tcPr>
          <w:p>
            <w:pPr>
              <w:ind w:firstLine="0" w:firstLineChars="0"/>
              <w:jc w:val="both"/>
              <w:rPr>
                <w:szCs w:val="28"/>
              </w:rPr>
            </w:pPr>
            <w:r>
              <w:rPr>
                <w:szCs w:val="28"/>
              </w:rPr>
              <w:t>单位定期存款余额</w:t>
            </w:r>
          </w:p>
        </w:tc>
        <w:tc>
          <w:tcPr>
            <w:tcW w:w="1619" w:type="dxa"/>
          </w:tcPr>
          <w:p>
            <w:pPr>
              <w:ind w:firstLine="0" w:firstLineChars="0"/>
              <w:jc w:val="both"/>
              <w:rPr>
                <w:rFonts w:hint="eastAsia"/>
                <w:szCs w:val="28"/>
              </w:rPr>
            </w:pPr>
          </w:p>
        </w:tc>
        <w:tc>
          <w:tcPr>
            <w:tcW w:w="901" w:type="dxa"/>
          </w:tcPr>
          <w:p>
            <w:pPr>
              <w:ind w:firstLine="0" w:firstLineChars="0"/>
              <w:jc w:val="both"/>
              <w:rPr>
                <w:szCs w:val="28"/>
              </w:rPr>
            </w:pPr>
          </w:p>
        </w:tc>
        <w:tc>
          <w:tcPr>
            <w:tcW w:w="901" w:type="dxa"/>
            <w:vMerge w:val="continue"/>
          </w:tcPr>
          <w:p>
            <w:pPr>
              <w:ind w:firstLine="0" w:firstLineChars="0"/>
              <w:jc w:val="both"/>
              <w:rPr>
                <w:szCs w:val="28"/>
              </w:rPr>
            </w:pPr>
          </w:p>
        </w:tc>
      </w:tr>
      <w:tr>
        <w:tblPrEx>
          <w:tblLayout w:type="fixed"/>
        </w:tblPrEx>
        <w:trPr>
          <w:trHeight w:val="285" w:hRule="atLeast"/>
        </w:trPr>
        <w:tc>
          <w:tcPr>
            <w:tcW w:w="2458" w:type="dxa"/>
          </w:tcPr>
          <w:p>
            <w:pPr>
              <w:ind w:firstLine="0" w:firstLineChars="0"/>
              <w:jc w:val="both"/>
              <w:rPr>
                <w:szCs w:val="28"/>
              </w:rPr>
            </w:pPr>
            <w:r>
              <w:rPr>
                <w:szCs w:val="28"/>
              </w:rPr>
              <w:t>财政性存款余额</w:t>
            </w:r>
          </w:p>
        </w:tc>
        <w:tc>
          <w:tcPr>
            <w:tcW w:w="1619" w:type="dxa"/>
          </w:tcPr>
          <w:p>
            <w:pPr>
              <w:ind w:firstLine="0" w:firstLineChars="0"/>
              <w:jc w:val="both"/>
              <w:rPr>
                <w:rFonts w:hint="eastAsia"/>
                <w:szCs w:val="28"/>
              </w:rPr>
            </w:pPr>
          </w:p>
        </w:tc>
        <w:tc>
          <w:tcPr>
            <w:tcW w:w="901" w:type="dxa"/>
          </w:tcPr>
          <w:p>
            <w:pPr>
              <w:ind w:firstLine="0" w:firstLineChars="0"/>
              <w:jc w:val="both"/>
              <w:rPr>
                <w:szCs w:val="28"/>
              </w:rPr>
            </w:pPr>
          </w:p>
        </w:tc>
        <w:tc>
          <w:tcPr>
            <w:tcW w:w="901" w:type="dxa"/>
            <w:vMerge w:val="continue"/>
          </w:tcPr>
          <w:p>
            <w:pPr>
              <w:ind w:firstLine="0" w:firstLineChars="0"/>
              <w:jc w:val="both"/>
              <w:rPr>
                <w:szCs w:val="28"/>
              </w:rPr>
            </w:pPr>
          </w:p>
        </w:tc>
      </w:tr>
    </w:tbl>
    <w:p>
      <w:pPr>
        <w:pStyle w:val="3"/>
        <w:ind w:left="140"/>
        <w:rPr>
          <w:rFonts w:hint="eastAsia"/>
        </w:rPr>
      </w:pPr>
      <w:r>
        <w:rPr>
          <w:rFonts w:hint="eastAsia"/>
        </w:rPr>
        <w:t>关联方式</w:t>
      </w:r>
    </w:p>
    <w:p>
      <w:pPr>
        <w:ind w:firstLine="560"/>
        <w:rPr>
          <w:rFonts w:hint="eastAsia"/>
        </w:rPr>
      </w:pPr>
      <w:r>
        <w:rPr>
          <w:rFonts w:hint="eastAsia"/>
          <w:szCs w:val="28"/>
        </w:rPr>
        <w:t>各项存款余额=</w:t>
      </w:r>
      <w:r>
        <w:rPr>
          <w:szCs w:val="28"/>
        </w:rPr>
        <w:t>活期存款余额</w:t>
      </w:r>
      <w:r>
        <w:rPr>
          <w:rFonts w:hint="eastAsia"/>
          <w:szCs w:val="28"/>
        </w:rPr>
        <w:t>+</w:t>
      </w:r>
      <w:r>
        <w:rPr>
          <w:rFonts w:ascii="Microsoft YaHei" w:hAnsi="Microsoft YaHei" w:cs="Microsoft YaHei"/>
          <w:kern w:val="0"/>
          <w:sz w:val="22"/>
          <w:szCs w:val="22"/>
        </w:rPr>
        <w:t>定期存款余额</w:t>
      </w:r>
      <w:r>
        <w:rPr>
          <w:rFonts w:hint="eastAsia" w:ascii="Microsoft YaHei" w:hAnsi="Microsoft YaHei" w:cs="Microsoft YaHei"/>
          <w:kern w:val="0"/>
          <w:sz w:val="22"/>
          <w:szCs w:val="22"/>
        </w:rPr>
        <w:t>+</w:t>
      </w:r>
      <w:r>
        <w:rPr>
          <w:rFonts w:ascii="Microsoft YaHei" w:hAnsi="Microsoft YaHei" w:cs="Microsoft YaHei"/>
          <w:kern w:val="0"/>
          <w:sz w:val="22"/>
          <w:szCs w:val="22"/>
        </w:rPr>
        <w:t>财政性存款余额</w:t>
      </w:r>
    </w:p>
    <w:p>
      <w:pPr>
        <w:ind w:firstLine="560"/>
      </w:pPr>
      <w:r>
        <w:rPr>
          <w:szCs w:val="28"/>
        </w:rPr>
        <w:t>活期存款余额</w:t>
      </w:r>
      <w:r>
        <w:rPr>
          <w:rFonts w:hint="eastAsia"/>
          <w:szCs w:val="28"/>
        </w:rPr>
        <w:t>：</w:t>
      </w:r>
    </w:p>
    <w:p>
      <w:pPr>
        <w:ind w:firstLine="560"/>
      </w:pPr>
    </w:p>
    <w:p>
      <w:pPr>
        <w:ind w:firstLine="56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Segoe UI Symbol">
    <w:altName w:val="苹方-简"/>
    <w:panose1 w:val="020B0502040204020203"/>
    <w:charset w:val="00"/>
    <w:family w:val="swiss"/>
    <w:pitch w:val="default"/>
    <w:sig w:usb0="00000000" w:usb1="00000000" w:usb2="0064C000" w:usb3="00000000" w:csb0="00000001" w:csb1="00000000"/>
  </w:font>
  <w:font w:name="仿宋">
    <w:altName w:val="汉仪仿宋KW"/>
    <w:panose1 w:val="02010609060101010101"/>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汉仪仿宋KW">
    <w:panose1 w:val="00020600040101010101"/>
    <w:charset w:val="86"/>
    <w:family w:val="auto"/>
    <w:pitch w:val="default"/>
    <w:sig w:usb0="A00002BF" w:usb1="18EF7CFA" w:usb2="00000016" w:usb3="00000000" w:csb0="00040000" w:csb1="00000000"/>
  </w:font>
  <w:font w:name="仿宋_GB2312">
    <w:altName w:val="汉仪仿宋KW"/>
    <w:panose1 w:val="00000000000000000000"/>
    <w:charset w:val="86"/>
    <w:family w:val="modern"/>
    <w:pitch w:val="default"/>
    <w:sig w:usb0="00000000" w:usb1="0000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1" w:csb1="00000000"/>
  </w:font>
  <w:font w:name="汉仪旗黑KW">
    <w:panose1 w:val="00020600040101010101"/>
    <w:charset w:val="86"/>
    <w:family w:val="auto"/>
    <w:pitch w:val="default"/>
    <w:sig w:usb0="A00002BF" w:usb1="3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等线 Light">
    <w:altName w:val="汉仪中等线KW"/>
    <w:panose1 w:val="02010600030101010101"/>
    <w:charset w:val="00"/>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楷体_GB2312">
    <w:altName w:val="汉仪楷体KW"/>
    <w:panose1 w:val="00000000000000000000"/>
    <w:charset w:val="86"/>
    <w:family w:val="modern"/>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Apple Chancery">
    <w:panose1 w:val="03020702040506060504"/>
    <w:charset w:val="00"/>
    <w:family w:val="auto"/>
    <w:pitch w:val="default"/>
    <w:sig w:usb0="80000067" w:usb1="00000003" w:usb2="00000000" w:usb3="00000000" w:csb0="200001F3" w:csb1="CDFC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left"/>
    </w:pPr>
    <w:r>
      <w:rPr>
        <w:rFonts w:hint="default"/>
      </w:rPr>
      <w:t>BDM大数据指标</w:t>
    </w:r>
    <w:r>
      <w:rPr>
        <w:rFonts w:hint="eastAsia"/>
      </w:rPr>
      <w:t>管理平台需求说明书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51103"/>
    <w:multiLevelType w:val="multilevel"/>
    <w:tmpl w:val="7CA51103"/>
    <w:lvl w:ilvl="0" w:tentative="0">
      <w:start w:val="1"/>
      <w:numFmt w:val="decimal"/>
      <w:pStyle w:val="2"/>
      <w:lvlText w:val="%1"/>
      <w:lvlJc w:val="left"/>
      <w:pPr>
        <w:ind w:left="570" w:hanging="570"/>
      </w:pPr>
      <w:rPr>
        <w:rFonts w:hint="default"/>
      </w:rPr>
    </w:lvl>
    <w:lvl w:ilvl="1" w:tentative="0">
      <w:start w:val="1"/>
      <w:numFmt w:val="decimal"/>
      <w:pStyle w:val="3"/>
      <w:lvlText w:val="%1.%2"/>
      <w:lvlJc w:val="left"/>
      <w:pPr>
        <w:ind w:left="4255" w:hanging="570"/>
      </w:pPr>
      <w:rPr>
        <w:rFonts w:hint="default"/>
      </w:rPr>
    </w:lvl>
    <w:lvl w:ilvl="2" w:tentative="0">
      <w:start w:val="1"/>
      <w:numFmt w:val="decimal"/>
      <w:pStyle w:val="4"/>
      <w:lvlText w:val="%1.%2.%3"/>
      <w:lvlJc w:val="left"/>
      <w:pPr>
        <w:ind w:left="7382"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B7707"/>
    <w:rsid w:val="00004F72"/>
    <w:rsid w:val="00027CF7"/>
    <w:rsid w:val="00042467"/>
    <w:rsid w:val="000613CF"/>
    <w:rsid w:val="00071EF3"/>
    <w:rsid w:val="00077643"/>
    <w:rsid w:val="000870AB"/>
    <w:rsid w:val="000D6EB3"/>
    <w:rsid w:val="000E4A2B"/>
    <w:rsid w:val="0012386C"/>
    <w:rsid w:val="00124607"/>
    <w:rsid w:val="001310BA"/>
    <w:rsid w:val="00151DE1"/>
    <w:rsid w:val="00196AD8"/>
    <w:rsid w:val="001A33BE"/>
    <w:rsid w:val="001B64FF"/>
    <w:rsid w:val="001C37CA"/>
    <w:rsid w:val="0023146F"/>
    <w:rsid w:val="00240807"/>
    <w:rsid w:val="00264BD8"/>
    <w:rsid w:val="00274BCB"/>
    <w:rsid w:val="00291D6E"/>
    <w:rsid w:val="002B6EF9"/>
    <w:rsid w:val="002C1648"/>
    <w:rsid w:val="002D208D"/>
    <w:rsid w:val="002E0768"/>
    <w:rsid w:val="003120CE"/>
    <w:rsid w:val="00336144"/>
    <w:rsid w:val="0034159C"/>
    <w:rsid w:val="00356576"/>
    <w:rsid w:val="00357C9C"/>
    <w:rsid w:val="00365648"/>
    <w:rsid w:val="00367AD9"/>
    <w:rsid w:val="00371D2A"/>
    <w:rsid w:val="00392108"/>
    <w:rsid w:val="003A4B05"/>
    <w:rsid w:val="003E6001"/>
    <w:rsid w:val="003F6D7E"/>
    <w:rsid w:val="00421987"/>
    <w:rsid w:val="004306B8"/>
    <w:rsid w:val="00447B0D"/>
    <w:rsid w:val="00454B69"/>
    <w:rsid w:val="00463366"/>
    <w:rsid w:val="00474652"/>
    <w:rsid w:val="00476B52"/>
    <w:rsid w:val="004A6589"/>
    <w:rsid w:val="004B117C"/>
    <w:rsid w:val="004B39FE"/>
    <w:rsid w:val="004C30C7"/>
    <w:rsid w:val="004D2304"/>
    <w:rsid w:val="004E0651"/>
    <w:rsid w:val="004E1946"/>
    <w:rsid w:val="005107CB"/>
    <w:rsid w:val="00541005"/>
    <w:rsid w:val="005421CC"/>
    <w:rsid w:val="00544E09"/>
    <w:rsid w:val="005A1F31"/>
    <w:rsid w:val="005A2CEA"/>
    <w:rsid w:val="005A4B5E"/>
    <w:rsid w:val="005A5BF7"/>
    <w:rsid w:val="005A68CE"/>
    <w:rsid w:val="005A7FFD"/>
    <w:rsid w:val="005C2CDB"/>
    <w:rsid w:val="005D302F"/>
    <w:rsid w:val="005D7B89"/>
    <w:rsid w:val="005E22F2"/>
    <w:rsid w:val="00603274"/>
    <w:rsid w:val="00606800"/>
    <w:rsid w:val="00622E9F"/>
    <w:rsid w:val="00633926"/>
    <w:rsid w:val="00635832"/>
    <w:rsid w:val="00640A4B"/>
    <w:rsid w:val="0064355B"/>
    <w:rsid w:val="00650308"/>
    <w:rsid w:val="006522C4"/>
    <w:rsid w:val="00655838"/>
    <w:rsid w:val="006559AF"/>
    <w:rsid w:val="00680E49"/>
    <w:rsid w:val="00681E43"/>
    <w:rsid w:val="00692E10"/>
    <w:rsid w:val="006C6E97"/>
    <w:rsid w:val="006D18E4"/>
    <w:rsid w:val="006E1D4D"/>
    <w:rsid w:val="00723DAC"/>
    <w:rsid w:val="00741245"/>
    <w:rsid w:val="00756092"/>
    <w:rsid w:val="00761C37"/>
    <w:rsid w:val="007872EB"/>
    <w:rsid w:val="00796CDF"/>
    <w:rsid w:val="007976C9"/>
    <w:rsid w:val="007A6FA7"/>
    <w:rsid w:val="007B4D31"/>
    <w:rsid w:val="007C1F56"/>
    <w:rsid w:val="007D6B05"/>
    <w:rsid w:val="007E360D"/>
    <w:rsid w:val="00812C50"/>
    <w:rsid w:val="00835C32"/>
    <w:rsid w:val="00842A66"/>
    <w:rsid w:val="00861300"/>
    <w:rsid w:val="008717ED"/>
    <w:rsid w:val="008929B1"/>
    <w:rsid w:val="008F4C91"/>
    <w:rsid w:val="00905BBC"/>
    <w:rsid w:val="009351DC"/>
    <w:rsid w:val="00941310"/>
    <w:rsid w:val="00941D17"/>
    <w:rsid w:val="009424A8"/>
    <w:rsid w:val="0094678A"/>
    <w:rsid w:val="00950A3E"/>
    <w:rsid w:val="009510BF"/>
    <w:rsid w:val="0096758E"/>
    <w:rsid w:val="00990BD3"/>
    <w:rsid w:val="009D602F"/>
    <w:rsid w:val="00A06941"/>
    <w:rsid w:val="00A31B40"/>
    <w:rsid w:val="00A40C09"/>
    <w:rsid w:val="00A468CA"/>
    <w:rsid w:val="00A54710"/>
    <w:rsid w:val="00A62740"/>
    <w:rsid w:val="00A66882"/>
    <w:rsid w:val="00A73248"/>
    <w:rsid w:val="00A808D6"/>
    <w:rsid w:val="00A942BF"/>
    <w:rsid w:val="00A960D7"/>
    <w:rsid w:val="00AB1749"/>
    <w:rsid w:val="00AB1924"/>
    <w:rsid w:val="00AB7707"/>
    <w:rsid w:val="00AD2FD8"/>
    <w:rsid w:val="00B125C5"/>
    <w:rsid w:val="00B2227C"/>
    <w:rsid w:val="00B45D83"/>
    <w:rsid w:val="00B551C6"/>
    <w:rsid w:val="00B67317"/>
    <w:rsid w:val="00BA125D"/>
    <w:rsid w:val="00BE0D0C"/>
    <w:rsid w:val="00BF144C"/>
    <w:rsid w:val="00C239A7"/>
    <w:rsid w:val="00C43443"/>
    <w:rsid w:val="00C43FBD"/>
    <w:rsid w:val="00C7542E"/>
    <w:rsid w:val="00CC1E8F"/>
    <w:rsid w:val="00CC4922"/>
    <w:rsid w:val="00CE45BB"/>
    <w:rsid w:val="00CE6D5B"/>
    <w:rsid w:val="00D06970"/>
    <w:rsid w:val="00D36DCC"/>
    <w:rsid w:val="00D4113F"/>
    <w:rsid w:val="00D57F8F"/>
    <w:rsid w:val="00D80CC1"/>
    <w:rsid w:val="00D92C79"/>
    <w:rsid w:val="00DB35B0"/>
    <w:rsid w:val="00DB4932"/>
    <w:rsid w:val="00DD1642"/>
    <w:rsid w:val="00DF06D4"/>
    <w:rsid w:val="00E1717B"/>
    <w:rsid w:val="00E238EA"/>
    <w:rsid w:val="00E55BB8"/>
    <w:rsid w:val="00E907C0"/>
    <w:rsid w:val="00EA2FBE"/>
    <w:rsid w:val="00EA56A2"/>
    <w:rsid w:val="00EB3690"/>
    <w:rsid w:val="00EB3C45"/>
    <w:rsid w:val="00EB3F89"/>
    <w:rsid w:val="00EC19DA"/>
    <w:rsid w:val="00ED31C5"/>
    <w:rsid w:val="00EE4E0C"/>
    <w:rsid w:val="00EF04BD"/>
    <w:rsid w:val="00F23595"/>
    <w:rsid w:val="00F56343"/>
    <w:rsid w:val="00F57D70"/>
    <w:rsid w:val="00F733BF"/>
    <w:rsid w:val="00F80100"/>
    <w:rsid w:val="00F90A5C"/>
    <w:rsid w:val="00F90E08"/>
    <w:rsid w:val="00F97C50"/>
    <w:rsid w:val="00FA2AB2"/>
    <w:rsid w:val="00FA4B5C"/>
    <w:rsid w:val="00FC601C"/>
    <w:rsid w:val="00FD2075"/>
    <w:rsid w:val="00FE526F"/>
    <w:rsid w:val="00FE74AF"/>
    <w:rsid w:val="00FF5EB5"/>
    <w:rsid w:val="7B3CDD3A"/>
    <w:rsid w:val="7DFF88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pPr>
    <w:rPr>
      <w:rFonts w:asciiTheme="minorHAnsi" w:hAnsiTheme="minorHAnsi" w:eastAsiaTheme="minorEastAsia" w:cstheme="minorBidi"/>
      <w:kern w:val="2"/>
      <w:sz w:val="28"/>
      <w:szCs w:val="21"/>
      <w:lang w:val="en-US" w:eastAsia="zh-CN" w:bidi="ar-SA"/>
    </w:rPr>
  </w:style>
  <w:style w:type="paragraph" w:styleId="2">
    <w:name w:val="heading 1"/>
    <w:next w:val="1"/>
    <w:link w:val="14"/>
    <w:qFormat/>
    <w:uiPriority w:val="9"/>
    <w:pPr>
      <w:keepNext/>
      <w:keepLines/>
      <w:numPr>
        <w:ilvl w:val="0"/>
        <w:numId w:val="1"/>
      </w:numPr>
      <w:spacing w:before="340" w:after="330" w:line="578" w:lineRule="auto"/>
      <w:ind w:left="0" w:firstLine="0"/>
      <w:outlineLvl w:val="0"/>
    </w:pPr>
    <w:rPr>
      <w:rFonts w:asciiTheme="minorHAnsi" w:hAnsiTheme="minorHAnsi" w:eastAsiaTheme="minorEastAsia" w:cstheme="minorBidi"/>
      <w:b/>
      <w:bCs/>
      <w:kern w:val="44"/>
      <w:sz w:val="44"/>
      <w:szCs w:val="44"/>
      <w:lang w:val="en-US" w:eastAsia="zh-CN" w:bidi="ar-SA"/>
    </w:rPr>
  </w:style>
  <w:style w:type="paragraph" w:styleId="3">
    <w:name w:val="heading 2"/>
    <w:basedOn w:val="1"/>
    <w:next w:val="1"/>
    <w:link w:val="17"/>
    <w:unhideWhenUsed/>
    <w:qFormat/>
    <w:uiPriority w:val="9"/>
    <w:pPr>
      <w:keepNext/>
      <w:keepLines/>
      <w:numPr>
        <w:ilvl w:val="1"/>
        <w:numId w:val="1"/>
      </w:numPr>
      <w:spacing w:before="260" w:after="260" w:line="720" w:lineRule="auto"/>
      <w:ind w:left="50" w:leftChars="50"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numPr>
        <w:ilvl w:val="2"/>
        <w:numId w:val="1"/>
      </w:numPr>
      <w:spacing w:before="260" w:after="260" w:line="415" w:lineRule="auto"/>
      <w:ind w:left="50" w:leftChars="50" w:firstLine="0" w:firstLineChars="0"/>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3"/>
    <w:unhideWhenUsed/>
    <w:qFormat/>
    <w:uiPriority w:val="99"/>
    <w:rPr>
      <w:rFonts w:ascii="宋体" w:eastAsia="宋体"/>
      <w:sz w:val="18"/>
      <w:szCs w:val="18"/>
    </w:rPr>
  </w:style>
  <w:style w:type="paragraph" w:styleId="7">
    <w:name w:val="Balloon Text"/>
    <w:basedOn w:val="1"/>
    <w:link w:val="16"/>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next w:val="1"/>
    <w:link w:val="19"/>
    <w:qFormat/>
    <w:uiPriority w:val="10"/>
    <w:pPr>
      <w:spacing w:before="240" w:after="60"/>
      <w:ind w:firstLine="0" w:firstLineChars="0"/>
      <w:jc w:val="center"/>
      <w:outlineLvl w:val="0"/>
    </w:pPr>
    <w:rPr>
      <w:rFonts w:asciiTheme="majorHAnsi" w:hAnsiTheme="majorHAnsi" w:eastAsiaTheme="majorEastAsia" w:cstheme="majorBidi"/>
      <w:b/>
      <w:bCs/>
      <w:sz w:val="44"/>
      <w:szCs w:val="32"/>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11"/>
    <w:link w:val="2"/>
    <w:qFormat/>
    <w:uiPriority w:val="9"/>
    <w:rPr>
      <w:b/>
      <w:bCs/>
      <w:kern w:val="44"/>
      <w:sz w:val="44"/>
      <w:szCs w:val="44"/>
    </w:rPr>
  </w:style>
  <w:style w:type="paragraph" w:customStyle="1" w:styleId="15">
    <w:name w:val="List Paragraph"/>
    <w:basedOn w:val="1"/>
    <w:qFormat/>
    <w:uiPriority w:val="34"/>
    <w:pPr>
      <w:ind w:firstLine="420"/>
    </w:pPr>
  </w:style>
  <w:style w:type="character" w:customStyle="1" w:styleId="16">
    <w:name w:val="批注框文本 Char"/>
    <w:basedOn w:val="11"/>
    <w:link w:val="7"/>
    <w:semiHidden/>
    <w:qFormat/>
    <w:uiPriority w:val="99"/>
    <w:rPr>
      <w:sz w:val="18"/>
      <w:szCs w:val="18"/>
    </w:rPr>
  </w:style>
  <w:style w:type="character" w:customStyle="1" w:styleId="17">
    <w:name w:val="标题 2 Char"/>
    <w:basedOn w:val="11"/>
    <w:link w:val="3"/>
    <w:qFormat/>
    <w:uiPriority w:val="9"/>
    <w:rPr>
      <w:rFonts w:asciiTheme="majorHAnsi" w:hAnsiTheme="majorHAnsi" w:eastAsiaTheme="majorEastAsia" w:cstheme="majorBidi"/>
      <w:b/>
      <w:bCs/>
      <w:sz w:val="32"/>
      <w:szCs w:val="32"/>
    </w:rPr>
  </w:style>
  <w:style w:type="character" w:customStyle="1" w:styleId="18">
    <w:name w:val="标题 3 Char"/>
    <w:basedOn w:val="11"/>
    <w:link w:val="4"/>
    <w:qFormat/>
    <w:uiPriority w:val="9"/>
    <w:rPr>
      <w:b/>
      <w:bCs/>
      <w:sz w:val="32"/>
      <w:szCs w:val="32"/>
    </w:rPr>
  </w:style>
  <w:style w:type="character" w:customStyle="1" w:styleId="19">
    <w:name w:val="标题 Char"/>
    <w:basedOn w:val="11"/>
    <w:link w:val="10"/>
    <w:qFormat/>
    <w:uiPriority w:val="10"/>
    <w:rPr>
      <w:rFonts w:asciiTheme="majorHAnsi" w:hAnsiTheme="majorHAnsi" w:eastAsiaTheme="majorEastAsia" w:cstheme="majorBidi"/>
      <w:b/>
      <w:bCs/>
      <w:sz w:val="44"/>
      <w:szCs w:val="32"/>
    </w:rPr>
  </w:style>
  <w:style w:type="character" w:customStyle="1" w:styleId="20">
    <w:name w:val="标题 4 Char"/>
    <w:basedOn w:val="11"/>
    <w:link w:val="5"/>
    <w:semiHidden/>
    <w:qFormat/>
    <w:uiPriority w:val="9"/>
    <w:rPr>
      <w:rFonts w:asciiTheme="majorHAnsi" w:hAnsiTheme="majorHAnsi" w:eastAsiaTheme="majorEastAsia" w:cstheme="majorBidi"/>
      <w:b/>
      <w:bCs/>
      <w:sz w:val="28"/>
      <w:szCs w:val="28"/>
    </w:rPr>
  </w:style>
  <w:style w:type="character" w:customStyle="1" w:styleId="21">
    <w:name w:val="页眉 Char"/>
    <w:basedOn w:val="11"/>
    <w:link w:val="9"/>
    <w:qFormat/>
    <w:uiPriority w:val="99"/>
    <w:rPr>
      <w:sz w:val="18"/>
      <w:szCs w:val="18"/>
    </w:rPr>
  </w:style>
  <w:style w:type="character" w:customStyle="1" w:styleId="22">
    <w:name w:val="页脚 Char"/>
    <w:basedOn w:val="11"/>
    <w:link w:val="8"/>
    <w:qFormat/>
    <w:uiPriority w:val="99"/>
    <w:rPr>
      <w:sz w:val="18"/>
      <w:szCs w:val="18"/>
    </w:rPr>
  </w:style>
  <w:style w:type="character" w:customStyle="1" w:styleId="23">
    <w:name w:val="文档结构图 Char"/>
    <w:basedOn w:val="11"/>
    <w:link w:val="6"/>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126</Words>
  <Characters>723</Characters>
  <Lines>6</Lines>
  <Paragraphs>1</Paragraphs>
  <TotalTime>0</TotalTime>
  <ScaleCrop>false</ScaleCrop>
  <LinksUpToDate>false</LinksUpToDate>
  <CharactersWithSpaces>848</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2017-09-01T11:11:00Z</dcterms:created>
  <dc:creator>Leon_xzy</dc:creator>
  <cp:lastModifiedBy>jinrao</cp:lastModifiedBy>
  <dcterms:modified xsi:type="dcterms:W3CDTF">2019-04-18T16:47:17Z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