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Style w:val="702"/>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6565"/>
        <w:gridCol w:w="2785"/>
      </w:tblGrid>
      <w:tr>
        <w:trPr/>
        <w:tc>
          <w:tcPr>
            <w:tcBorders/>
            <w:tcW w:w="6565" w:type="dxa"/>
          </w:tcPr>
          <w:p w14:paraId="6E0C2BAE" w14:textId="63F4B482">
            <w:pPr>
              <w:pBdr/>
              <w:spacing w:after="160" w:line="278" w:lineRule="auto"/>
              <w:ind/>
              <w:rPr>
                <w:rFonts w:ascii="Aptos" w:hAnsi="Aptos" w:cs="Arial"/>
                <w:b/>
                <w:bCs/>
                <w:sz w:val="26"/>
                <w:szCs w:val="26"/>
              </w:rPr>
            </w:pPr>
            <w:r>
              <w:rPr>
                <w:rFonts w:ascii="Aptos" w:hAnsi="Aptos" w:cs="Arial"/>
                <w:b/>
                <w:bCs/>
                <w:sz w:val="26"/>
                <w:szCs w:val="26"/>
              </w:rPr>
              <w:t xml:space="preserve">United Nations Security Council (UNSC)</w:t>
            </w:r>
            <w:r>
              <w:rPr>
                <w:rFonts w:ascii="Aptos" w:hAnsi="Aptos" w:cs="Arial"/>
                <w:b/>
                <w:bCs/>
                <w:sz w:val="26"/>
                <w:szCs w:val="26"/>
              </w:rPr>
            </w:r>
          </w:p>
          <w:p w14:paraId="4C69B9E0" w14:textId="204ABB9D">
            <w:pPr>
              <w:pBdr/>
              <w:spacing w:after="160" w:line="278" w:lineRule="auto"/>
              <w:ind/>
              <w:rPr>
                <w:rFonts w:ascii="Aptos" w:hAnsi="Aptos" w:cs="Arial"/>
                <w:b/>
                <w:bCs/>
                <w:sz w:val="26"/>
                <w:szCs w:val="26"/>
              </w:rPr>
            </w:pPr>
            <w:r>
              <w:rPr>
                <w:rFonts w:ascii="Aptos" w:hAnsi="Aptos" w:cs="Arial"/>
                <w:b/>
                <w:bCs/>
                <w:sz w:val="26"/>
                <w:szCs w:val="26"/>
              </w:rPr>
              <w:t xml:space="preserve">The Issue of the Strait of Hormuz</w:t>
            </w:r>
            <w:r>
              <w:rPr>
                <w:rFonts w:ascii="Aptos" w:hAnsi="Aptos" w:cs="Arial"/>
                <w:b/>
                <w:bCs/>
                <w:sz w:val="26"/>
                <w:szCs w:val="26"/>
              </w:rPr>
            </w:r>
          </w:p>
          <w:p w14:paraId="101F810E" w14:textId="687239DA">
            <w:pPr>
              <w:pBdr/>
              <w:spacing/>
              <w:ind/>
              <w:rPr>
                <w:rFonts w:ascii="Aptos" w:hAnsi="Aptos" w:cs="Arial"/>
                <w:sz w:val="26"/>
                <w:szCs w:val="26"/>
              </w:rPr>
            </w:pPr>
            <w:r>
              <w:rPr>
                <w:rFonts w:ascii="Aptos" w:hAnsi="Aptos" w:cs="Arial"/>
                <w:b/>
                <w:bCs/>
                <w:sz w:val="26"/>
                <w:szCs w:val="26"/>
              </w:rPr>
            </w:r>
            <w:r>
              <w:rPr>
                <w:b/>
                <w:bCs/>
              </w:rPr>
              <w:t xml:space="preserve">DELEGATION OF JAPAN</w:t>
            </w:r>
            <w:r>
              <w:rPr>
                <w:rFonts w:ascii="Aptos" w:hAnsi="Aptos" w:cs="Arial"/>
                <w:sz w:val="26"/>
                <w:szCs w:val="26"/>
              </w:rPr>
              <w:br/>
            </w:r>
            <w:r>
              <w:rPr>
                <w:rFonts w:ascii="Aptos" w:hAnsi="Aptos" w:cs="Arial"/>
                <w:sz w:val="26"/>
                <w:szCs w:val="26"/>
              </w:rPr>
            </w:r>
          </w:p>
        </w:tc>
        <w:tc>
          <w:tcPr>
            <w:tcBorders/>
            <w:tcW w:w="2785" w:type="dxa"/>
          </w:tcPr>
          <w:p w14:paraId="23A6AF68" w14:textId="33B616BB">
            <w:pPr>
              <w:pBdr/>
              <w:spacing/>
              <w:ind/>
              <w:jc w:val="center"/>
              <w:rPr>
                <w:rFonts w:ascii="Aptos" w:hAnsi="Aptos" w:cs="Arial"/>
                <w:sz w:val="26"/>
                <w:szCs w:val="26"/>
              </w:rPr>
            </w:pPr>
            <w:r>
              <w:rPr>
                <w:rFonts w:ascii="Aptos" w:hAnsi="Aptos" w:cs="Arial"/>
                <w:sz w:val="26"/>
                <w:szCs w:val="26"/>
              </w:rPr>
              <mc:AlternateContent>
                <mc:Choice Requires="wpg">
                  <w:drawing>
                    <wp:inline xmlns:wp="http://schemas.openxmlformats.org/drawingml/2006/wordprocessingDrawing" distT="0" distB="0" distL="0" distR="0">
                      <wp:extent cx="1370862" cy="925332"/>
                      <wp:effectExtent l="0" t="0" r="127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289333" name="Picture 670289333"/>
                              <pic:cNvPicPr>
                                <a:picLocks noChangeAspect="1"/>
                              </pic:cNvPicPr>
                              <pic:nvPr/>
                            </pic:nvPicPr>
                            <pic:blipFill rotWithShape="1">
                              <a:blip r:embed="rId9"/>
                            </pic:blipFill>
                            <pic:spPr bwMode="auto">
                              <a:xfrm>
                                <a:off x="0" y="0"/>
                                <a:ext cx="1397602" cy="94338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07.94pt;height:72.86pt;mso-wrap-distance-left:0.00pt;mso-wrap-distance-top:0.00pt;mso-wrap-distance-right:0.00pt;mso-wrap-distance-bottom:0.00pt;z-index:1;" stroked="false">
                      <v:imagedata r:id="rId9" o:title=""/>
                      <o:lock v:ext="edit" rotation="t"/>
                    </v:shape>
                  </w:pict>
                </mc:Fallback>
              </mc:AlternateContent>
            </w:r>
            <w:r>
              <w:rPr>
                <w:rFonts w:ascii="Aptos" w:hAnsi="Aptos" w:cs="Arial"/>
                <w:sz w:val="26"/>
                <w:szCs w:val="26"/>
              </w:rPr>
            </w:r>
          </w:p>
        </w:tc>
      </w:tr>
    </w:tbl>
    <w:p w14:paraId="05C8274F" w14:textId="77777777">
      <w:pPr>
        <w:pBdr/>
        <w:spacing/>
        <w:ind/>
        <w:rPr>
          <w:rFonts w:ascii="Aptos" w:hAnsi="Aptos" w:cs="Arial"/>
        </w:rPr>
      </w:pPr>
      <w:r>
        <w:rPr>
          <w:rFonts w:ascii="Aptos" w:hAnsi="Aptos" w:cs="Arial"/>
        </w:rPr>
        <w:pict>
          <v:shape id="shape 1" o:spid="_x0000_s1" o:spt="1" type="#_x0000_t1" style="width:515.00pt;height:1.50pt;mso-wrap-distance-left:0.00pt;mso-wrap-distance-top:0.00pt;mso-wrap-distance-right:0.00pt;mso-wrap-distance-bottom:0.00pt;visibility:visible;" fillcolor="#A0A0A0" stroked="f" o:hr="t" o:hrstd="t" o:hralign="center" o:hrpct="0.000000" o:hrnoshade="f"/>
        </w:pict>
      </w:r>
      <w:r>
        <w:rPr>
          <w:rFonts w:ascii="Aptos" w:hAnsi="Aptos" w:cs="Arial"/>
        </w:rPr>
      </w:r>
    </w:p>
    <w:p w14:paraId="545B482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Delegation of Japan views the Strait of Hormuz not merely as a regional waterway, but as the primary "jugular vein" of the global energy economy. As an island nation whose industrial civilization is sustained almost entirely by seaborne energy trade, J</w:t>
      </w:r>
      <w:r>
        <w:rPr>
          <w:rFonts w:ascii="Times New Roman" w:hAnsi="Times New Roman" w:eastAsia="Times New Roman" w:cs="Times New Roman"/>
          <w:color w:val="000000"/>
          <w:sz w:val="24"/>
        </w:rPr>
        <w:t xml:space="preserve">apan possesses a unique, unparalleled understanding of the legal and strategic responsibilities inherent in managing international maritime chokepoints. </w:t>
      </w:r>
      <w:r/>
      <w:r>
        <w:rPr>
          <w:rFonts w:ascii="Arial" w:hAnsi="Arial" w:eastAsia="Arial" w:cs="Arial"/>
          <w:color w:val="000000"/>
          <w:sz w:val="20"/>
        </w:rPr>
      </w:r>
      <w:r/>
      <w:r>
        <w:rPr>
          <w:rFonts w:ascii="Times New Roman" w:hAnsi="Times New Roman" w:eastAsia="Times New Roman" w:cs="Times New Roman"/>
          <w:sz w:val="24"/>
        </w:rPr>
      </w:r>
    </w:p>
    <w:p w14:paraId="04ADC511">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current situation in the Strait—characterized by naval provocations, the seizure of commercial vessels, and escalatory rhetoric—threatens the energy security of the entire international community. Japan imports ninety percent of its crude oil and the o</w:t>
      </w:r>
      <w:r>
        <w:rPr>
          <w:rFonts w:ascii="Times New Roman" w:hAnsi="Times New Roman" w:eastAsia="Times New Roman" w:cs="Times New Roman"/>
          <w:color w:val="000000"/>
          <w:sz w:val="24"/>
        </w:rPr>
        <w:t xml:space="preserve">verwhelming majority of its liquefied natural gas through the Strait. Therefore, any disruption to transit passage is not just a regional concern, but a direct threat to Japan’s national economic stability and the development goals of the Global South. </w:t>
      </w:r>
      <w:r/>
      <w:r>
        <w:rPr>
          <w:rFonts w:ascii="Arial" w:hAnsi="Arial" w:eastAsia="Arial" w:cs="Arial"/>
          <w:color w:val="000000"/>
          <w:sz w:val="20"/>
        </w:rPr>
      </w:r>
      <w:r/>
      <w:r>
        <w:rPr>
          <w:rFonts w:ascii="Times New Roman" w:hAnsi="Times New Roman" w:eastAsia="Times New Roman" w:cs="Times New Roman"/>
          <w:sz w:val="24"/>
        </w:rPr>
      </w:r>
    </w:p>
    <w:p w14:paraId="499D904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Japan remains a steadfast, unambiguous advocate for the United Nations Convention on the Law of the Sea (UNCLOS). Specifically, Japan emphasizes that Article 38 (Right of Transit Passage) constitutes customary international law. This right is non-suspendab</w:t>
      </w:r>
      <w:r>
        <w:rPr>
          <w:rFonts w:ascii="Times New Roman" w:hAnsi="Times New Roman" w:eastAsia="Times New Roman" w:cs="Times New Roman"/>
          <w:color w:val="000000"/>
          <w:sz w:val="24"/>
        </w:rPr>
        <w:t xml:space="preserve">le. While Japan acknowledges the legitimate security concerns of littoral states, we maintain that "security" cannot be used as a pretext for the unilateral obstruction of international commerce. </w:t>
      </w:r>
      <w:r/>
      <w:r>
        <w:rPr>
          <w:rFonts w:ascii="Arial" w:hAnsi="Arial" w:eastAsia="Arial" w:cs="Arial"/>
          <w:color w:val="000000"/>
          <w:sz w:val="20"/>
        </w:rPr>
      </w:r>
      <w:r/>
      <w:r>
        <w:rPr>
          <w:rFonts w:ascii="Times New Roman" w:hAnsi="Times New Roman" w:eastAsia="Times New Roman" w:cs="Times New Roman"/>
          <w:sz w:val="24"/>
        </w:rPr>
      </w:r>
    </w:p>
    <w:p w14:paraId="38EDFA1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Furthermore, Japan expresses concern regarding the "hyper-militarization" of the Strait. The deployment of vast naval armadas by non-regional powers, while framed as "defensive," has historically led to tactical miscalculations and strategic catastrophes. </w:t>
      </w:r>
      <w:r>
        <w:rPr>
          <w:rFonts w:ascii="Times New Roman" w:hAnsi="Times New Roman" w:eastAsia="Times New Roman" w:cs="Times New Roman"/>
          <w:color w:val="000000"/>
          <w:sz w:val="24"/>
        </w:rPr>
        <w:t xml:space="preserve">Japan believes that a sustainable solution must be rooted in multilateralism, not unilateral naval dominance. </w:t>
      </w:r>
      <w:r/>
      <w:r>
        <w:rPr>
          <w:rFonts w:ascii="Arial" w:hAnsi="Arial" w:eastAsia="Arial" w:cs="Arial"/>
          <w:color w:val="000000"/>
          <w:sz w:val="20"/>
        </w:rPr>
      </w:r>
      <w:r/>
      <w:r>
        <w:rPr>
          <w:rFonts w:ascii="Times New Roman" w:hAnsi="Times New Roman" w:eastAsia="Times New Roman" w:cs="Times New Roman"/>
          <w:sz w:val="24"/>
        </w:rPr>
      </w:r>
    </w:p>
    <w:p w14:paraId="48B8FDE0">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Japan occupies a unique diplomatic position in this Council. As a treaty ally of the United States, we are committed to the rules-based international order; however, we maintain a historically unique, pragmatic, and constructive relationship with the Islam</w:t>
      </w:r>
      <w:r>
        <w:rPr>
          <w:rFonts w:ascii="Times New Roman" w:hAnsi="Times New Roman" w:eastAsia="Times New Roman" w:cs="Times New Roman"/>
          <w:color w:val="000000"/>
          <w:sz w:val="24"/>
        </w:rPr>
        <w:t xml:space="preserve">ic Republic of Iran. Japan has historically rejected unilateral sanctions that bypass the UN framework, believing that economic strangulation often leads to maritime escalation. </w:t>
      </w:r>
      <w:r/>
      <w:r>
        <w:rPr>
          <w:rFonts w:ascii="Arial" w:hAnsi="Arial" w:eastAsia="Arial" w:cs="Arial"/>
          <w:color w:val="000000"/>
          <w:sz w:val="20"/>
        </w:rPr>
      </w:r>
      <w:r/>
      <w:r>
        <w:rPr>
          <w:rFonts w:ascii="Times New Roman" w:hAnsi="Times New Roman" w:eastAsia="Times New Roman" w:cs="Times New Roman"/>
          <w:sz w:val="24"/>
        </w:rPr>
      </w:r>
    </w:p>
    <w:p w14:paraId="209060A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Drawing from our successful, independent diplomatic engagement and dialogue with regional actors, Japan is prepared to serve as a neutral bridge between the P5 and regional states. We believe the path forward requires a transition from a "Security through </w:t>
      </w:r>
      <w:r>
        <w:rPr>
          <w:rFonts w:ascii="Times New Roman" w:hAnsi="Times New Roman" w:eastAsia="Times New Roman" w:cs="Times New Roman"/>
          <w:color w:val="000000"/>
          <w:sz w:val="24"/>
        </w:rPr>
        <w:t xml:space="preserve">Deterrence" model to a "Security through Cooperation" model. </w:t>
      </w:r>
      <w:r>
        <w:rPr>
          <w:rFonts w:ascii="Times New Roman" w:hAnsi="Times New Roman" w:eastAsia="Times New Roman" w:cs="Times New Roman"/>
          <w:color w:val="000000"/>
          <w:sz w:val="24"/>
          <w:szCs w:val="24"/>
          <w:highlight w:val="none"/>
        </w:rPr>
      </w:r>
    </w:p>
    <w:p w14:paraId="1CB7700F">
      <w:pPr>
        <w:pBdr/>
        <w:shd w:val="nil"/>
        <w:spacing/>
        <w:ind/>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szCs w:val="24"/>
          <w:highlight w:val="none"/>
        </w:rPr>
        <w:br w:type="page" w:clear="all"/>
      </w:r>
      <w:r>
        <w:rPr>
          <w:rFonts w:ascii="Times New Roman" w:hAnsi="Times New Roman" w:eastAsia="Times New Roman" w:cs="Times New Roman"/>
          <w:color w:val="000000"/>
          <w:sz w:val="24"/>
          <w:szCs w:val="24"/>
          <w:highlight w:val="none"/>
        </w:rPr>
      </w:r>
      <w:r>
        <w:rPr>
          <w:rFonts w:ascii="Times New Roman" w:hAnsi="Times New Roman" w:eastAsia="Times New Roman" w:cs="Times New Roman"/>
          <w:color w:val="000000"/>
          <w:sz w:val="24"/>
          <w:szCs w:val="24"/>
          <w:highlight w:val="none"/>
        </w:rPr>
      </w:r>
    </w:p>
    <w:p w14:paraId="7F713CF6">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6592BF7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The Delegation of Japan proposes the following three-pillar framework for the Security Council’s consideration: </w:t>
      </w:r>
      <w:r/>
      <w:r>
        <w:rPr>
          <w:rFonts w:ascii="Arial" w:hAnsi="Arial" w:eastAsia="Arial" w:cs="Arial"/>
          <w:color w:val="000000"/>
          <w:sz w:val="20"/>
        </w:rPr>
      </w:r>
      <w:r/>
      <w:r>
        <w:rPr>
          <w:rFonts w:ascii="Times New Roman" w:hAnsi="Times New Roman" w:eastAsia="Times New Roman" w:cs="Times New Roman"/>
          <w:sz w:val="24"/>
        </w:rPr>
      </w:r>
    </w:p>
    <w:p w14:paraId="5153128B">
      <w:pPr>
        <w:pStyle w:val="697"/>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Establishment of a UN Maritime Monitoring Mission (UNMMM):</w:t>
      </w:r>
      <w:r>
        <w:rPr>
          <w:rFonts w:ascii="Times New Roman" w:hAnsi="Times New Roman" w:eastAsia="Times New Roman" w:cs="Times New Roman"/>
          <w:color w:val="000000"/>
          <w:sz w:val="24"/>
        </w:rPr>
        <w:t xml:space="preserve"> A neutral, UN-mandated maritime observation forum operating independently of any single nation's command structure to monitor compliance and coordinate technical maritime safety. </w:t>
      </w:r>
      <w:r/>
      <w:r>
        <w:rPr>
          <w:rFonts w:ascii="Arial" w:hAnsi="Arial" w:eastAsia="Arial" w:cs="Arial"/>
          <w:color w:val="000000"/>
          <w:sz w:val="20"/>
        </w:rPr>
      </w:r>
      <w:r/>
      <w:r>
        <w:rPr>
          <w:rFonts w:ascii="Times New Roman" w:hAnsi="Times New Roman" w:eastAsia="Times New Roman" w:cs="Times New Roman"/>
          <w:sz w:val="24"/>
        </w:rPr>
      </w:r>
    </w:p>
    <w:p w14:paraId="592692CE">
      <w:pPr>
        <w:pStyle w:val="697"/>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Revival of Multilateral Diplomatic Frameworks:</w:t>
      </w:r>
      <w:r>
        <w:rPr>
          <w:rFonts w:ascii="Times New Roman" w:hAnsi="Times New Roman" w:eastAsia="Times New Roman" w:cs="Times New Roman"/>
          <w:color w:val="000000"/>
          <w:sz w:val="24"/>
        </w:rPr>
        <w:t xml:space="preserve"> A Council-endorsed resumption of regional security dialogue paired with a freeze on unilateral economic and naval escalations by non-littoral states, conditioned upon the cessation of vessel seizures. </w:t>
      </w:r>
      <w:r/>
      <w:r>
        <w:rPr>
          <w:rFonts w:ascii="Arial" w:hAnsi="Arial" w:eastAsia="Arial" w:cs="Arial"/>
          <w:color w:val="000000"/>
          <w:sz w:val="20"/>
        </w:rPr>
      </w:r>
      <w:r/>
      <w:r>
        <w:rPr>
          <w:rFonts w:ascii="Times New Roman" w:hAnsi="Times New Roman" w:eastAsia="Times New Roman" w:cs="Times New Roman"/>
          <w:sz w:val="24"/>
        </w:rPr>
      </w:r>
    </w:p>
    <w:p w14:paraId="76C27DB4">
      <w:pPr>
        <w:pStyle w:val="697"/>
        <w:numPr>
          <w:ilvl w:val="0"/>
          <w:numId w:val="2"/>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International Energy Stabilization and Infrastructure Protection:</w:t>
      </w:r>
      <w:r>
        <w:rPr>
          <w:rFonts w:ascii="Times New Roman" w:hAnsi="Times New Roman" w:eastAsia="Times New Roman" w:cs="Times New Roman"/>
          <w:color w:val="000000"/>
          <w:sz w:val="24"/>
        </w:rPr>
        <w:t xml:space="preserve"> The legal designation of oil and gas tankers as "neutral civilian infrastructure" during periods of heightened tension, ensuring they remain exempt from political or military targeting, backed by strategic reserve coordination mechanisms to protect vulner</w:t>
      </w:r>
      <w:r>
        <w:rPr>
          <w:rFonts w:ascii="Times New Roman" w:hAnsi="Times New Roman" w:eastAsia="Times New Roman" w:cs="Times New Roman"/>
          <w:color w:val="000000"/>
          <w:sz w:val="24"/>
        </w:rPr>
        <w:t xml:space="preserve">able economies. </w:t>
      </w:r>
      <w:r/>
      <w:r>
        <w:rPr>
          <w:rFonts w:ascii="Arial" w:hAnsi="Arial" w:eastAsia="Arial" w:cs="Arial"/>
          <w:color w:val="000000"/>
          <w:sz w:val="20"/>
        </w:rPr>
      </w:r>
      <w:r/>
      <w:r>
        <w:rPr>
          <w:rFonts w:ascii="Times New Roman" w:hAnsi="Times New Roman" w:eastAsia="Times New Roman" w:cs="Times New Roman"/>
          <w:sz w:val="24"/>
        </w:rPr>
      </w:r>
    </w:p>
    <w:p w14:paraId="6A0C329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Japan urges this Council to move beyond the binary of confrontation. The Strait of Hormuz must remain a corridor of commerce, not a theater of war. Japan stands ready to facilitate the dialogue necessary to ensure that international law prevails over geopo</w:t>
      </w:r>
      <w:r>
        <w:rPr>
          <w:rFonts w:ascii="Times New Roman" w:hAnsi="Times New Roman" w:eastAsia="Times New Roman" w:cs="Times New Roman"/>
          <w:color w:val="000000"/>
          <w:sz w:val="24"/>
        </w:rPr>
        <w:t xml:space="preserve">litical rivalry. </w:t>
      </w:r>
      <w:r/>
      <w:r>
        <w:rPr>
          <w:rFonts w:ascii="Arial" w:hAnsi="Arial" w:eastAsia="Arial" w:cs="Arial"/>
          <w:color w:val="000000"/>
          <w:sz w:val="20"/>
        </w:rPr>
      </w:r>
      <w:r/>
      <w:r>
        <w:rPr>
          <w:rFonts w:ascii="Times New Roman" w:hAnsi="Times New Roman" w:eastAsia="Times New Roman" w:cs="Times New Roman"/>
          <w:sz w:val="24"/>
        </w:rPr>
      </w:r>
    </w:p>
    <w:p w14:paraId="7B686AD9" w14:textId="77777777">
      <w:pPr>
        <w:pBdr/>
        <w:spacing/>
        <w:ind/>
        <w:rPr>
          <w:rFonts w:ascii="Aptos" w:hAnsi="Aptos" w:cs="Arial"/>
          <w:sz w:val="26"/>
          <w:szCs w:val="26"/>
        </w:rPr>
      </w:pPr>
      <w:r>
        <w:rPr>
          <w:rFonts w:ascii="Aptos" w:hAnsi="Aptos" w:cs="Arial"/>
          <w:sz w:val="26"/>
          <w:szCs w:val="26"/>
        </w:rPr>
      </w:r>
      <w:r>
        <w:rPr>
          <w:rFonts w:ascii="Aptos" w:hAnsi="Aptos" w:cs="Arial"/>
          <w:sz w:val="26"/>
          <w:szCs w:val="26"/>
        </w:rPr>
      </w:r>
    </w:p>
    <w:p w14:paraId="3AB60BF6" w14:textId="77777777">
      <w:pPr>
        <w:pBdr/>
        <w:spacing/>
        <w:ind/>
        <w:rPr>
          <w:rFonts w:ascii="Aptos" w:hAnsi="Aptos" w:cs="Arial"/>
          <w:sz w:val="26"/>
          <w:szCs w:val="26"/>
        </w:rPr>
      </w:pPr>
      <w:r>
        <w:rPr>
          <w:rFonts w:ascii="Aptos" w:hAnsi="Aptos" w:cs="Arial"/>
          <w:sz w:val="26"/>
          <w:szCs w:val="26"/>
        </w:rPr>
      </w:r>
      <w:r>
        <w:rPr>
          <w:rFonts w:ascii="Aptos" w:hAnsi="Aptos" w:cs="Arial"/>
          <w:sz w:val="26"/>
          <w:szCs w:val="26"/>
        </w:rPr>
      </w:r>
    </w:p>
    <w:p w14:paraId="679DA768" w14:textId="77777777">
      <w:pPr>
        <w:pBdr/>
        <w:spacing/>
        <w:ind/>
        <w:rPr>
          <w:rFonts w:ascii="Aptos" w:hAnsi="Aptos" w:cs="Arial"/>
        </w:rPr>
      </w:pPr>
      <w:r>
        <w:rPr>
          <w:rFonts w:ascii="Aptos" w:hAnsi="Aptos" w:cs="Arial"/>
        </w:rPr>
      </w:r>
      <w:r>
        <w:rPr>
          <w:rFonts w:ascii="Aptos" w:hAnsi="Aptos" w:cs="Arial"/>
        </w:rP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Aptos">
    <w:panose1 w:val="05040102010807070707"/>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7B905B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
    <w:nsid w:val="7E077AB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80"/>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80"/>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80"/>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80"/>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80"/>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80"/>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80"/>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80"/>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80"/>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80"/>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80"/>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80"/>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80"/>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80"/>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80"/>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80"/>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80"/>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80"/>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0e4f5" w:themeFill="accent1" w:themeFillTint="34"/>
    </w:tblPr>
    <w:tcPr>
      <w:tcBorders/>
    </w:tcPr>
    <w:tblStylePr w:type="band1Horz">
      <w:pPr>
        <w:pBdr/>
        <w:spacing/>
        <w:ind/>
      </w:pPr>
      <w:tblPr>
        <w:tblBorders/>
      </w:tblPr>
      <w:tcPr>
        <w:shd w:val="clear" w:color="ffffff" w:themeColor="accent1" w:themeTint="75" w:fill="71c3e8" w:themeFill="accent1" w:themeFillTint="75"/>
        <w:tcBorders/>
      </w:tcPr>
    </w:tblStylePr>
    <w:tblStylePr w:type="band1Vert">
      <w:pPr>
        <w:pBdr/>
        <w:spacing/>
        <w:ind/>
      </w:pPr>
      <w:tblPr>
        <w:tblBorders/>
      </w:tblPr>
      <w:tcPr>
        <w:shd w:val="clear" w:color="ffffff" w:themeColor="accent1" w:themeTint="75"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56082" w:themeFill="accent1"/>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rFonts w:ascii="Arial" w:hAnsi="Arial"/>
        <w:b/>
        <w:color w:val="ffffff"/>
        <w:sz w:val="22"/>
      </w:rPr>
      <w:pPr>
        <w:pBdr/>
        <w:spacing/>
        <w:ind/>
      </w:pPr>
      <w:tblPr>
        <w:tblBorders/>
      </w:tblPr>
      <w:tcPr>
        <w:shd w:val="clear" w:color="ffffff" w:themeColor="accent1" w:fill="156082" w:themeFill="accent1"/>
        <w:tcBorders/>
      </w:tcPr>
    </w:tblStylePr>
    <w:tblStylePr w:type="lastRow">
      <w:rPr>
        <w:rFonts w:ascii="Arial" w:hAnsi="Arial"/>
        <w:b/>
        <w:color w:val="ffffff"/>
        <w:sz w:val="22"/>
      </w:rPr>
      <w:pPr>
        <w:pBdr/>
        <w:spacing/>
        <w:ind/>
      </w:pPr>
      <w:tblPr>
        <w:tblBorders/>
      </w:tblPr>
      <w:tcPr>
        <w:shd w:val="clear" w:color="ffffff" w:themeColor="accent1"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c9edfb" w:themeFill="accent4" w:themeFillTint="34"/>
    </w:tblPr>
    <w:tcPr>
      <w:tcBorders/>
    </w:tcPr>
    <w:tblStylePr w:type="band1Horz">
      <w:pPr>
        <w:pBdr/>
        <w:spacing/>
        <w:ind/>
      </w:pPr>
      <w:tblPr>
        <w:tblBorders/>
      </w:tblPr>
      <w:tcPr>
        <w:shd w:val="clear" w:color="ffffff" w:themeColor="accent4" w:themeTint="75" w:fill="86d7f6" w:themeFill="accent4" w:themeFillTint="75"/>
        <w:tcBorders/>
      </w:tcPr>
    </w:tblStylePr>
    <w:tblStylePr w:type="band1Vert">
      <w:pPr>
        <w:pBdr/>
        <w:spacing/>
        <w:ind/>
      </w:pPr>
      <w:tblPr>
        <w:tblBorders/>
      </w:tblPr>
      <w:tcPr>
        <w:shd w:val="clear" w:color="ffffff" w:themeColor="accent4" w:themeTint="75"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0f9ed5" w:themeFill="accent4"/>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rFonts w:ascii="Arial" w:hAnsi="Arial"/>
        <w:b/>
        <w:color w:val="ffffff"/>
        <w:sz w:val="22"/>
      </w:rPr>
      <w:pPr>
        <w:pBdr/>
        <w:spacing/>
        <w:ind/>
      </w:pPr>
      <w:tblPr>
        <w:tblBorders/>
      </w:tblPr>
      <w:tcPr>
        <w:shd w:val="clear" w:color="ffffff" w:themeColor="accent4" w:fill="0f9ed5" w:themeFill="accent4"/>
        <w:tcBorders/>
      </w:tcPr>
    </w:tblStylePr>
    <w:tblStylePr w:type="lastRow">
      <w:rPr>
        <w:rFonts w:ascii="Arial" w:hAnsi="Arial"/>
        <w:b/>
        <w:color w:val="ffffff"/>
        <w:sz w:val="22"/>
      </w:rPr>
      <w:pPr>
        <w:pBdr/>
        <w:spacing/>
        <w:ind/>
      </w:pPr>
      <w:tblPr>
        <w:tblBorders/>
      </w:tblPr>
      <w:tcPr>
        <w:shd w:val="clear" w:color="ffffff" w:themeColor="accent4"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80"/>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80"/>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80"/>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80"/>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80"/>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80"/>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80"/>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80"/>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80"/>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80"/>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80"/>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80"/>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80"/>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80"/>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80"/>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80"/>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80"/>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80"/>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80"/>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80"/>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80"/>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80"/>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80"/>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80"/>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80"/>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80"/>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80"/>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80"/>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80"/>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80"/>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80"/>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80"/>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80"/>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80"/>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80"/>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80"/>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80"/>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80"/>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80"/>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80"/>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80"/>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80"/>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80"/>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80"/>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80"/>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80"/>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80"/>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80"/>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80"/>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80"/>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680"/>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680"/>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680"/>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680"/>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680"/>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table" w:styleId="117">
    <w:name w:val="Lined - Accent"/>
    <w:basedOn w:val="6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80"/>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80"/>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80"/>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9ed6ef"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80"/>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80"/>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80"/>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80"/>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firstCol">
      <w:rPr>
        <w:rFonts w:ascii="Arial" w:hAnsi="Arial"/>
        <w:color w:val="f2f2f2"/>
        <w:sz w:val="22"/>
      </w:rPr>
      <w:pPr>
        <w:pBdr/>
        <w:spacing/>
        <w:ind/>
      </w:pPr>
      <w:tblPr>
        <w:tblBorders/>
      </w:tblPr>
      <w:tcPr>
        <w:shd w:val="clear" w:color="ffffff" w:themeColor="accent5" w:fill="a02b93" w:themeFill="accent5"/>
        <w:tcBorders/>
      </w:tcPr>
    </w:tblStylePr>
    <w:tblStylePr w:type="firstRow">
      <w:rPr>
        <w:rFonts w:ascii="Arial" w:hAnsi="Arial"/>
        <w:color w:val="f2f2f2"/>
        <w:sz w:val="22"/>
      </w:rPr>
      <w:pPr>
        <w:pBdr/>
        <w:spacing/>
        <w:ind/>
      </w:pPr>
      <w:tblPr>
        <w:tblBorders/>
      </w:tblPr>
      <w:tcPr>
        <w:shd w:val="clear" w:color="ffffff" w:themeColor="accent5" w:fill="a02b93" w:themeFill="accent5"/>
        <w:tcBorders/>
      </w:tcPr>
    </w:tblStylePr>
    <w:tblStylePr w:type="lastCol">
      <w:rPr>
        <w:rFonts w:ascii="Arial" w:hAnsi="Arial"/>
        <w:color w:val="f2f2f2"/>
        <w:sz w:val="22"/>
      </w:rPr>
      <w:pPr>
        <w:pBdr/>
        <w:spacing/>
        <w:ind/>
      </w:pPr>
      <w:tblPr>
        <w:tblBorders/>
      </w:tblPr>
      <w:tcPr>
        <w:shd w:val="clear" w:color="ffffff" w:themeColor="accent5" w:fill="a02b93" w:themeFill="accent5"/>
        <w:tcBorders/>
      </w:tcPr>
    </w:tblStylePr>
    <w:tblStylePr w:type="lastRow">
      <w:rPr>
        <w:rFonts w:ascii="Arial" w:hAnsi="Arial"/>
        <w:color w:val="f2f2f2"/>
        <w:sz w:val="22"/>
      </w:rPr>
      <w:pPr>
        <w:pBdr/>
        <w:spacing/>
        <w:ind/>
      </w:pPr>
      <w:tblPr>
        <w:tblBorders/>
      </w:tblPr>
      <w:tcPr>
        <w:shd w:val="clear" w:color="ffffff"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80"/>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firstCol">
      <w:rPr>
        <w:rFonts w:ascii="Arial" w:hAnsi="Arial"/>
        <w:color w:val="f2f2f2"/>
        <w:sz w:val="22"/>
      </w:rPr>
      <w:pPr>
        <w:pBdr/>
        <w:spacing/>
        <w:ind/>
      </w:pPr>
      <w:tblPr>
        <w:tblBorders/>
      </w:tblPr>
      <w:tcPr>
        <w:shd w:val="clear" w:color="ffffff" w:themeColor="accent6" w:fill="4ea72e" w:themeFill="accent6"/>
        <w:tcBorders/>
      </w:tcPr>
    </w:tblStylePr>
    <w:tblStylePr w:type="firstRow">
      <w:rPr>
        <w:rFonts w:ascii="Arial" w:hAnsi="Arial"/>
        <w:color w:val="f2f2f2"/>
        <w:sz w:val="22"/>
      </w:rPr>
      <w:pPr>
        <w:pBdr/>
        <w:spacing/>
        <w:ind/>
      </w:pPr>
      <w:tblPr>
        <w:tblBorders/>
      </w:tblPr>
      <w:tcPr>
        <w:shd w:val="clear" w:color="ffffff" w:themeColor="accent6" w:fill="4ea72e" w:themeFill="accent6"/>
        <w:tcBorders/>
      </w:tcPr>
    </w:tblStylePr>
    <w:tblStylePr w:type="lastCol">
      <w:rPr>
        <w:rFonts w:ascii="Arial" w:hAnsi="Arial"/>
        <w:color w:val="f2f2f2"/>
        <w:sz w:val="22"/>
      </w:rPr>
      <w:pPr>
        <w:pBdr/>
        <w:spacing/>
        <w:ind/>
      </w:pPr>
      <w:tblPr>
        <w:tblBorders/>
      </w:tblPr>
      <w:tcPr>
        <w:shd w:val="clear" w:color="ffffff" w:themeColor="accent6" w:fill="4ea72e" w:themeFill="accent6"/>
        <w:tcBorders/>
      </w:tcPr>
    </w:tblStylePr>
    <w:tblStylePr w:type="lastRow">
      <w:rPr>
        <w:rFonts w:ascii="Arial" w:hAnsi="Arial"/>
        <w:color w:val="f2f2f2"/>
        <w:sz w:val="22"/>
      </w:rPr>
      <w:pPr>
        <w:pBdr/>
        <w:spacing/>
        <w:ind/>
      </w:pPr>
      <w:tblPr>
        <w:tblBorders/>
      </w:tblPr>
      <w:tcPr>
        <w:shd w:val="clear" w:color="ffffff"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80"/>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80"/>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80"/>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80"/>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80"/>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80"/>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80"/>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70">
    <w:name w:val="No Spacing"/>
    <w:basedOn w:val="669"/>
    <w:uiPriority w:val="1"/>
    <w:qFormat/>
    <w:pPr>
      <w:pBdr/>
      <w:spacing w:after="0" w:line="240" w:lineRule="auto"/>
      <w:ind/>
    </w:pPr>
  </w:style>
  <w:style w:type="character" w:styleId="171">
    <w:name w:val="Subtle Emphasis"/>
    <w:basedOn w:val="679"/>
    <w:uiPriority w:val="19"/>
    <w:qFormat/>
    <w:pPr>
      <w:pBdr/>
      <w:spacing/>
      <w:ind/>
    </w:pPr>
    <w:rPr>
      <w:i/>
      <w:iCs/>
      <w:color w:val="404040" w:themeColor="text1" w:themeTint="BF"/>
    </w:rPr>
  </w:style>
  <w:style w:type="character" w:styleId="172">
    <w:name w:val="Emphasis"/>
    <w:basedOn w:val="679"/>
    <w:uiPriority w:val="20"/>
    <w:qFormat/>
    <w:pPr>
      <w:pBdr/>
      <w:spacing/>
      <w:ind/>
    </w:pPr>
    <w:rPr>
      <w:i/>
      <w:iCs/>
    </w:rPr>
  </w:style>
  <w:style w:type="character" w:styleId="173">
    <w:name w:val="Strong"/>
    <w:basedOn w:val="679"/>
    <w:uiPriority w:val="22"/>
    <w:qFormat/>
    <w:pPr>
      <w:pBdr/>
      <w:spacing/>
      <w:ind/>
    </w:pPr>
    <w:rPr>
      <w:b/>
      <w:bCs/>
    </w:rPr>
  </w:style>
  <w:style w:type="character" w:styleId="174">
    <w:name w:val="Subtle Reference"/>
    <w:basedOn w:val="679"/>
    <w:uiPriority w:val="31"/>
    <w:qFormat/>
    <w:pPr>
      <w:pBdr/>
      <w:spacing/>
      <w:ind/>
    </w:pPr>
    <w:rPr>
      <w:smallCaps/>
      <w:color w:val="5a5a5a" w:themeColor="text1" w:themeTint="A5"/>
    </w:rPr>
  </w:style>
  <w:style w:type="character" w:styleId="175">
    <w:name w:val="Book Title"/>
    <w:basedOn w:val="679"/>
    <w:uiPriority w:val="33"/>
    <w:qFormat/>
    <w:pPr>
      <w:pBdr/>
      <w:spacing/>
      <w:ind/>
    </w:pPr>
    <w:rPr>
      <w:b/>
      <w:bCs/>
      <w:i/>
      <w:iCs/>
      <w:spacing w:val="5"/>
    </w:rPr>
  </w:style>
  <w:style w:type="paragraph" w:styleId="176">
    <w:name w:val="Header"/>
    <w:basedOn w:val="669"/>
    <w:link w:val="177"/>
    <w:uiPriority w:val="99"/>
    <w:unhideWhenUsed/>
    <w:pPr>
      <w:pBdr/>
      <w:tabs>
        <w:tab w:val="center" w:leader="none" w:pos="4844"/>
        <w:tab w:val="right" w:leader="none" w:pos="9689"/>
      </w:tabs>
      <w:spacing w:after="0" w:line="240" w:lineRule="auto"/>
      <w:ind/>
    </w:pPr>
  </w:style>
  <w:style w:type="character" w:styleId="177">
    <w:name w:val="Header Char"/>
    <w:basedOn w:val="679"/>
    <w:link w:val="176"/>
    <w:uiPriority w:val="99"/>
    <w:pPr>
      <w:pBdr/>
      <w:spacing/>
      <w:ind/>
    </w:pPr>
  </w:style>
  <w:style w:type="paragraph" w:styleId="178">
    <w:name w:val="Footer"/>
    <w:basedOn w:val="669"/>
    <w:link w:val="179"/>
    <w:uiPriority w:val="99"/>
    <w:unhideWhenUsed/>
    <w:pPr>
      <w:pBdr/>
      <w:tabs>
        <w:tab w:val="center" w:leader="none" w:pos="4844"/>
        <w:tab w:val="right" w:leader="none" w:pos="9689"/>
      </w:tabs>
      <w:spacing w:after="0" w:line="240" w:lineRule="auto"/>
      <w:ind/>
    </w:pPr>
  </w:style>
  <w:style w:type="character" w:styleId="179">
    <w:name w:val="Footer Char"/>
    <w:basedOn w:val="679"/>
    <w:link w:val="178"/>
    <w:uiPriority w:val="99"/>
    <w:pPr>
      <w:pBdr/>
      <w:spacing/>
      <w:ind/>
    </w:pPr>
  </w:style>
  <w:style w:type="paragraph" w:styleId="180">
    <w:name w:val="Caption"/>
    <w:basedOn w:val="669"/>
    <w:next w:val="669"/>
    <w:uiPriority w:val="35"/>
    <w:unhideWhenUsed/>
    <w:qFormat/>
    <w:pPr>
      <w:pBdr/>
      <w:spacing w:after="200" w:line="240" w:lineRule="auto"/>
      <w:ind/>
    </w:pPr>
    <w:rPr>
      <w:i/>
      <w:iCs/>
      <w:color w:val="0e2841" w:themeColor="text2"/>
      <w:sz w:val="18"/>
      <w:szCs w:val="18"/>
    </w:rPr>
  </w:style>
  <w:style w:type="paragraph" w:styleId="181">
    <w:name w:val="footnote text"/>
    <w:basedOn w:val="669"/>
    <w:link w:val="182"/>
    <w:uiPriority w:val="99"/>
    <w:semiHidden/>
    <w:unhideWhenUsed/>
    <w:pPr>
      <w:pBdr/>
      <w:spacing w:after="0" w:line="240" w:lineRule="auto"/>
      <w:ind/>
    </w:pPr>
    <w:rPr>
      <w:sz w:val="20"/>
      <w:szCs w:val="20"/>
    </w:rPr>
  </w:style>
  <w:style w:type="character" w:styleId="182">
    <w:name w:val="Footnote Text Char"/>
    <w:basedOn w:val="679"/>
    <w:link w:val="181"/>
    <w:uiPriority w:val="99"/>
    <w:semiHidden/>
    <w:pPr>
      <w:pBdr/>
      <w:spacing/>
      <w:ind/>
    </w:pPr>
    <w:rPr>
      <w:sz w:val="20"/>
      <w:szCs w:val="20"/>
    </w:rPr>
  </w:style>
  <w:style w:type="character" w:styleId="183">
    <w:name w:val="footnote reference"/>
    <w:basedOn w:val="679"/>
    <w:uiPriority w:val="99"/>
    <w:semiHidden/>
    <w:unhideWhenUsed/>
    <w:pPr>
      <w:pBdr/>
      <w:spacing/>
      <w:ind/>
    </w:pPr>
    <w:rPr>
      <w:vertAlign w:val="superscript"/>
    </w:rPr>
  </w:style>
  <w:style w:type="paragraph" w:styleId="184">
    <w:name w:val="endnote text"/>
    <w:basedOn w:val="669"/>
    <w:link w:val="185"/>
    <w:uiPriority w:val="99"/>
    <w:semiHidden/>
    <w:unhideWhenUsed/>
    <w:pPr>
      <w:pBdr/>
      <w:spacing w:after="0" w:line="240" w:lineRule="auto"/>
      <w:ind/>
    </w:pPr>
    <w:rPr>
      <w:sz w:val="20"/>
      <w:szCs w:val="20"/>
    </w:rPr>
  </w:style>
  <w:style w:type="character" w:styleId="185">
    <w:name w:val="Endnote Text Char"/>
    <w:basedOn w:val="679"/>
    <w:link w:val="184"/>
    <w:uiPriority w:val="99"/>
    <w:semiHidden/>
    <w:pPr>
      <w:pBdr/>
      <w:spacing/>
      <w:ind/>
    </w:pPr>
    <w:rPr>
      <w:sz w:val="20"/>
      <w:szCs w:val="20"/>
    </w:rPr>
  </w:style>
  <w:style w:type="character" w:styleId="186">
    <w:name w:val="endnote reference"/>
    <w:basedOn w:val="679"/>
    <w:uiPriority w:val="99"/>
    <w:semiHidden/>
    <w:unhideWhenUsed/>
    <w:pPr>
      <w:pBdr/>
      <w:spacing/>
      <w:ind/>
    </w:pPr>
    <w:rPr>
      <w:vertAlign w:val="superscript"/>
    </w:rPr>
  </w:style>
  <w:style w:type="character" w:styleId="187">
    <w:name w:val="Hyperlink"/>
    <w:basedOn w:val="679"/>
    <w:uiPriority w:val="99"/>
    <w:unhideWhenUsed/>
    <w:pPr>
      <w:pBdr/>
      <w:spacing/>
      <w:ind/>
    </w:pPr>
    <w:rPr>
      <w:color w:val="0563c1" w:themeColor="hyperlink"/>
      <w:u w:val="single"/>
    </w:rPr>
  </w:style>
  <w:style w:type="character" w:styleId="188">
    <w:name w:val="FollowedHyperlink"/>
    <w:basedOn w:val="679"/>
    <w:uiPriority w:val="99"/>
    <w:semiHidden/>
    <w:unhideWhenUsed/>
    <w:pPr>
      <w:pBdr/>
      <w:spacing/>
      <w:ind/>
    </w:pPr>
    <w:rPr>
      <w:color w:val="954f72" w:themeColor="followedHyperlink"/>
      <w:u w:val="single"/>
    </w:rPr>
  </w:style>
  <w:style w:type="paragraph" w:styleId="189">
    <w:name w:val="toc 1"/>
    <w:basedOn w:val="669"/>
    <w:next w:val="669"/>
    <w:uiPriority w:val="39"/>
    <w:unhideWhenUsed/>
    <w:pPr>
      <w:pBdr/>
      <w:spacing w:after="100"/>
      <w:ind/>
    </w:pPr>
  </w:style>
  <w:style w:type="paragraph" w:styleId="190">
    <w:name w:val="toc 2"/>
    <w:basedOn w:val="669"/>
    <w:next w:val="669"/>
    <w:uiPriority w:val="39"/>
    <w:unhideWhenUsed/>
    <w:pPr>
      <w:pBdr/>
      <w:spacing w:after="100"/>
      <w:ind w:left="220"/>
    </w:pPr>
  </w:style>
  <w:style w:type="paragraph" w:styleId="191">
    <w:name w:val="toc 3"/>
    <w:basedOn w:val="669"/>
    <w:next w:val="669"/>
    <w:uiPriority w:val="39"/>
    <w:unhideWhenUsed/>
    <w:pPr>
      <w:pBdr/>
      <w:spacing w:after="100"/>
      <w:ind w:left="440"/>
    </w:pPr>
  </w:style>
  <w:style w:type="paragraph" w:styleId="192">
    <w:name w:val="toc 4"/>
    <w:basedOn w:val="669"/>
    <w:next w:val="669"/>
    <w:uiPriority w:val="39"/>
    <w:unhideWhenUsed/>
    <w:pPr>
      <w:pBdr/>
      <w:spacing w:after="100"/>
      <w:ind w:left="660"/>
    </w:pPr>
  </w:style>
  <w:style w:type="paragraph" w:styleId="193">
    <w:name w:val="toc 5"/>
    <w:basedOn w:val="669"/>
    <w:next w:val="669"/>
    <w:uiPriority w:val="39"/>
    <w:unhideWhenUsed/>
    <w:pPr>
      <w:pBdr/>
      <w:spacing w:after="100"/>
      <w:ind w:left="880"/>
    </w:pPr>
  </w:style>
  <w:style w:type="paragraph" w:styleId="194">
    <w:name w:val="toc 6"/>
    <w:basedOn w:val="669"/>
    <w:next w:val="669"/>
    <w:uiPriority w:val="39"/>
    <w:unhideWhenUsed/>
    <w:pPr>
      <w:pBdr/>
      <w:spacing w:after="100"/>
      <w:ind w:left="1100"/>
    </w:pPr>
  </w:style>
  <w:style w:type="paragraph" w:styleId="195">
    <w:name w:val="toc 7"/>
    <w:basedOn w:val="669"/>
    <w:next w:val="669"/>
    <w:uiPriority w:val="39"/>
    <w:unhideWhenUsed/>
    <w:pPr>
      <w:pBdr/>
      <w:spacing w:after="100"/>
      <w:ind w:left="1320"/>
    </w:pPr>
  </w:style>
  <w:style w:type="paragraph" w:styleId="196">
    <w:name w:val="toc 8"/>
    <w:basedOn w:val="669"/>
    <w:next w:val="669"/>
    <w:uiPriority w:val="39"/>
    <w:unhideWhenUsed/>
    <w:pPr>
      <w:pBdr/>
      <w:spacing w:after="100"/>
      <w:ind w:left="1540"/>
    </w:pPr>
  </w:style>
  <w:style w:type="paragraph" w:styleId="197">
    <w:name w:val="toc 9"/>
    <w:basedOn w:val="669"/>
    <w:next w:val="669"/>
    <w:uiPriority w:val="39"/>
    <w:unhideWhenUsed/>
    <w:pPr>
      <w:pBdr/>
      <w:spacing w:after="100"/>
      <w:ind w:left="1760"/>
    </w:pPr>
  </w:style>
  <w:style w:type="character" w:styleId="198">
    <w:name w:val="Placeholder Text"/>
    <w:basedOn w:val="679"/>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9"/>
    <w:next w:val="669"/>
    <w:uiPriority w:val="99"/>
    <w:unhideWhenUsed/>
    <w:pPr>
      <w:pBdr/>
      <w:spacing w:after="0" w:afterAutospacing="0"/>
      <w:ind/>
    </w:pPr>
  </w:style>
  <w:style w:type="paragraph" w:styleId="669" w:default="1">
    <w:name w:val="Normal"/>
    <w:qFormat/>
    <w:pPr>
      <w:pBdr/>
      <w:spacing/>
      <w:ind/>
    </w:pPr>
  </w:style>
  <w:style w:type="paragraph" w:styleId="670">
    <w:name w:val="Heading 1"/>
    <w:basedOn w:val="669"/>
    <w:next w:val="669"/>
    <w:link w:val="682"/>
    <w:uiPriority w:val="9"/>
    <w:qFormat/>
    <w:pPr>
      <w:keepNext w:val="true"/>
      <w:keepLines w:val="true"/>
      <w:pBdr/>
      <w:spacing w:after="80" w:before="360"/>
      <w:ind/>
      <w:outlineLvl w:val="0"/>
    </w:pPr>
    <w:rPr>
      <w:rFonts w:asciiTheme="majorHAnsi" w:hAnsiTheme="majorHAnsi" w:eastAsiaTheme="majorEastAsia" w:cstheme="majorBidi"/>
      <w:color w:val="0f4761" w:themeColor="accent1" w:themeShade="BF"/>
      <w:sz w:val="40"/>
      <w:szCs w:val="40"/>
    </w:rPr>
  </w:style>
  <w:style w:type="paragraph" w:styleId="671">
    <w:name w:val="Heading 2"/>
    <w:basedOn w:val="669"/>
    <w:next w:val="669"/>
    <w:link w:val="683"/>
    <w:uiPriority w:val="9"/>
    <w:semiHidden/>
    <w:unhideWhenUsed/>
    <w:qFormat/>
    <w:pPr>
      <w:keepNext w:val="true"/>
      <w:keepLines w:val="true"/>
      <w:pBdr/>
      <w:spacing w:after="80" w:before="160"/>
      <w:ind/>
      <w:outlineLvl w:val="1"/>
    </w:pPr>
    <w:rPr>
      <w:rFonts w:asciiTheme="majorHAnsi" w:hAnsiTheme="majorHAnsi" w:eastAsiaTheme="majorEastAsia" w:cstheme="majorBidi"/>
      <w:color w:val="0f4761" w:themeColor="accent1" w:themeShade="BF"/>
      <w:sz w:val="32"/>
      <w:szCs w:val="32"/>
    </w:rPr>
  </w:style>
  <w:style w:type="paragraph" w:styleId="672">
    <w:name w:val="Heading 3"/>
    <w:basedOn w:val="669"/>
    <w:next w:val="669"/>
    <w:link w:val="684"/>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673">
    <w:name w:val="Heading 4"/>
    <w:basedOn w:val="669"/>
    <w:next w:val="669"/>
    <w:link w:val="685"/>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674">
    <w:name w:val="Heading 5"/>
    <w:basedOn w:val="669"/>
    <w:next w:val="669"/>
    <w:link w:val="686"/>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675">
    <w:name w:val="Heading 6"/>
    <w:basedOn w:val="669"/>
    <w:next w:val="669"/>
    <w:link w:val="687"/>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676">
    <w:name w:val="Heading 7"/>
    <w:basedOn w:val="669"/>
    <w:next w:val="669"/>
    <w:link w:val="688"/>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677">
    <w:name w:val="Heading 8"/>
    <w:basedOn w:val="669"/>
    <w:next w:val="669"/>
    <w:link w:val="689"/>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678">
    <w:name w:val="Heading 9"/>
    <w:basedOn w:val="669"/>
    <w:next w:val="669"/>
    <w:link w:val="690"/>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679" w:default="1">
    <w:name w:val="Default Paragraph Font"/>
    <w:uiPriority w:val="1"/>
    <w:semiHidden/>
    <w:unhideWhenUsed/>
    <w:pPr>
      <w:pBdr/>
      <w:spacing/>
      <w:ind/>
    </w:pPr>
  </w:style>
  <w:style w:type="table" w:styleId="680"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81" w:default="1">
    <w:name w:val="No List"/>
    <w:uiPriority w:val="99"/>
    <w:semiHidden/>
    <w:unhideWhenUsed/>
    <w:pPr>
      <w:pBdr/>
      <w:spacing/>
      <w:ind/>
    </w:pPr>
  </w:style>
  <w:style w:type="character" w:styleId="682" w:customStyle="1">
    <w:name w:val="Heading 1 Char"/>
    <w:basedOn w:val="679"/>
    <w:link w:val="670"/>
    <w:uiPriority w:val="9"/>
    <w:pPr>
      <w:pBdr/>
      <w:spacing/>
      <w:ind/>
    </w:pPr>
    <w:rPr>
      <w:rFonts w:asciiTheme="majorHAnsi" w:hAnsiTheme="majorHAnsi" w:eastAsiaTheme="majorEastAsia" w:cstheme="majorBidi"/>
      <w:color w:val="0f4761" w:themeColor="accent1" w:themeShade="BF"/>
      <w:sz w:val="40"/>
      <w:szCs w:val="40"/>
    </w:rPr>
  </w:style>
  <w:style w:type="character" w:styleId="683" w:customStyle="1">
    <w:name w:val="Heading 2 Char"/>
    <w:basedOn w:val="679"/>
    <w:link w:val="671"/>
    <w:uiPriority w:val="9"/>
    <w:semiHidden/>
    <w:pPr>
      <w:pBdr/>
      <w:spacing/>
      <w:ind/>
    </w:pPr>
    <w:rPr>
      <w:rFonts w:asciiTheme="majorHAnsi" w:hAnsiTheme="majorHAnsi" w:eastAsiaTheme="majorEastAsia" w:cstheme="majorBidi"/>
      <w:color w:val="0f4761" w:themeColor="accent1" w:themeShade="BF"/>
      <w:sz w:val="32"/>
      <w:szCs w:val="32"/>
    </w:rPr>
  </w:style>
  <w:style w:type="character" w:styleId="684" w:customStyle="1">
    <w:name w:val="Heading 3 Char"/>
    <w:basedOn w:val="679"/>
    <w:link w:val="672"/>
    <w:uiPriority w:val="9"/>
    <w:semiHidden/>
    <w:pPr>
      <w:pBdr/>
      <w:spacing/>
      <w:ind/>
    </w:pPr>
    <w:rPr>
      <w:rFonts w:eastAsiaTheme="majorEastAsia" w:cstheme="majorBidi"/>
      <w:color w:val="0f4761" w:themeColor="accent1" w:themeShade="BF"/>
      <w:sz w:val="28"/>
      <w:szCs w:val="28"/>
    </w:rPr>
  </w:style>
  <w:style w:type="character" w:styleId="685" w:customStyle="1">
    <w:name w:val="Heading 4 Char"/>
    <w:basedOn w:val="679"/>
    <w:link w:val="673"/>
    <w:uiPriority w:val="9"/>
    <w:semiHidden/>
    <w:pPr>
      <w:pBdr/>
      <w:spacing/>
      <w:ind/>
    </w:pPr>
    <w:rPr>
      <w:rFonts w:eastAsiaTheme="majorEastAsia" w:cstheme="majorBidi"/>
      <w:i/>
      <w:iCs/>
      <w:color w:val="0f4761" w:themeColor="accent1" w:themeShade="BF"/>
    </w:rPr>
  </w:style>
  <w:style w:type="character" w:styleId="686" w:customStyle="1">
    <w:name w:val="Heading 5 Char"/>
    <w:basedOn w:val="679"/>
    <w:link w:val="674"/>
    <w:uiPriority w:val="9"/>
    <w:semiHidden/>
    <w:pPr>
      <w:pBdr/>
      <w:spacing/>
      <w:ind/>
    </w:pPr>
    <w:rPr>
      <w:rFonts w:eastAsiaTheme="majorEastAsia" w:cstheme="majorBidi"/>
      <w:color w:val="0f4761" w:themeColor="accent1" w:themeShade="BF"/>
    </w:rPr>
  </w:style>
  <w:style w:type="character" w:styleId="687" w:customStyle="1">
    <w:name w:val="Heading 6 Char"/>
    <w:basedOn w:val="679"/>
    <w:link w:val="675"/>
    <w:uiPriority w:val="9"/>
    <w:semiHidden/>
    <w:pPr>
      <w:pBdr/>
      <w:spacing/>
      <w:ind/>
    </w:pPr>
    <w:rPr>
      <w:rFonts w:eastAsiaTheme="majorEastAsia" w:cstheme="majorBidi"/>
      <w:i/>
      <w:iCs/>
      <w:color w:val="595959" w:themeColor="text1" w:themeTint="A6"/>
    </w:rPr>
  </w:style>
  <w:style w:type="character" w:styleId="688" w:customStyle="1">
    <w:name w:val="Heading 7 Char"/>
    <w:basedOn w:val="679"/>
    <w:link w:val="676"/>
    <w:uiPriority w:val="9"/>
    <w:semiHidden/>
    <w:pPr>
      <w:pBdr/>
      <w:spacing/>
      <w:ind/>
    </w:pPr>
    <w:rPr>
      <w:rFonts w:eastAsiaTheme="majorEastAsia" w:cstheme="majorBidi"/>
      <w:color w:val="595959" w:themeColor="text1" w:themeTint="A6"/>
    </w:rPr>
  </w:style>
  <w:style w:type="character" w:styleId="689" w:customStyle="1">
    <w:name w:val="Heading 8 Char"/>
    <w:basedOn w:val="679"/>
    <w:link w:val="677"/>
    <w:uiPriority w:val="9"/>
    <w:semiHidden/>
    <w:pPr>
      <w:pBdr/>
      <w:spacing/>
      <w:ind/>
    </w:pPr>
    <w:rPr>
      <w:rFonts w:eastAsiaTheme="majorEastAsia" w:cstheme="majorBidi"/>
      <w:i/>
      <w:iCs/>
      <w:color w:val="272727" w:themeColor="text1" w:themeTint="D8"/>
    </w:rPr>
  </w:style>
  <w:style w:type="character" w:styleId="690" w:customStyle="1">
    <w:name w:val="Heading 9 Char"/>
    <w:basedOn w:val="679"/>
    <w:link w:val="678"/>
    <w:uiPriority w:val="9"/>
    <w:semiHidden/>
    <w:pPr>
      <w:pBdr/>
      <w:spacing/>
      <w:ind/>
    </w:pPr>
    <w:rPr>
      <w:rFonts w:eastAsiaTheme="majorEastAsia" w:cstheme="majorBidi"/>
      <w:color w:val="272727" w:themeColor="text1" w:themeTint="D8"/>
    </w:rPr>
  </w:style>
  <w:style w:type="paragraph" w:styleId="691">
    <w:name w:val="Title"/>
    <w:basedOn w:val="669"/>
    <w:next w:val="669"/>
    <w:link w:val="692"/>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692" w:customStyle="1">
    <w:name w:val="Title Char"/>
    <w:basedOn w:val="679"/>
    <w:link w:val="691"/>
    <w:uiPriority w:val="10"/>
    <w:pPr>
      <w:pBdr/>
      <w:spacing/>
      <w:ind/>
    </w:pPr>
    <w:rPr>
      <w:rFonts w:asciiTheme="majorHAnsi" w:hAnsiTheme="majorHAnsi" w:eastAsiaTheme="majorEastAsia" w:cstheme="majorBidi"/>
      <w:spacing w:val="-10"/>
      <w:sz w:val="56"/>
      <w:szCs w:val="56"/>
    </w:rPr>
  </w:style>
  <w:style w:type="paragraph" w:styleId="693">
    <w:name w:val="Subtitle"/>
    <w:basedOn w:val="669"/>
    <w:next w:val="669"/>
    <w:link w:val="694"/>
    <w:uiPriority w:val="11"/>
    <w:qFormat/>
    <w:pPr>
      <w:numPr>
        <w:ilvl w:val="1"/>
      </w:numPr>
      <w:pBdr/>
      <w:spacing/>
      <w:ind/>
    </w:pPr>
    <w:rPr>
      <w:rFonts w:eastAsiaTheme="majorEastAsia" w:cstheme="majorBidi"/>
      <w:color w:val="595959" w:themeColor="text1" w:themeTint="A6"/>
      <w:spacing w:val="15"/>
      <w:sz w:val="28"/>
      <w:szCs w:val="28"/>
    </w:rPr>
  </w:style>
  <w:style w:type="character" w:styleId="694" w:customStyle="1">
    <w:name w:val="Subtitle Char"/>
    <w:basedOn w:val="679"/>
    <w:link w:val="693"/>
    <w:uiPriority w:val="11"/>
    <w:pPr>
      <w:pBdr/>
      <w:spacing/>
      <w:ind/>
    </w:pPr>
    <w:rPr>
      <w:rFonts w:eastAsiaTheme="majorEastAsia" w:cstheme="majorBidi"/>
      <w:color w:val="595959" w:themeColor="text1" w:themeTint="A6"/>
      <w:spacing w:val="15"/>
      <w:sz w:val="28"/>
      <w:szCs w:val="28"/>
    </w:rPr>
  </w:style>
  <w:style w:type="paragraph" w:styleId="695">
    <w:name w:val="Quote"/>
    <w:basedOn w:val="669"/>
    <w:next w:val="669"/>
    <w:link w:val="696"/>
    <w:uiPriority w:val="29"/>
    <w:qFormat/>
    <w:pPr>
      <w:pBdr/>
      <w:spacing w:before="160"/>
      <w:ind/>
      <w:jc w:val="center"/>
    </w:pPr>
    <w:rPr>
      <w:i/>
      <w:iCs/>
      <w:color w:val="404040" w:themeColor="text1" w:themeTint="BF"/>
    </w:rPr>
  </w:style>
  <w:style w:type="character" w:styleId="696" w:customStyle="1">
    <w:name w:val="Quote Char"/>
    <w:basedOn w:val="679"/>
    <w:link w:val="695"/>
    <w:uiPriority w:val="29"/>
    <w:pPr>
      <w:pBdr/>
      <w:spacing/>
      <w:ind/>
    </w:pPr>
    <w:rPr>
      <w:i/>
      <w:iCs/>
      <w:color w:val="404040" w:themeColor="text1" w:themeTint="BF"/>
    </w:rPr>
  </w:style>
  <w:style w:type="paragraph" w:styleId="697">
    <w:name w:val="List Paragraph"/>
    <w:basedOn w:val="669"/>
    <w:uiPriority w:val="34"/>
    <w:qFormat/>
    <w:pPr>
      <w:pBdr/>
      <w:spacing/>
      <w:ind w:left="720"/>
      <w:contextualSpacing w:val="true"/>
    </w:pPr>
  </w:style>
  <w:style w:type="character" w:styleId="698">
    <w:name w:val="Intense Emphasis"/>
    <w:basedOn w:val="679"/>
    <w:uiPriority w:val="21"/>
    <w:qFormat/>
    <w:pPr>
      <w:pBdr/>
      <w:spacing/>
      <w:ind/>
    </w:pPr>
    <w:rPr>
      <w:i/>
      <w:iCs/>
      <w:color w:val="0f4761" w:themeColor="accent1" w:themeShade="BF"/>
    </w:rPr>
  </w:style>
  <w:style w:type="paragraph" w:styleId="699">
    <w:name w:val="Intense Quote"/>
    <w:basedOn w:val="669"/>
    <w:next w:val="669"/>
    <w:link w:val="700"/>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700" w:customStyle="1">
    <w:name w:val="Intense Quote Char"/>
    <w:basedOn w:val="679"/>
    <w:link w:val="699"/>
    <w:uiPriority w:val="30"/>
    <w:pPr>
      <w:pBdr/>
      <w:spacing/>
      <w:ind/>
    </w:pPr>
    <w:rPr>
      <w:i/>
      <w:iCs/>
      <w:color w:val="0f4761" w:themeColor="accent1" w:themeShade="BF"/>
    </w:rPr>
  </w:style>
  <w:style w:type="character" w:styleId="701">
    <w:name w:val="Intense Reference"/>
    <w:basedOn w:val="679"/>
    <w:uiPriority w:val="32"/>
    <w:qFormat/>
    <w:pPr>
      <w:pBdr/>
      <w:spacing/>
      <w:ind/>
    </w:pPr>
    <w:rPr>
      <w:b/>
      <w:bCs/>
      <w:smallCaps/>
      <w:color w:val="0f4761" w:themeColor="accent1" w:themeShade="BF"/>
      <w:spacing w:val="5"/>
    </w:rPr>
  </w:style>
  <w:style w:type="table" w:styleId="702">
    <w:name w:val="Table Grid"/>
    <w:basedOn w:val="680"/>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 N</dc:creator>
  <cp:keywords/>
  <dc:description/>
  <cp:revision>3</cp:revision>
  <dcterms:created xsi:type="dcterms:W3CDTF">2026-06-01T13:22:00Z</dcterms:created>
  <dcterms:modified xsi:type="dcterms:W3CDTF">2026-06-01T15:57:05Z</dcterms:modified>
</cp:coreProperties>
</file>