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4CD8" w14:textId="77777777" w:rsidR="00410E16" w:rsidRDefault="001D1029">
      <w:pPr>
        <w:pBdr>
          <w:bottom w:val="single" w:sz="18" w:space="4" w:color="005EB8"/>
        </w:pBdr>
        <w:spacing w:before="200" w:after="80"/>
      </w:pPr>
      <w:r>
        <w:rPr>
          <w:b/>
          <w:bCs/>
          <w:color w:val="003087"/>
          <w:sz w:val="36"/>
          <w:szCs w:val="36"/>
        </w:rPr>
        <w:t>NHS CLINICAL GOVERNANCE REVIEW</w:t>
      </w:r>
    </w:p>
    <w:p w14:paraId="79ADB908" w14:textId="77777777" w:rsidR="00410E16" w:rsidRDefault="001D1029">
      <w:pPr>
        <w:spacing w:before="120" w:after="80"/>
      </w:pPr>
      <w:r>
        <w:rPr>
          <w:b/>
          <w:bCs/>
          <w:color w:val="005EB8"/>
          <w:sz w:val="28"/>
          <w:szCs w:val="28"/>
        </w:rPr>
        <w:t>OPEL Level Predictive Model — Independent Evaluation</w:t>
      </w:r>
    </w:p>
    <w:p w14:paraId="18A05B73" w14:textId="77777777" w:rsidR="00410E16" w:rsidRDefault="001D1029">
      <w:pPr>
        <w:spacing w:after="320"/>
      </w:pPr>
      <w:r>
        <w:rPr>
          <w:i/>
          <w:iCs/>
          <w:color w:val="555555"/>
        </w:rPr>
        <w:t>Synthetic NHS ICB Service Pressure Predictor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0E16" w14:paraId="70E50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101D9" w14:textId="77777777" w:rsidR="00410E16" w:rsidRDefault="001D1029">
            <w:r>
              <w:rPr>
                <w:b/>
                <w:bCs/>
                <w:color w:val="003087"/>
                <w:sz w:val="20"/>
                <w:szCs w:val="20"/>
              </w:rPr>
              <w:t>Reviewer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0CF15" w14:textId="77777777" w:rsidR="00410E16" w:rsidRDefault="001D1029">
            <w:r>
              <w:rPr>
                <w:sz w:val="20"/>
                <w:szCs w:val="20"/>
              </w:rPr>
              <w:t>NHS Clinical Governance Reviewer</w:t>
            </w:r>
          </w:p>
        </w:tc>
      </w:tr>
      <w:tr w:rsidR="00410E16" w14:paraId="1EB99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7049B" w14:textId="77777777" w:rsidR="00410E16" w:rsidRDefault="001D1029">
            <w:r>
              <w:rPr>
                <w:b/>
                <w:bCs/>
                <w:color w:val="003087"/>
                <w:sz w:val="20"/>
                <w:szCs w:val="20"/>
              </w:rPr>
              <w:t>Model under 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86A7B" w14:textId="77777777" w:rsidR="00410E16" w:rsidRDefault="001D1029">
            <w:r>
              <w:rPr>
                <w:sz w:val="20"/>
                <w:szCs w:val="20"/>
              </w:rPr>
              <w:t>Logistic Regression Classifier — OPEL Level Prediction</w:t>
            </w:r>
          </w:p>
        </w:tc>
      </w:tr>
      <w:tr w:rsidR="00410E16" w14:paraId="41159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B402" w14:textId="77777777" w:rsidR="00410E16" w:rsidRDefault="001D1029">
            <w:r>
              <w:rPr>
                <w:b/>
                <w:bCs/>
                <w:color w:val="003087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840C" w14:textId="77777777" w:rsidR="00410E16" w:rsidRDefault="001D1029">
            <w:r>
              <w:rPr>
                <w:sz w:val="20"/>
                <w:szCs w:val="20"/>
              </w:rPr>
              <w:t>Synthetic NHS ICB data, 2,190 daily observations across 3 trusts</w:t>
            </w:r>
          </w:p>
        </w:tc>
      </w:tr>
      <w:tr w:rsidR="00410E16" w14:paraId="5DB79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2693B" w14:textId="77777777" w:rsidR="00410E16" w:rsidRDefault="001D1029">
            <w:r>
              <w:rPr>
                <w:b/>
                <w:bCs/>
                <w:color w:val="003087"/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BF6CA" w14:textId="77777777" w:rsidR="00410E16" w:rsidRDefault="001D1029">
            <w:r>
              <w:rPr>
                <w:sz w:val="20"/>
                <w:szCs w:val="20"/>
              </w:rPr>
              <w:t>14 May 2026</w:t>
            </w:r>
          </w:p>
        </w:tc>
      </w:tr>
      <w:tr w:rsidR="00410E16" w14:paraId="6DA44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DDC53" w14:textId="77777777" w:rsidR="00410E16" w:rsidRDefault="001D1029">
            <w:r>
              <w:rPr>
                <w:b/>
                <w:bCs/>
                <w:color w:val="003087"/>
                <w:sz w:val="20"/>
                <w:szCs w:val="20"/>
              </w:rPr>
              <w:t>Review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5CBA" w14:textId="77777777" w:rsidR="00410E16" w:rsidRDefault="001D1029">
            <w:r>
              <w:rPr>
                <w:sz w:val="20"/>
                <w:szCs w:val="20"/>
              </w:rPr>
              <w:t>Independent Section 251 advisory equivalent</w:t>
            </w:r>
          </w:p>
        </w:tc>
      </w:tr>
    </w:tbl>
    <w:p w14:paraId="513B50C7" w14:textId="77777777" w:rsidR="00410E16" w:rsidRDefault="00410E16">
      <w:pPr>
        <w:spacing w:after="200"/>
      </w:pPr>
    </w:p>
    <w:p w14:paraId="6B96B28A" w14:textId="77777777" w:rsidR="00410E16" w:rsidRDefault="001D1029">
      <w:pPr>
        <w:pStyle w:val="Heading1"/>
      </w:pPr>
      <w:r>
        <w:t>1. Executive Summary</w:t>
      </w:r>
    </w:p>
    <w:p w14:paraId="0F4C4695" w14:textId="77777777" w:rsidR="00410E16" w:rsidRDefault="001D1029">
      <w:pPr>
        <w:spacing w:after="120"/>
      </w:pPr>
      <w:r>
        <w:t>The submitted model demonstrates strong technical performance with 92% accuracy and AUC scores above 0.988 across all OPEL classes. The developer has shown appropriate clinical reasoning by selecting the baseline model over a marginally more accurate tuned variant on patient safety grounds.</w:t>
      </w:r>
    </w:p>
    <w:p w14:paraId="7C3C6BB6" w14:textId="77777777" w:rsidR="00410E16" w:rsidRDefault="001D1029">
      <w:pPr>
        <w:spacing w:after="120"/>
      </w:pPr>
      <w:r>
        <w:t>However, several governance concerns must be addressed before any operational deployment can be recommended.</w:t>
      </w:r>
    </w:p>
    <w:p w14:paraId="34FD1E0D" w14:textId="77777777" w:rsidR="00410E16" w:rsidRDefault="00410E1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0E16" w14:paraId="5B7F7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ED8B00"/>
              <w:left w:val="single" w:sz="24" w:space="0" w:color="ED8B00"/>
              <w:bottom w:val="single" w:sz="24" w:space="0" w:color="ED8B00"/>
              <w:right w:val="single" w:sz="24" w:space="0" w:color="ED8B00"/>
            </w:tcBorders>
            <w:shd w:val="clear" w:color="auto" w:fill="FFF4E5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D76B927" w14:textId="77777777" w:rsidR="00410E16" w:rsidRDefault="001D1029">
            <w:pPr>
              <w:spacing w:after="100"/>
            </w:pPr>
            <w:r>
              <w:rPr>
                <w:b/>
                <w:bCs/>
                <w:color w:val="ED8B00"/>
                <w:sz w:val="24"/>
                <w:szCs w:val="24"/>
              </w:rPr>
              <w:t>GOVERNANCE VERDICT</w:t>
            </w:r>
          </w:p>
          <w:p w14:paraId="7EAA049A" w14:textId="77777777" w:rsidR="00410E16" w:rsidRDefault="001D1029">
            <w:r>
              <w:t xml:space="preserve">Suitable for </w:t>
            </w:r>
            <w:r>
              <w:rPr>
                <w:b/>
                <w:bCs/>
                <w:color w:val="003087"/>
              </w:rPr>
              <w:t>pilot evaluation only</w:t>
            </w:r>
            <w:r>
              <w:t xml:space="preserve"> — not yet suitable for operational deployment.</w:t>
            </w:r>
          </w:p>
        </w:tc>
      </w:tr>
    </w:tbl>
    <w:p w14:paraId="43F08A13" w14:textId="77777777" w:rsidR="00410E16" w:rsidRDefault="00410E16">
      <w:pPr>
        <w:spacing w:after="200"/>
      </w:pPr>
    </w:p>
    <w:p w14:paraId="7DEDC261" w14:textId="77777777" w:rsidR="00410E16" w:rsidRDefault="001D1029">
      <w:pPr>
        <w:pStyle w:val="Heading1"/>
      </w:pPr>
      <w:r>
        <w:t>2. Model Safety Assessment</w:t>
      </w:r>
    </w:p>
    <w:p w14:paraId="25470E62" w14:textId="77777777" w:rsidR="00410E16" w:rsidRDefault="001D1029">
      <w:pPr>
        <w:spacing w:before="200" w:after="120"/>
      </w:pPr>
      <w:r>
        <w:rPr>
          <w:b/>
          <w:bCs/>
          <w:color w:val="003087"/>
        </w:rPr>
        <w:t>Strengths</w:t>
      </w:r>
    </w:p>
    <w:p w14:paraId="31FF84EB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The developer correctly prioritised OPEL 4 recall as the primary safety metric, recognising that missed escalations carry greater patient risk than false alarms.</w:t>
      </w:r>
    </w:p>
    <w:p w14:paraId="329AF181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The confusion matrix shows no catastrophic misclassifications — no OPEL 4 day was ever predicted as OPEL 1 or 2.</w:t>
      </w:r>
    </w:p>
    <w:p w14:paraId="7D2FBC4C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90% recall on OPEL 4 means 1 in 10 critical days would be missed — acceptable as a decision-support tool but not as a standalone trigger for escalation.</w:t>
      </w:r>
    </w:p>
    <w:p w14:paraId="2B57B908" w14:textId="77777777" w:rsidR="00410E16" w:rsidRDefault="001D1029">
      <w:pPr>
        <w:spacing w:before="200" w:after="120"/>
      </w:pPr>
      <w:r>
        <w:rPr>
          <w:b/>
          <w:bCs/>
          <w:color w:val="003087"/>
        </w:rPr>
        <w:t>Concerns</w:t>
      </w:r>
    </w:p>
    <w:p w14:paraId="5F62207A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A 10% miss rate on OPEL 4 is significant in absolute terms — across an ICB this could represent dozens of missed escalations per year.</w:t>
      </w:r>
    </w:p>
    <w:p w14:paraId="5284C77A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lastRenderedPageBreak/>
        <w:t>No analysis of which OPEL 4 days were missed — were they edge cases, or were there systematic patterns?</w:t>
      </w:r>
    </w:p>
    <w:p w14:paraId="4AE58762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No assessment of prediction confidence thresholds — clinicians need to know when the model is uncertain.</w:t>
      </w:r>
    </w:p>
    <w:p w14:paraId="6287A24D" w14:textId="77777777" w:rsidR="00410E16" w:rsidRDefault="001D1029">
      <w:pPr>
        <w:pStyle w:val="Heading1"/>
      </w:pPr>
      <w:r>
        <w:t>3. Explainability</w:t>
      </w:r>
    </w:p>
    <w:p w14:paraId="086A4CCD" w14:textId="77777777" w:rsidR="00410E16" w:rsidRDefault="001D1029">
      <w:pPr>
        <w:spacing w:before="200" w:after="120"/>
      </w:pPr>
      <w:r>
        <w:rPr>
          <w:b/>
          <w:bCs/>
          <w:color w:val="003087"/>
        </w:rPr>
        <w:t>Strengths</w:t>
      </w:r>
    </w:p>
    <w:p w14:paraId="71110C5E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Logistic regression is an appropriate choice for a regulated NHS context — the model is inherently interpretable, unlike black-box alternatives.</w:t>
      </w:r>
    </w:p>
    <w:p w14:paraId="36145F52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Feature importance analysis identified bed occupancy as the dominant predictor, which is clinically plausible and aligns with established NHS winter planning literature.</w:t>
      </w:r>
    </w:p>
    <w:p w14:paraId="4699994A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Engineered KPIs ranking in the top 7 features provides confidence that the model is using meaningful operational signals, not spurious correlations.</w:t>
      </w:r>
    </w:p>
    <w:p w14:paraId="0D9A972F" w14:textId="77777777" w:rsidR="00410E16" w:rsidRDefault="001D1029">
      <w:pPr>
        <w:spacing w:before="200" w:after="120"/>
      </w:pPr>
      <w:r>
        <w:rPr>
          <w:b/>
          <w:bCs/>
          <w:color w:val="003087"/>
        </w:rPr>
        <w:t>Concerns</w:t>
      </w:r>
    </w:p>
    <w:p w14:paraId="7EA69DBE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No SHAP or LIME analysis providing per-prediction explanations — clinicians making escalation decisions need to know why a specific day was flagged, not just global feature importance.</w:t>
      </w:r>
    </w:p>
    <w:p w14:paraId="58FE80A7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No documentation of how clinicians will be trained to interpret model outputs.</w:t>
      </w:r>
    </w:p>
    <w:p w14:paraId="369A5F9C" w14:textId="77777777" w:rsidR="00410E16" w:rsidRDefault="001D1029">
      <w:pPr>
        <w:pStyle w:val="Heading1"/>
      </w:pPr>
      <w:r>
        <w:t>4. Limitations</w:t>
      </w:r>
    </w:p>
    <w:p w14:paraId="5B52AE73" w14:textId="77777777" w:rsidR="00410E16" w:rsidRDefault="001D1029">
      <w:pPr>
        <w:spacing w:before="200" w:after="120"/>
      </w:pPr>
      <w:r>
        <w:rPr>
          <w:b/>
          <w:bCs/>
          <w:color w:val="003087"/>
        </w:rPr>
        <w:t>Acknowledged appropriately</w:t>
      </w:r>
    </w:p>
    <w:p w14:paraId="0DFB5642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Developer transparent that data is synthetic.</w:t>
      </w:r>
    </w:p>
    <w:p w14:paraId="7E28EBB4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Clear baseline vs tuned comparison demonstrates methodological awareness.</w:t>
      </w:r>
    </w:p>
    <w:p w14:paraId="02E74E68" w14:textId="77777777" w:rsidR="00410E16" w:rsidRDefault="001D1029">
      <w:pPr>
        <w:spacing w:before="200" w:after="120"/>
      </w:pPr>
      <w:r>
        <w:rPr>
          <w:b/>
          <w:bCs/>
          <w:color w:val="003087"/>
        </w:rPr>
        <w:t>Material concerns</w:t>
      </w:r>
    </w:p>
    <w:p w14:paraId="7EB7A28D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Synthetic data ceiling: Real-world performance will almost certainly be lower. Real NHS data contains coding inconsistencies, late data entry, missing values not at random, and trust-specific operational quirks not modelled here.</w:t>
      </w:r>
    </w:p>
    <w:p w14:paraId="65E3F2F5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No external validation: Model trained and tested on the same synthetic distribution. No evidence of generalisation to unseen trusts.</w:t>
      </w:r>
    </w:p>
    <w:p w14:paraId="74EC9BF5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Temporal validation absent: Random train/test split was used. For an operational forecasting tool, time-based splitting is essential — the model must be tested on data chronologically after its training period.</w:t>
      </w:r>
    </w:p>
    <w:p w14:paraId="342808FB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Class imbalance not addressed: OPEL 1 has only 224 examples vs 843 for OPEL 2. No mention of class weighting or stratified sampling.</w:t>
      </w:r>
    </w:p>
    <w:p w14:paraId="7EED4C23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Three trusts only: ICB-wide deployment would face data from many more trusts with different operational characteristics.</w:t>
      </w:r>
    </w:p>
    <w:p w14:paraId="708EDB70" w14:textId="77777777" w:rsidR="00410E16" w:rsidRDefault="001D1029">
      <w:pPr>
        <w:pStyle w:val="Heading1"/>
      </w:pPr>
      <w:r>
        <w:t>5. Information Governance &amp; Ethics</w:t>
      </w:r>
    </w:p>
    <w:p w14:paraId="33855A4A" w14:textId="77777777" w:rsidR="00410E16" w:rsidRDefault="001D1029">
      <w:pPr>
        <w:spacing w:before="200" w:after="120"/>
      </w:pPr>
      <w:r>
        <w:rPr>
          <w:b/>
          <w:bCs/>
          <w:color w:val="003087"/>
        </w:rPr>
        <w:t>Strengths</w:t>
      </w:r>
    </w:p>
    <w:p w14:paraId="1DE59370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lastRenderedPageBreak/>
        <w:t>Use of synthetic data eliminates immediate IG risk for development.</w:t>
      </w:r>
    </w:p>
    <w:p w14:paraId="0B55FF44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No patient-identifiable data involved.</w:t>
      </w:r>
    </w:p>
    <w:p w14:paraId="7D2E836E" w14:textId="77777777" w:rsidR="00410E16" w:rsidRDefault="001D1029">
      <w:pPr>
        <w:spacing w:before="200" w:after="120"/>
      </w:pPr>
      <w:r>
        <w:rPr>
          <w:b/>
          <w:bCs/>
          <w:color w:val="003087"/>
        </w:rPr>
        <w:t>Pre-deployment requirements</w:t>
      </w:r>
    </w:p>
    <w:p w14:paraId="7C7507D9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Data Protection Impact Assessment (DPIA) required before any real data ingestion.</w:t>
      </w:r>
    </w:p>
    <w:p w14:paraId="30BAF776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Clinical Safety Officer sign-off (DCB0129 compliance) mandatory.</w:t>
      </w:r>
    </w:p>
    <w:p w14:paraId="0FB42570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Algorithmic bias audit required across trust type, demographics, and seasonality.</w:t>
      </w:r>
    </w:p>
    <w:p w14:paraId="0D0CFCAD" w14:textId="77777777" w:rsidR="00410E16" w:rsidRDefault="001D1029">
      <w:pPr>
        <w:pStyle w:val="ListParagraph"/>
        <w:numPr>
          <w:ilvl w:val="0"/>
          <w:numId w:val="2"/>
        </w:numPr>
        <w:spacing w:after="80"/>
      </w:pPr>
      <w:r>
        <w:t>Clear human-in-the-loop protocol must be defined — the model must not auto-trigger escalation.</w:t>
      </w:r>
    </w:p>
    <w:p w14:paraId="46463B29" w14:textId="77777777" w:rsidR="00410E16" w:rsidRDefault="001D1029">
      <w:pPr>
        <w:pStyle w:val="Heading1"/>
      </w:pPr>
      <w:r>
        <w:t>6. Suitability for Operational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410E16" w14:paraId="019BF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E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86439" w14:textId="77777777" w:rsidR="00410E16" w:rsidRDefault="001D1029">
            <w:r>
              <w:rPr>
                <w:b/>
                <w:bCs/>
                <w:color w:val="FFFFFF"/>
              </w:rPr>
              <w:t>Deployment Stage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E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98765" w14:textId="77777777" w:rsidR="00410E16" w:rsidRDefault="001D1029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410E16" w14:paraId="69DC766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A7685" w14:textId="77777777" w:rsidR="00410E16" w:rsidRDefault="001D1029">
            <w:r>
              <w:rPr>
                <w:sz w:val="20"/>
                <w:szCs w:val="20"/>
              </w:rPr>
              <w:t>Research / portfolio use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1B153" w14:textId="77777777" w:rsidR="00410E16" w:rsidRDefault="001D1029">
            <w:pPr>
              <w:jc w:val="center"/>
            </w:pPr>
            <w:proofErr w:type="gramStart"/>
            <w:r>
              <w:rPr>
                <w:b/>
                <w:bCs/>
                <w:color w:val="009639"/>
                <w:sz w:val="20"/>
                <w:szCs w:val="20"/>
              </w:rPr>
              <w:t>✓</w:t>
            </w:r>
            <w:r>
              <w:rPr>
                <w:b/>
                <w:bCs/>
                <w:color w:val="009639"/>
                <w:sz w:val="20"/>
                <w:szCs w:val="20"/>
              </w:rPr>
              <w:t xml:space="preserve">  Fully</w:t>
            </w:r>
            <w:proofErr w:type="gramEnd"/>
            <w:r>
              <w:rPr>
                <w:b/>
                <w:bCs/>
                <w:color w:val="009639"/>
                <w:sz w:val="20"/>
                <w:szCs w:val="20"/>
              </w:rPr>
              <w:t xml:space="preserve"> suitable</w:t>
            </w:r>
          </w:p>
        </w:tc>
      </w:tr>
      <w:tr w:rsidR="00410E16" w14:paraId="7E20565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6F834" w14:textId="77777777" w:rsidR="00410E16" w:rsidRDefault="001D1029">
            <w:r>
              <w:rPr>
                <w:sz w:val="20"/>
                <w:szCs w:val="20"/>
              </w:rPr>
              <w:t>Internal pilot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CB1DE" w14:textId="77777777" w:rsidR="00410E16" w:rsidRDefault="001D1029">
            <w:pPr>
              <w:jc w:val="center"/>
            </w:pPr>
            <w:proofErr w:type="gramStart"/>
            <w:r>
              <w:rPr>
                <w:b/>
                <w:bCs/>
                <w:color w:val="ED8B00"/>
                <w:sz w:val="20"/>
                <w:szCs w:val="20"/>
              </w:rPr>
              <w:t>◐  Suitable</w:t>
            </w:r>
            <w:proofErr w:type="gramEnd"/>
            <w:r>
              <w:rPr>
                <w:b/>
                <w:bCs/>
                <w:color w:val="ED8B00"/>
                <w:sz w:val="20"/>
                <w:szCs w:val="20"/>
              </w:rPr>
              <w:t xml:space="preserve"> with safeguards</w:t>
            </w:r>
          </w:p>
        </w:tc>
      </w:tr>
      <w:tr w:rsidR="00410E16" w14:paraId="72BFA3D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DD08D" w14:textId="77777777" w:rsidR="00410E16" w:rsidRDefault="001D1029">
            <w:r>
              <w:rPr>
                <w:sz w:val="20"/>
                <w:szCs w:val="20"/>
              </w:rPr>
              <w:t>Decision support 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695D9" w14:textId="77777777" w:rsidR="00410E16" w:rsidRDefault="001D1029">
            <w:pPr>
              <w:jc w:val="center"/>
            </w:pPr>
            <w:proofErr w:type="gramStart"/>
            <w:r>
              <w:rPr>
                <w:b/>
                <w:bCs/>
                <w:color w:val="ED8B00"/>
                <w:sz w:val="20"/>
                <w:szCs w:val="20"/>
              </w:rPr>
              <w:t>◐  Conditional</w:t>
            </w:r>
            <w:proofErr w:type="gramEnd"/>
          </w:p>
        </w:tc>
      </w:tr>
      <w:tr w:rsidR="00410E16" w14:paraId="0FF81F8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1CD8" w14:textId="77777777" w:rsidR="00410E16" w:rsidRDefault="001D1029">
            <w:r>
              <w:rPr>
                <w:sz w:val="20"/>
                <w:szCs w:val="20"/>
              </w:rPr>
              <w:t>Autonomous trigger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54FED" w14:textId="77777777" w:rsidR="00410E16" w:rsidRDefault="001D1029">
            <w:pPr>
              <w:jc w:val="center"/>
            </w:pPr>
            <w:proofErr w:type="gramStart"/>
            <w:r>
              <w:rPr>
                <w:b/>
                <w:bCs/>
                <w:color w:val="DA291C"/>
                <w:sz w:val="20"/>
                <w:szCs w:val="20"/>
              </w:rPr>
              <w:t>✗</w:t>
            </w:r>
            <w:r>
              <w:rPr>
                <w:b/>
                <w:bCs/>
                <w:color w:val="DA291C"/>
                <w:sz w:val="20"/>
                <w:szCs w:val="20"/>
              </w:rPr>
              <w:t xml:space="preserve">  Not</w:t>
            </w:r>
            <w:proofErr w:type="gramEnd"/>
            <w:r>
              <w:rPr>
                <w:b/>
                <w:bCs/>
                <w:color w:val="DA291C"/>
                <w:sz w:val="20"/>
                <w:szCs w:val="20"/>
              </w:rPr>
              <w:t xml:space="preserve"> suitable</w:t>
            </w:r>
          </w:p>
        </w:tc>
      </w:tr>
    </w:tbl>
    <w:p w14:paraId="3CDF1FCB" w14:textId="77777777" w:rsidR="00410E16" w:rsidRDefault="00410E16">
      <w:pPr>
        <w:spacing w:after="200"/>
      </w:pPr>
    </w:p>
    <w:p w14:paraId="56D371BB" w14:textId="77777777" w:rsidR="00410E16" w:rsidRDefault="001D1029">
      <w:pPr>
        <w:spacing w:before="200" w:after="120"/>
      </w:pPr>
      <w:r>
        <w:rPr>
          <w:b/>
          <w:bCs/>
          <w:color w:val="003087"/>
        </w:rPr>
        <w:t>Conditions for pilot deployment</w:t>
      </w:r>
    </w:p>
    <w:p w14:paraId="08BEFB9D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Repeat training on real NHS data with appropriate governance approvals.</w:t>
      </w:r>
    </w:p>
    <w:p w14:paraId="21C75FFF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Time-based validation replacing the current random split.</w:t>
      </w:r>
    </w:p>
    <w:p w14:paraId="78BA88AF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SHAP explainability added for individual predictions.</w:t>
      </w:r>
    </w:p>
    <w:p w14:paraId="271A939E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Defined uncertainty thresholds — predictions below confidence X must default to human judgement.</w:t>
      </w:r>
    </w:p>
    <w:p w14:paraId="419DD98F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Shadow mode operation for 3–6 months before any clinical influence.</w:t>
      </w:r>
    </w:p>
    <w:p w14:paraId="5FB00F86" w14:textId="77777777" w:rsidR="00410E16" w:rsidRDefault="001D1029">
      <w:pPr>
        <w:pStyle w:val="ListParagraph"/>
        <w:numPr>
          <w:ilvl w:val="0"/>
          <w:numId w:val="3"/>
        </w:numPr>
        <w:spacing w:after="80"/>
      </w:pPr>
      <w:r>
        <w:t>Clinical Safety Case documentation per DCB0129.</w:t>
      </w:r>
    </w:p>
    <w:p w14:paraId="005079F3" w14:textId="77777777" w:rsidR="00410E16" w:rsidRDefault="001D1029">
      <w:pPr>
        <w:pStyle w:val="Heading1"/>
      </w:pPr>
      <w:r>
        <w:t>7. Overall Assessment</w:t>
      </w:r>
    </w:p>
    <w:p w14:paraId="2A6312D4" w14:textId="77777777" w:rsidR="00410E16" w:rsidRDefault="001D1029">
      <w:pPr>
        <w:spacing w:after="120"/>
      </w:pPr>
      <w:r>
        <w:t>This is a well-executed early-stage model demonstrating strong analytical thinking and appropriate clinical reasoning. The developer's decision to favour the baseline model over the marginally more accurate tuned variant — on OPEL 4 recall grounds — shows the kind of governance-aware thinking the NHS values.</w:t>
      </w:r>
    </w:p>
    <w:p w14:paraId="35D627A9" w14:textId="77777777" w:rsidR="00410E16" w:rsidRDefault="001D1029">
      <w:pPr>
        <w:spacing w:after="120"/>
      </w:pPr>
      <w:r>
        <w:t>However, the model is currently a proof of concept on synthetic data, not a production-ready clinical tool. The pathway to deployment requires substantial additional work in validation methodology, explainability, and clinical safety documentation.</w:t>
      </w:r>
    </w:p>
    <w:p w14:paraId="73BC3BAF" w14:textId="77777777" w:rsidR="00410E16" w:rsidRDefault="001D1029">
      <w:pPr>
        <w:spacing w:before="200" w:after="100"/>
      </w:pPr>
      <w:r>
        <w:rPr>
          <w:b/>
          <w:bCs/>
          <w:color w:val="003087"/>
        </w:rPr>
        <w:t xml:space="preserve">Recommendation: </w:t>
      </w:r>
      <w:r>
        <w:t>Approve for portfolio and pilot evaluation. Do not deploy operationally without addressing the conditions in Section 6.</w:t>
      </w:r>
    </w:p>
    <w:p w14:paraId="174A98BF" w14:textId="77777777" w:rsidR="00410E16" w:rsidRDefault="001D1029">
      <w:pPr>
        <w:pBdr>
          <w:top w:val="single" w:sz="12" w:space="8" w:color="005EB8"/>
        </w:pBdr>
        <w:spacing w:before="480" w:after="80"/>
      </w:pPr>
      <w:r>
        <w:rPr>
          <w:i/>
          <w:iCs/>
          <w:color w:val="555555"/>
          <w:sz w:val="20"/>
          <w:szCs w:val="20"/>
        </w:rPr>
        <w:lastRenderedPageBreak/>
        <w:t>Reviewer: AI Clinical Governance Reviewer</w:t>
      </w:r>
    </w:p>
    <w:p w14:paraId="23D287B8" w14:textId="77777777" w:rsidR="00410E16" w:rsidRDefault="001D1029">
      <w:pPr>
        <w:spacing w:after="80"/>
      </w:pPr>
      <w:r>
        <w:rPr>
          <w:i/>
          <w:iCs/>
          <w:color w:val="555555"/>
          <w:sz w:val="20"/>
          <w:szCs w:val="20"/>
        </w:rPr>
        <w:t>Date: 14 May 2026</w:t>
      </w:r>
    </w:p>
    <w:p w14:paraId="5EAD5763" w14:textId="77777777" w:rsidR="00410E16" w:rsidRDefault="001D1029">
      <w:r>
        <w:rPr>
          <w:i/>
          <w:iCs/>
          <w:color w:val="555555"/>
          <w:sz w:val="20"/>
          <w:szCs w:val="20"/>
        </w:rPr>
        <w:t>Review level: Independent Section 251 advisory equivalent</w:t>
      </w:r>
    </w:p>
    <w:sectPr w:rsidR="00410E1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BF7B" w14:textId="77777777" w:rsidR="001D1029" w:rsidRDefault="001D1029">
      <w:r>
        <w:separator/>
      </w:r>
    </w:p>
  </w:endnote>
  <w:endnote w:type="continuationSeparator" w:id="0">
    <w:p w14:paraId="5F433A2C" w14:textId="77777777" w:rsidR="001D1029" w:rsidRDefault="001D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3621" w14:textId="77777777" w:rsidR="00410E16" w:rsidRDefault="001D102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8523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8523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80616" w14:textId="77777777" w:rsidR="001D1029" w:rsidRDefault="001D1029">
      <w:r>
        <w:separator/>
      </w:r>
    </w:p>
  </w:footnote>
  <w:footnote w:type="continuationSeparator" w:id="0">
    <w:p w14:paraId="3D4E7E7D" w14:textId="77777777" w:rsidR="001D1029" w:rsidRDefault="001D1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5C6C" w14:textId="77777777" w:rsidR="00410E16" w:rsidRDefault="001D1029">
    <w:pPr>
      <w:jc w:val="right"/>
    </w:pPr>
    <w:r>
      <w:rPr>
        <w:i/>
        <w:iCs/>
        <w:color w:val="888888"/>
        <w:sz w:val="18"/>
        <w:szCs w:val="18"/>
      </w:rPr>
      <w:t xml:space="preserve">NHS Clinical Governance </w:t>
    </w:r>
    <w:proofErr w:type="gramStart"/>
    <w:r>
      <w:rPr>
        <w:i/>
        <w:iCs/>
        <w:color w:val="888888"/>
        <w:sz w:val="18"/>
        <w:szCs w:val="18"/>
      </w:rPr>
      <w:t>Review  |</w:t>
    </w:r>
    <w:proofErr w:type="gramEnd"/>
    <w:r>
      <w:rPr>
        <w:i/>
        <w:iCs/>
        <w:color w:val="888888"/>
        <w:sz w:val="18"/>
        <w:szCs w:val="18"/>
      </w:rPr>
      <w:t xml:space="preserve">  OPEL Predictive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413B"/>
    <w:multiLevelType w:val="hybridMultilevel"/>
    <w:tmpl w:val="78967438"/>
    <w:lvl w:ilvl="0" w:tplc="27184A70">
      <w:start w:val="1"/>
      <w:numFmt w:val="bullet"/>
      <w:lvlText w:val="•"/>
      <w:lvlJc w:val="left"/>
      <w:pPr>
        <w:ind w:left="720" w:hanging="360"/>
      </w:pPr>
    </w:lvl>
    <w:lvl w:ilvl="1" w:tplc="049E91E4">
      <w:numFmt w:val="decimal"/>
      <w:lvlText w:val=""/>
      <w:lvlJc w:val="left"/>
    </w:lvl>
    <w:lvl w:ilvl="2" w:tplc="5B64908A">
      <w:numFmt w:val="decimal"/>
      <w:lvlText w:val=""/>
      <w:lvlJc w:val="left"/>
    </w:lvl>
    <w:lvl w:ilvl="3" w:tplc="AB7C4094">
      <w:numFmt w:val="decimal"/>
      <w:lvlText w:val=""/>
      <w:lvlJc w:val="left"/>
    </w:lvl>
    <w:lvl w:ilvl="4" w:tplc="E33AEE1C">
      <w:numFmt w:val="decimal"/>
      <w:lvlText w:val=""/>
      <w:lvlJc w:val="left"/>
    </w:lvl>
    <w:lvl w:ilvl="5" w:tplc="2F0A238E">
      <w:numFmt w:val="decimal"/>
      <w:lvlText w:val=""/>
      <w:lvlJc w:val="left"/>
    </w:lvl>
    <w:lvl w:ilvl="6" w:tplc="465E0878">
      <w:numFmt w:val="decimal"/>
      <w:lvlText w:val=""/>
      <w:lvlJc w:val="left"/>
    </w:lvl>
    <w:lvl w:ilvl="7" w:tplc="1D98DB78">
      <w:numFmt w:val="decimal"/>
      <w:lvlText w:val=""/>
      <w:lvlJc w:val="left"/>
    </w:lvl>
    <w:lvl w:ilvl="8" w:tplc="247ACB96">
      <w:numFmt w:val="decimal"/>
      <w:lvlText w:val=""/>
      <w:lvlJc w:val="left"/>
    </w:lvl>
  </w:abstractNum>
  <w:abstractNum w:abstractNumId="1" w15:restartNumberingAfterBreak="0">
    <w:nsid w:val="42161732"/>
    <w:multiLevelType w:val="hybridMultilevel"/>
    <w:tmpl w:val="AF06FB5E"/>
    <w:lvl w:ilvl="0" w:tplc="FC46B1FC">
      <w:start w:val="1"/>
      <w:numFmt w:val="bullet"/>
      <w:lvlText w:val="●"/>
      <w:lvlJc w:val="left"/>
      <w:pPr>
        <w:ind w:left="720" w:hanging="360"/>
      </w:pPr>
    </w:lvl>
    <w:lvl w:ilvl="1" w:tplc="9B127B5A">
      <w:start w:val="1"/>
      <w:numFmt w:val="bullet"/>
      <w:lvlText w:val="○"/>
      <w:lvlJc w:val="left"/>
      <w:pPr>
        <w:ind w:left="1440" w:hanging="360"/>
      </w:pPr>
    </w:lvl>
    <w:lvl w:ilvl="2" w:tplc="86F25DC6">
      <w:start w:val="1"/>
      <w:numFmt w:val="bullet"/>
      <w:lvlText w:val="■"/>
      <w:lvlJc w:val="left"/>
      <w:pPr>
        <w:ind w:left="2160" w:hanging="360"/>
      </w:pPr>
    </w:lvl>
    <w:lvl w:ilvl="3" w:tplc="D4E6FC3C">
      <w:start w:val="1"/>
      <w:numFmt w:val="bullet"/>
      <w:lvlText w:val="●"/>
      <w:lvlJc w:val="left"/>
      <w:pPr>
        <w:ind w:left="2880" w:hanging="360"/>
      </w:pPr>
    </w:lvl>
    <w:lvl w:ilvl="4" w:tplc="25A4688A">
      <w:start w:val="1"/>
      <w:numFmt w:val="bullet"/>
      <w:lvlText w:val="○"/>
      <w:lvlJc w:val="left"/>
      <w:pPr>
        <w:ind w:left="3600" w:hanging="360"/>
      </w:pPr>
    </w:lvl>
    <w:lvl w:ilvl="5" w:tplc="E182C08E">
      <w:start w:val="1"/>
      <w:numFmt w:val="bullet"/>
      <w:lvlText w:val="■"/>
      <w:lvlJc w:val="left"/>
      <w:pPr>
        <w:ind w:left="4320" w:hanging="360"/>
      </w:pPr>
    </w:lvl>
    <w:lvl w:ilvl="6" w:tplc="903CB62E">
      <w:start w:val="1"/>
      <w:numFmt w:val="bullet"/>
      <w:lvlText w:val="●"/>
      <w:lvlJc w:val="left"/>
      <w:pPr>
        <w:ind w:left="5040" w:hanging="360"/>
      </w:pPr>
    </w:lvl>
    <w:lvl w:ilvl="7" w:tplc="8E5CF9D2">
      <w:start w:val="1"/>
      <w:numFmt w:val="bullet"/>
      <w:lvlText w:val="●"/>
      <w:lvlJc w:val="left"/>
      <w:pPr>
        <w:ind w:left="5760" w:hanging="360"/>
      </w:pPr>
    </w:lvl>
    <w:lvl w:ilvl="8" w:tplc="B99621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55720"/>
    <w:multiLevelType w:val="hybridMultilevel"/>
    <w:tmpl w:val="3B189AC4"/>
    <w:lvl w:ilvl="0" w:tplc="D77EBA7A">
      <w:start w:val="1"/>
      <w:numFmt w:val="decimal"/>
      <w:lvlText w:val="%1."/>
      <w:lvlJc w:val="left"/>
      <w:pPr>
        <w:ind w:left="720" w:hanging="360"/>
      </w:pPr>
    </w:lvl>
    <w:lvl w:ilvl="1" w:tplc="6C34A270">
      <w:numFmt w:val="decimal"/>
      <w:lvlText w:val=""/>
      <w:lvlJc w:val="left"/>
    </w:lvl>
    <w:lvl w:ilvl="2" w:tplc="3F6A3F1E">
      <w:numFmt w:val="decimal"/>
      <w:lvlText w:val=""/>
      <w:lvlJc w:val="left"/>
    </w:lvl>
    <w:lvl w:ilvl="3" w:tplc="F1BA20C8">
      <w:numFmt w:val="decimal"/>
      <w:lvlText w:val=""/>
      <w:lvlJc w:val="left"/>
    </w:lvl>
    <w:lvl w:ilvl="4" w:tplc="DF9C00CC">
      <w:numFmt w:val="decimal"/>
      <w:lvlText w:val=""/>
      <w:lvlJc w:val="left"/>
    </w:lvl>
    <w:lvl w:ilvl="5" w:tplc="E104D7BE">
      <w:numFmt w:val="decimal"/>
      <w:lvlText w:val=""/>
      <w:lvlJc w:val="left"/>
    </w:lvl>
    <w:lvl w:ilvl="6" w:tplc="347A82D8">
      <w:numFmt w:val="decimal"/>
      <w:lvlText w:val=""/>
      <w:lvlJc w:val="left"/>
    </w:lvl>
    <w:lvl w:ilvl="7" w:tplc="27869AB2">
      <w:numFmt w:val="decimal"/>
      <w:lvlText w:val=""/>
      <w:lvlJc w:val="left"/>
    </w:lvl>
    <w:lvl w:ilvl="8" w:tplc="1F8A7BD6">
      <w:numFmt w:val="decimal"/>
      <w:lvlText w:val=""/>
      <w:lvlJc w:val="left"/>
    </w:lvl>
  </w:abstractNum>
  <w:num w:numId="1" w16cid:durableId="849298491">
    <w:abstractNumId w:val="1"/>
    <w:lvlOverride w:ilvl="0">
      <w:startOverride w:val="1"/>
    </w:lvlOverride>
  </w:num>
  <w:num w:numId="2" w16cid:durableId="2004507314">
    <w:abstractNumId w:val="0"/>
    <w:lvlOverride w:ilvl="0">
      <w:startOverride w:val="1"/>
    </w:lvlOverride>
  </w:num>
  <w:num w:numId="3" w16cid:durableId="5141483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E16"/>
    <w:rsid w:val="001D1029"/>
    <w:rsid w:val="002A2F65"/>
    <w:rsid w:val="00410E16"/>
    <w:rsid w:val="0098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F94"/>
  <w15:docId w15:val="{146426D2-AB29-4042-B5D2-3DDC1863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08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005EB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nauman khan</cp:lastModifiedBy>
  <cp:revision>2</cp:revision>
  <dcterms:created xsi:type="dcterms:W3CDTF">2026-05-14T21:21:00Z</dcterms:created>
  <dcterms:modified xsi:type="dcterms:W3CDTF">2026-05-14T21:21:00Z</dcterms:modified>
</cp:coreProperties>
</file>