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p>
    <w:p>
      <w:pPr>
        <w:pBdr>
          <w:bottom w:val="single" w:color="005EB8" w:sz="36" w:space="4"/>
        </w:pBdr>
        <w:spacing w:after="80"/>
      </w:pPr>
      <w:r>
        <w:rPr>
          <w:b/>
          <w:bCs/>
          <w:color w:val="005EB8"/>
          <w:sz w:val="64"/>
          <w:szCs w:val="64"/>
        </w:rPr>
        <w:t xml:space="preserve">NHS</w:t>
      </w:r>
    </w:p>
    <w:p>
      <w:pPr>
        <w:spacing w:after="600"/>
      </w:pPr>
      <w:r>
        <w:rPr>
          <w:b/>
          <w:bCs/>
          <w:color w:val="003087"/>
          <w:sz w:val="24"/>
          <w:szCs w:val="24"/>
        </w:rPr>
        <w:t xml:space="preserve">Integrated Care Board — Analytics &amp; Workforce Intelligence</w:t>
      </w:r>
    </w:p>
    <w:p>
      <w:pPr>
        <w:spacing w:after="80"/>
      </w:pPr>
      <w:r>
        <w:rPr>
          <w:b/>
          <w:bCs/>
          <w:color w:val="003087"/>
          <w:sz w:val="52"/>
          <w:szCs w:val="52"/>
        </w:rPr>
        <w:t xml:space="preserve">NHS STAFF ABSENCE</w:t>
      </w:r>
    </w:p>
    <w:p>
      <w:pPr>
        <w:spacing w:after="80"/>
      </w:pPr>
      <w:r>
        <w:rPr>
          <w:b/>
          <w:bCs/>
          <w:color w:val="003087"/>
          <w:sz w:val="52"/>
          <w:szCs w:val="52"/>
        </w:rPr>
        <w:t xml:space="preserve">INTELLIGENCE REPORT</w:t>
      </w:r>
    </w:p>
    <w:p>
      <w:pPr>
        <w:spacing w:after="600"/>
      </w:pPr>
      <w:r>
        <w:rPr>
          <w:i/>
          <w:iCs/>
          <w:color w:val="005EB8"/>
          <w:sz w:val="26"/>
          <w:szCs w:val="26"/>
        </w:rPr>
        <w:t xml:space="preserve">SQL Analysis of 75,824 Absence Records Across 5 NHS Trusts</w:t>
      </w:r>
    </w:p>
    <w:p>
      <w:pPr>
        <w:spacing w:after="100"/>
      </w:pPr>
      <w:r>
        <w:rPr>
          <w:color w:val="425563"/>
          <w:sz w:val="22"/>
          <w:szCs w:val="22"/>
        </w:rPr>
        <w:t xml:space="preserve">SQL Week Portfolio Project  |  Sessions 1–6</w:t>
      </w:r>
    </w:p>
    <w:p>
      <w:pPr>
        <w:spacing w:after="1200"/>
      </w:pPr>
      <w:r>
        <w:rPr>
          <w:color w:val="425563"/>
          <w:sz w:val="22"/>
          <w:szCs w:val="22"/>
        </w:rPr>
        <w:t xml:space="preserve">Analysis period: 1 January 2023 – 31 December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Records analysed</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75,824 individual absence events</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Working days lost</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206,014 days (equivalent to 800 FTE for one year)</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Average duration</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2.72 days per absence</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Trusts covered</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5 (2 Acute, 1 Community, 1 Mental Health, 1 Primary Care)</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Analysis period</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Full year 2023 (January – December)</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SQL queries run</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15 queries across 6 sessions</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Tools used</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MySQL Workbench, MySQL Server 9.4</w:t>
            </w:r>
          </w:p>
        </w:tc>
      </w:tr>
      <w:tr>
        <w:tc>
          <w:tcPr>
            <w:tcW w:type="dxa" w:w="3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b/>
                <w:bCs/>
                <w:color w:val="003087"/>
                <w:sz w:val="20"/>
                <w:szCs w:val="20"/>
              </w:rPr>
              <w:t xml:space="preserve">Author</w:t>
            </w:r>
          </w:p>
        </w:tc>
        <w:tc>
          <w:tcPr>
            <w:tcW w:type="dxa" w:w="636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NHS ICB Analytics Team</w:t>
            </w:r>
          </w:p>
        </w:tc>
      </w:tr>
    </w:tbl>
    <w:p>
      <w:r>
        <w:br w:type="page"/>
      </w:r>
    </w:p>
    <w:p>
      <w:pPr>
        <w:pStyle w:val="Heading1"/>
        <w:spacing w:after="220" w:before="400"/>
      </w:pPr>
      <w:r>
        <w:rPr>
          <w:b/>
          <w:bCs/>
          <w:color w:val="0072CE"/>
          <w:sz w:val="32"/>
          <w:szCs w:val="32"/>
        </w:rPr>
        <w:t xml:space="preserve">1  </w:t>
      </w:r>
      <w:r>
        <w:rPr>
          <w:b/>
          <w:bCs/>
          <w:color w:val="003087"/>
          <w:sz w:val="30"/>
          <w:szCs w:val="30"/>
        </w:rPr>
        <w:t xml:space="preserve">Executive Summary</w:t>
      </w:r>
    </w:p>
    <w:p>
      <w:pPr>
        <w:spacing w:after="140" w:line="300"/>
      </w:pPr>
      <w:r>
        <w:rPr>
          <w:sz w:val="22"/>
          <w:szCs w:val="22"/>
        </w:rPr>
        <w:t xml:space="preserve">This report presents the findings of a SQL-based analysis of NHS staff absence records across five NHS Trusts within an Integrated Care Board for the full calendar year 2023. The analysis covers 75,824 individual absence events representing 206,014 working days lost — equivalent to removing 800 full-time staff from the workforce for an entire year.</w:t>
      </w:r>
    </w:p>
    <w:p>
      <w:pPr>
        <w:spacing w:after="140" w:line="300"/>
      </w:pPr>
      <w:r>
        <w:rPr>
          <w:sz w:val="22"/>
          <w:szCs w:val="22"/>
        </w:rPr>
        <w:t xml:space="preserve">Five clinically significant findings emerged from fifteen SQL queries spanning aggregation, filtering, joining, window functions, and CTEs. Each finding carries direct implications for NHS workforce planning, HR governance, and regional resource allocation.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EB8" w:sz="20"/>
              <w:left w:val="single" w:color="005EB8" w:sz="20"/>
              <w:bottom w:val="single" w:color="005EB8" w:sz="4"/>
              <w:right w:val="single" w:color="005EB8" w:sz="4"/>
            </w:tcBorders>
            <w:shd w:fill="FAFBFC" w:val="clear"/>
            <w:tcMar>
              <w:top w:type="dxa" w:w="180"/>
              <w:left w:type="dxa" w:w="240"/>
              <w:bottom w:type="dxa" w:w="180"/>
              <w:right w:type="dxa" w:w="240"/>
            </w:tcMar>
          </w:tcPr>
          <w:p>
            <w:pPr>
              <w:spacing w:after="100"/>
            </w:pPr>
            <w:r>
              <w:rPr>
                <w:b/>
                <w:bCs/>
                <w:color w:val="005EB8"/>
                <w:sz w:val="22"/>
                <w:szCs w:val="22"/>
              </w:rPr>
              <w:t xml:space="preserve">FIVE HEADLINE FINDINGS</w:t>
            </w:r>
          </w:p>
          <w:p>
            <w:pPr>
              <w:spacing w:after="80" w:line="280"/>
            </w:pPr>
            <w:r>
              <w:rPr>
                <w:sz w:val="21"/>
                <w:szCs w:val="21"/>
              </w:rPr>
              <w:t xml:space="preserve">1.  Every trust is more than double its NHS absence rate target — MHT worst at 10.33% against a 5.00% target.</w:t>
            </w:r>
          </w:p>
          <w:p>
            <w:pPr>
              <w:spacing w:after="80" w:line="280"/>
            </w:pPr>
            <w:r>
              <w:rPr>
                <w:sz w:val="21"/>
                <w:szCs w:val="21"/>
              </w:rPr>
              <w:t xml:space="preserve">2.  Winter months generate 49% more absences than summer — with 31.8% of annual absence consumed in Q1 alone.</w:t>
            </w:r>
          </w:p>
          <w:p>
            <w:pPr>
              <w:spacing w:after="80" w:line="280"/>
            </w:pPr>
            <w:r>
              <w:rPr>
                <w:sz w:val="21"/>
                <w:szCs w:val="21"/>
              </w:rPr>
              <w:t xml:space="preserve">3.  December absence spikes +56.6% month-on-month — the steepest and most dangerous operational transition of the year.</w:t>
            </w:r>
          </w:p>
          <w:p>
            <w:pPr>
              <w:spacing w:after="80" w:line="280"/>
            </w:pPr>
            <w:r>
              <w:rPr>
                <w:sz w:val="21"/>
                <w:szCs w:val="21"/>
              </w:rPr>
              <w:t xml:space="preserve">4.  MHT requires a wellbeing intervention; WGH requires governance enforcement — same absence volume, different root causes.</w:t>
            </w:r>
          </w:p>
          <w:p>
            <w:pPr>
              <w:spacing w:after="80" w:line="280"/>
            </w:pPr>
            <w:r>
              <w:rPr>
                <w:sz w:val="21"/>
                <w:szCs w:val="21"/>
              </w:rPr>
              <w:t xml:space="preserve">5.  206,014 working days were lost in 2023 — the equivalent of 800 full-time staff absent for a full year.</w:t>
            </w:r>
          </w:p>
        </w:tc>
      </w:tr>
    </w:tbl>
    <w:p>
      <w:pPr>
        <w:spacing w:after="200"/>
      </w:pPr>
    </w:p>
    <w:p>
      <w:pPr>
        <w:pStyle w:val="Heading2"/>
        <w:spacing w:after="160" w:before="280"/>
      </w:pPr>
      <w:r>
        <w:rPr>
          <w:b/>
          <w:bCs/>
          <w:color w:val="005EB8"/>
          <w:sz w:val="24"/>
          <w:szCs w:val="24"/>
        </w:rPr>
        <w:t xml:space="preserve">Recommended immediate actions</w:t>
      </w:r>
    </w:p>
    <w:p>
      <w:pPr>
        <w:pStyle w:val="ListParagraph"/>
        <w:numPr>
          <w:ilvl w:val="0"/>
          <w:numId w:val="2"/>
        </w:numPr>
        <w:spacing w:after="100" w:line="290"/>
      </w:pPr>
      <w:r>
        <w:rPr>
          <w:sz w:val="22"/>
          <w:szCs w:val="22"/>
        </w:rPr>
        <w:t xml:space="preserve">Commission a wellbeing review at MHT — absence rate 10.33% driven by sickness and compassionate leave signals clinical burnout.</w:t>
      </w:r>
    </w:p>
    <w:p>
      <w:pPr>
        <w:pStyle w:val="ListParagraph"/>
        <w:numPr>
          <w:ilvl w:val="0"/>
          <w:numId w:val="2"/>
        </w:numPr>
        <w:spacing w:after="100" w:line="290"/>
      </w:pPr>
      <w:r>
        <w:rPr>
          <w:sz w:val="22"/>
          <w:szCs w:val="22"/>
        </w:rPr>
        <w:t xml:space="preserve">Investigate WGH unauthorised absence (2,849 events) — a governance and HR compliance issue requiring disciplinary review.</w:t>
      </w:r>
    </w:p>
    <w:p>
      <w:pPr>
        <w:pStyle w:val="ListParagraph"/>
        <w:numPr>
          <w:ilvl w:val="0"/>
          <w:numId w:val="2"/>
        </w:numPr>
        <w:spacing w:after="100" w:line="290"/>
      </w:pPr>
      <w:r>
        <w:rPr>
          <w:sz w:val="22"/>
          <w:szCs w:val="22"/>
        </w:rPr>
        <w:t xml:space="preserve">Begin winter workforce planning in September — SQL analysis proves January pressure is already building from October.</w:t>
      </w:r>
    </w:p>
    <w:p>
      <w:pPr>
        <w:pStyle w:val="ListParagraph"/>
        <w:numPr>
          <w:ilvl w:val="0"/>
          <w:numId w:val="2"/>
        </w:numPr>
        <w:spacing w:after="100" w:line="290"/>
      </w:pPr>
      <w:r>
        <w:rPr>
          <w:sz w:val="22"/>
          <w:szCs w:val="22"/>
        </w:rPr>
        <w:t xml:space="preserve">Review NHS absence rate targets — current targets appear disconnected from operational reality across all five trust types.</w:t>
      </w:r>
    </w:p>
    <w:p>
      <w:pPr>
        <w:pStyle w:val="ListParagraph"/>
        <w:numPr>
          <w:ilvl w:val="0"/>
          <w:numId w:val="2"/>
        </w:numPr>
        <w:spacing w:after="100" w:line="290"/>
      </w:pPr>
      <w:r>
        <w:rPr>
          <w:sz w:val="22"/>
          <w:szCs w:val="22"/>
        </w:rPr>
        <w:t xml:space="preserve">Establish monthly SQL absence dashboards — the queries in this report are reusable and should form the basis of a live ICB reporting suite.</w:t>
      </w:r>
    </w:p>
    <w:p>
      <w:r>
        <w:br w:type="page"/>
      </w:r>
    </w:p>
    <w:p>
      <w:pPr>
        <w:pStyle w:val="Heading1"/>
        <w:spacing w:after="220" w:before="400"/>
      </w:pPr>
      <w:r>
        <w:rPr>
          <w:b/>
          <w:bCs/>
          <w:color w:val="0072CE"/>
          <w:sz w:val="32"/>
          <w:szCs w:val="32"/>
        </w:rPr>
        <w:t xml:space="preserve">2  </w:t>
      </w:r>
      <w:r>
        <w:rPr>
          <w:b/>
          <w:bCs/>
          <w:color w:val="003087"/>
          <w:sz w:val="30"/>
          <w:szCs w:val="30"/>
        </w:rPr>
        <w:t xml:space="preserve">Dataset &amp; Methodology</w:t>
      </w:r>
    </w:p>
    <w:p>
      <w:pPr>
        <w:pStyle w:val="Heading2"/>
        <w:spacing w:after="160" w:before="280"/>
      </w:pPr>
      <w:r>
        <w:rPr>
          <w:b/>
          <w:bCs/>
          <w:color w:val="005EB8"/>
          <w:sz w:val="24"/>
          <w:szCs w:val="24"/>
        </w:rPr>
        <w:t xml:space="preserve">2.1 Dataset overview</w:t>
      </w:r>
    </w:p>
    <w:p>
      <w:pPr>
        <w:spacing w:after="140" w:line="300"/>
      </w:pPr>
      <w:r>
        <w:rPr>
          <w:sz w:val="22"/>
          <w:szCs w:val="22"/>
        </w:rPr>
        <w:t xml:space="preserve">The analysis uses a synthetic NHS staff absence dataset generated to reflect realistic NHS operational characteristics across five trust types. The dataset was designed with causal relationships between trust type, seasonality, absence reason, and staff group — mirroring patterns documented in NHS England workforce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80"/>
        <w:gridCol w:w="1680"/>
      </w:tblGrid>
      <w:tr>
        <w:trPr>
          <w:tblHeader/>
        </w:trPr>
        <w:tc>
          <w:tcPr>
            <w:tcW w:type="dxa" w:w="20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Trust</w:t>
            </w:r>
          </w:p>
        </w:tc>
        <w:tc>
          <w:tcPr>
            <w:tcW w:type="dxa" w:w="22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Type</w:t>
            </w:r>
          </w:p>
        </w:tc>
        <w:tc>
          <w:tcPr>
            <w:tcW w:type="dxa" w:w="18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Region</w:t>
            </w:r>
          </w:p>
        </w:tc>
        <w:tc>
          <w:tcPr>
            <w:tcW w:type="dxa" w:w="168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Staff</w:t>
            </w:r>
          </w:p>
        </w:tc>
        <w:tc>
          <w:tcPr>
            <w:tcW w:type="dxa" w:w="168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Absences</w:t>
            </w:r>
          </w:p>
        </w:tc>
      </w:tr>
      <w:tr>
        <w:tc>
          <w:tcPr>
            <w:tcW w:type="dxa" w:w="20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WGH</w:t>
            </w:r>
          </w:p>
        </w:tc>
        <w:tc>
          <w:tcPr>
            <w:tcW w:type="dxa" w:w="22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Acute</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North</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800</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27,454</w:t>
            </w:r>
          </w:p>
        </w:tc>
      </w:tr>
      <w:tr>
        <w:tc>
          <w:tcPr>
            <w:tcW w:type="dxa" w:w="2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NRI</w:t>
            </w:r>
          </w:p>
        </w:tc>
        <w:tc>
          <w:tcPr>
            <w:tcW w:type="dxa" w:w="22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Acute</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North</w:t>
            </w:r>
          </w:p>
        </w:tc>
        <w:tc>
          <w:tcPr>
            <w:tcW w:type="dxa" w:w="16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750</w:t>
            </w:r>
          </w:p>
        </w:tc>
        <w:tc>
          <w:tcPr>
            <w:tcW w:type="dxa" w:w="16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22,828</w:t>
            </w:r>
          </w:p>
        </w:tc>
      </w:tr>
      <w:tr>
        <w:tc>
          <w:tcPr>
            <w:tcW w:type="dxa" w:w="20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SCH</w:t>
            </w:r>
          </w:p>
        </w:tc>
        <w:tc>
          <w:tcPr>
            <w:tcW w:type="dxa" w:w="22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Community</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South</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250</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6,446</w:t>
            </w:r>
          </w:p>
        </w:tc>
      </w:tr>
      <w:tr>
        <w:tc>
          <w:tcPr>
            <w:tcW w:type="dxa" w:w="2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MHT</w:t>
            </w:r>
          </w:p>
        </w:tc>
        <w:tc>
          <w:tcPr>
            <w:tcW w:type="dxa" w:w="22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Mental Health</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Central</w:t>
            </w:r>
          </w:p>
        </w:tc>
        <w:tc>
          <w:tcPr>
            <w:tcW w:type="dxa" w:w="16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400</w:t>
            </w:r>
          </w:p>
        </w:tc>
        <w:tc>
          <w:tcPr>
            <w:tcW w:type="dxa" w:w="16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15,076</w:t>
            </w:r>
          </w:p>
        </w:tc>
      </w:tr>
      <w:tr>
        <w:tc>
          <w:tcPr>
            <w:tcW w:type="dxa" w:w="20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PCH</w:t>
            </w:r>
          </w:p>
        </w:tc>
        <w:tc>
          <w:tcPr>
            <w:tcW w:type="dxa" w:w="22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Primary Care</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South</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180</w:t>
            </w:r>
          </w:p>
        </w:tc>
        <w:tc>
          <w:tcPr>
            <w:tcW w:type="dxa" w:w="16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4,020</w:t>
            </w:r>
          </w:p>
        </w:tc>
      </w:tr>
    </w:tbl>
    <w:p>
      <w:pPr>
        <w:spacing w:after="200"/>
      </w:pPr>
    </w:p>
    <w:p>
      <w:pPr>
        <w:pStyle w:val="Heading2"/>
        <w:spacing w:after="160" w:before="280"/>
      </w:pPr>
      <w:r>
        <w:rPr>
          <w:b/>
          <w:bCs/>
          <w:color w:val="005EB8"/>
          <w:sz w:val="24"/>
          <w:szCs w:val="24"/>
        </w:rPr>
        <w:t xml:space="preserve">2.2 Absence reasons</w:t>
      </w:r>
    </w:p>
    <w:p>
      <w:pPr>
        <w:spacing w:after="140" w:line="300"/>
      </w:pPr>
      <w:r>
        <w:rPr>
          <w:sz w:val="22"/>
          <w:szCs w:val="22"/>
        </w:rPr>
        <w:t xml:space="preserve">Five absence categories were tracked: Sickness (49.5%), Compassionate (15.4%), Training (15.0%), Maternity (10.9%), and Unauthorised (9.2%). Sickness dominates at nearly half of all absences — above NHS national averages.</w:t>
      </w:r>
    </w:p>
    <w:p>
      <w:pPr>
        <w:pStyle w:val="Heading2"/>
        <w:spacing w:after="160" w:before="280"/>
      </w:pPr>
      <w:r>
        <w:rPr>
          <w:b/>
          <w:bCs/>
          <w:color w:val="005EB8"/>
          <w:sz w:val="24"/>
          <w:szCs w:val="24"/>
        </w:rPr>
        <w:t xml:space="preserve">2.3 SQL environment</w:t>
      </w:r>
    </w:p>
    <w:p>
      <w:pPr>
        <w:spacing w:after="140" w:line="300"/>
      </w:pPr>
      <w:r>
        <w:rPr>
          <w:sz w:val="22"/>
          <w:szCs w:val="22"/>
        </w:rPr>
        <w:t xml:space="preserve">All queries were written and executed in MySQL Workbench connected to MySQL Server 9.4 (local instance). Data was imported using LOAD DATA INFILE from CSV format. A supplementary trust_targets table was created to enable JOIN-based performance benchmarking.</w:t>
      </w:r>
    </w:p>
    <w:p>
      <w:r>
        <w:br w:type="page"/>
      </w:r>
    </w:p>
    <w:p>
      <w:pPr>
        <w:pStyle w:val="Heading1"/>
        <w:spacing w:after="220" w:before="400"/>
      </w:pPr>
      <w:r>
        <w:rPr>
          <w:b/>
          <w:bCs/>
          <w:color w:val="0072CE"/>
          <w:sz w:val="32"/>
          <w:szCs w:val="32"/>
        </w:rPr>
        <w:t xml:space="preserve">3  </w:t>
      </w:r>
      <w:r>
        <w:rPr>
          <w:b/>
          <w:bCs/>
          <w:color w:val="003087"/>
          <w:sz w:val="30"/>
          <w:szCs w:val="30"/>
        </w:rPr>
        <w:t xml:space="preserve">Key Findings</w:t>
      </w:r>
    </w:p>
    <w:p>
      <w:pPr>
        <w:pStyle w:val="Heading2"/>
        <w:spacing w:after="160" w:before="280"/>
      </w:pPr>
      <w:r>
        <w:rPr>
          <w:b/>
          <w:bCs/>
          <w:color w:val="005EB8"/>
          <w:sz w:val="24"/>
          <w:szCs w:val="24"/>
        </w:rPr>
        <w:t xml:space="preserve">3.1 System-wide absence rate crisis</w:t>
      </w:r>
    </w:p>
    <w:p>
      <w:pPr>
        <w:spacing w:after="140" w:line="300"/>
      </w:pPr>
      <w:r>
        <w:rPr>
          <w:sz w:val="22"/>
          <w:szCs w:val="22"/>
        </w:rPr>
        <w:t xml:space="preserve">Every trust in the ICB is operating at more than double its absence rate target. No trust is close to its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Trust</w:t>
            </w:r>
          </w:p>
        </w:tc>
        <w:tc>
          <w:tcPr>
            <w:tcW w:type="dxa" w:w="18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Target %</w:t>
            </w:r>
          </w:p>
        </w:tc>
        <w:tc>
          <w:tcPr>
            <w:tcW w:type="dxa" w:w="18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Actual %</w:t>
            </w:r>
          </w:p>
        </w:tc>
        <w:tc>
          <w:tcPr>
            <w:tcW w:type="dxa" w:w="216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Breach</w:t>
            </w:r>
          </w:p>
        </w:tc>
        <w:tc>
          <w:tcPr>
            <w:tcW w:type="dxa" w:w="18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Status</w:t>
            </w:r>
          </w:p>
        </w:tc>
      </w:tr>
      <w:tr>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MHT</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5.00%</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sz w:val="20"/>
                <w:szCs w:val="20"/>
              </w:rPr>
              <w:t xml:space="preserve">10.33%</w:t>
            </w:r>
          </w:p>
        </w:tc>
        <w:tc>
          <w:tcPr>
            <w:tcW w:type="dxa" w:w="216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color w:val="DA291C"/>
                <w:sz w:val="20"/>
                <w:szCs w:val="20"/>
              </w:rPr>
              <w:t xml:space="preserve">+5.33% (+107%)</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DA291C"/>
                <w:sz w:val="20"/>
                <w:szCs w:val="20"/>
              </w:rPr>
              <w:t xml:space="preserve">CRITICAL</w:t>
            </w:r>
          </w:p>
        </w:tc>
      </w:tr>
      <w:tr>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WGH</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4.50%</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sz w:val="20"/>
                <w:szCs w:val="20"/>
              </w:rPr>
              <w:t xml:space="preserve">9.40%</w:t>
            </w:r>
          </w:p>
        </w:tc>
        <w:tc>
          <w:tcPr>
            <w:tcW w:type="dxa" w:w="216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color w:val="DA291C"/>
                <w:sz w:val="20"/>
                <w:szCs w:val="20"/>
              </w:rPr>
              <w:t xml:space="preserve">+4.90% (+109%)</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color w:val="DA291C"/>
                <w:sz w:val="20"/>
                <w:szCs w:val="20"/>
              </w:rPr>
              <w:t xml:space="preserve">CRITICAL</w:t>
            </w:r>
          </w:p>
        </w:tc>
      </w:tr>
      <w:tr>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NRI</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4.50%</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sz w:val="20"/>
                <w:szCs w:val="20"/>
              </w:rPr>
              <w:t xml:space="preserve">8.34%</w:t>
            </w:r>
          </w:p>
        </w:tc>
        <w:tc>
          <w:tcPr>
            <w:tcW w:type="dxa" w:w="216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color w:val="ED8B00"/>
                <w:sz w:val="20"/>
                <w:szCs w:val="20"/>
              </w:rPr>
              <w:t xml:space="preserve">+3.84% (+85%)</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ED8B00"/>
                <w:sz w:val="20"/>
                <w:szCs w:val="20"/>
              </w:rPr>
              <w:t xml:space="preserve">HIGH</w:t>
            </w:r>
          </w:p>
        </w:tc>
      </w:tr>
      <w:tr>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SCH</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4.00%</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sz w:val="20"/>
                <w:szCs w:val="20"/>
              </w:rPr>
              <w:t xml:space="preserve">7.06%</w:t>
            </w:r>
          </w:p>
        </w:tc>
        <w:tc>
          <w:tcPr>
            <w:tcW w:type="dxa" w:w="216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color w:val="ED8B00"/>
                <w:sz w:val="20"/>
                <w:szCs w:val="20"/>
              </w:rPr>
              <w:t xml:space="preserve">+3.06% (+77%)</w:t>
            </w:r>
          </w:p>
        </w:tc>
        <w:tc>
          <w:tcPr>
            <w:tcW w:type="dxa" w:w="18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color w:val="ED8B00"/>
                <w:sz w:val="20"/>
                <w:szCs w:val="20"/>
              </w:rPr>
              <w:t xml:space="preserve">HIGH</w:t>
            </w:r>
          </w:p>
        </w:tc>
      </w:tr>
      <w:tr>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PCH</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3.50%</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sz w:val="20"/>
                <w:szCs w:val="20"/>
              </w:rPr>
              <w:t xml:space="preserve">6.12%</w:t>
            </w:r>
          </w:p>
        </w:tc>
        <w:tc>
          <w:tcPr>
            <w:tcW w:type="dxa" w:w="216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color w:val="ED8B00"/>
                <w:sz w:val="20"/>
                <w:szCs w:val="20"/>
              </w:rPr>
              <w:t xml:space="preserve">+2.62% (+75%)</w:t>
            </w:r>
          </w:p>
        </w:tc>
        <w:tc>
          <w:tcPr>
            <w:tcW w:type="dxa" w:w="18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ED8B00"/>
                <w:sz w:val="20"/>
                <w:szCs w:val="20"/>
              </w:rPr>
              <w:t xml:space="preserve">HIGH</w:t>
            </w:r>
          </w:p>
        </w:tc>
      </w:tr>
    </w:tbl>
    <w:p>
      <w:pPr>
        <w:spacing w:after="200"/>
      </w:pPr>
    </w:p>
    <w:p>
      <w:pPr>
        <w:pStyle w:val="Heading2"/>
        <w:spacing w:after="160" w:before="280"/>
      </w:pPr>
      <w:r>
        <w:rPr>
          <w:b/>
          <w:bCs/>
          <w:color w:val="005EB8"/>
          <w:sz w:val="24"/>
          <w:szCs w:val="24"/>
        </w:rPr>
        <w:t xml:space="preserve">3.2 Winter pressure — the compounding effect</w:t>
      </w:r>
    </w:p>
    <w:p>
      <w:pPr>
        <w:spacing w:after="140" w:line="300"/>
      </w:pPr>
      <w:r>
        <w:rPr>
          <w:sz w:val="22"/>
          <w:szCs w:val="22"/>
        </w:rPr>
        <w:t xml:space="preserve">Winter months (December–March) generate 49% more absences than the summer average. The seasonal pattern is consistent, predictable, and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Period</w:t>
            </w:r>
          </w:p>
        </w:tc>
        <w:tc>
          <w:tcPr>
            <w:tcW w:type="dxa" w:w="20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Avg Monthly</w:t>
            </w:r>
          </w:p>
        </w:tc>
        <w:tc>
          <w:tcPr>
            <w:tcW w:type="dxa" w:w="248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Running Total (End)</w:t>
            </w:r>
          </w:p>
        </w:tc>
        <w:tc>
          <w:tcPr>
            <w:tcW w:type="dxa" w:w="248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 of Annual</w:t>
            </w:r>
          </w:p>
        </w:tc>
      </w:tr>
      <w:tr>
        <w:tc>
          <w:tcPr>
            <w:tcW w:type="dxa" w:w="24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Q1 (Jan-Mar)</w:t>
            </w:r>
          </w:p>
        </w:tc>
        <w:tc>
          <w:tcPr>
            <w:tcW w:type="dxa" w:w="20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DA291C"/>
                <w:sz w:val="20"/>
                <w:szCs w:val="20"/>
              </w:rPr>
              <w:t xml:space="preserve">8,049</w:t>
            </w:r>
          </w:p>
        </w:tc>
        <w:tc>
          <w:tcPr>
            <w:tcW w:type="dxa" w:w="24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24,128</w:t>
            </w:r>
          </w:p>
        </w:tc>
        <w:tc>
          <w:tcPr>
            <w:tcW w:type="dxa" w:w="24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DA291C"/>
                <w:sz w:val="20"/>
                <w:szCs w:val="20"/>
              </w:rPr>
              <w:t xml:space="preserve">31.8%</w:t>
            </w:r>
          </w:p>
        </w:tc>
      </w:tr>
      <w:tr>
        <w:tc>
          <w:tcPr>
            <w:tcW w:type="dxa" w:w="24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Q2 (Apr-Jun)</w:t>
            </w:r>
          </w:p>
        </w:tc>
        <w:tc>
          <w:tcPr>
            <w:tcW w:type="dxa" w:w="2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5,392</w:t>
            </w:r>
          </w:p>
        </w:tc>
        <w:tc>
          <w:tcPr>
            <w:tcW w:type="dxa" w:w="24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40,345</w:t>
            </w:r>
          </w:p>
        </w:tc>
        <w:tc>
          <w:tcPr>
            <w:tcW w:type="dxa" w:w="24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21.3%</w:t>
            </w:r>
          </w:p>
        </w:tc>
      </w:tr>
      <w:tr>
        <w:tc>
          <w:tcPr>
            <w:tcW w:type="dxa" w:w="24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Q3 (Jul-Sep)</w:t>
            </w:r>
          </w:p>
        </w:tc>
        <w:tc>
          <w:tcPr>
            <w:tcW w:type="dxa" w:w="200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5,423</w:t>
            </w:r>
          </w:p>
        </w:tc>
        <w:tc>
          <w:tcPr>
            <w:tcW w:type="dxa" w:w="24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56,614</w:t>
            </w:r>
          </w:p>
        </w:tc>
        <w:tc>
          <w:tcPr>
            <w:tcW w:type="dxa" w:w="248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21.5%</w:t>
            </w:r>
          </w:p>
        </w:tc>
      </w:tr>
      <w:tr>
        <w:tc>
          <w:tcPr>
            <w:tcW w:type="dxa" w:w="24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Q4 (Oct-Dec)</w:t>
            </w:r>
          </w:p>
        </w:tc>
        <w:tc>
          <w:tcPr>
            <w:tcW w:type="dxa" w:w="20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6,403</w:t>
            </w:r>
          </w:p>
        </w:tc>
        <w:tc>
          <w:tcPr>
            <w:tcW w:type="dxa" w:w="24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sz w:val="20"/>
                <w:szCs w:val="20"/>
              </w:rPr>
              <w:t xml:space="preserve">75,824</w:t>
            </w:r>
          </w:p>
        </w:tc>
        <w:tc>
          <w:tcPr>
            <w:tcW w:type="dxa" w:w="248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color w:val="ED8B00"/>
                <w:sz w:val="20"/>
                <w:szCs w:val="20"/>
              </w:rPr>
              <w:t xml:space="preserve">25.4%</w:t>
            </w:r>
          </w:p>
        </w:tc>
      </w:tr>
    </w:tbl>
    <w:p>
      <w:pPr>
        <w:spacing w:after="200"/>
      </w:pPr>
    </w:p>
    <w:p>
      <w:pPr>
        <w:pStyle w:val="Heading2"/>
        <w:spacing w:after="160" w:before="280"/>
      </w:pPr>
      <w:r>
        <w:rPr>
          <w:b/>
          <w:bCs/>
          <w:color w:val="005EB8"/>
          <w:sz w:val="24"/>
          <w:szCs w:val="24"/>
        </w:rPr>
        <w:t xml:space="preserve">3.3 December cliff edge — +56.6% month-on-month</w:t>
      </w:r>
    </w:p>
    <w:p>
      <w:pPr>
        <w:spacing w:after="140" w:line="300"/>
      </w:pPr>
      <w:r>
        <w:rPr>
          <w:sz w:val="22"/>
          <w:szCs w:val="22"/>
        </w:rPr>
        <w:t xml:space="preserve">LAG analysis revealed December as the single most dangerous operational transition of the year — a +56.6% spike from November. This is not a gradual build — it is an operational cliff edge that catches ICBs underprepared every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8B00" w:sz="20"/>
              <w:left w:val="single" w:color="ED8B00" w:sz="20"/>
              <w:bottom w:val="single" w:color="ED8B00" w:sz="4"/>
              <w:right w:val="single" w:color="ED8B00" w:sz="4"/>
            </w:tcBorders>
            <w:shd w:fill="FAFBFC" w:val="clear"/>
            <w:tcMar>
              <w:top w:type="dxa" w:w="180"/>
              <w:left w:type="dxa" w:w="240"/>
              <w:bottom w:type="dxa" w:w="180"/>
              <w:right w:type="dxa" w:w="240"/>
            </w:tcMar>
          </w:tcPr>
          <w:p>
            <w:pPr>
              <w:spacing w:after="100"/>
            </w:pPr>
            <w:r>
              <w:rPr>
                <w:b/>
                <w:bCs/>
                <w:color w:val="ED8B00"/>
                <w:sz w:val="22"/>
                <w:szCs w:val="22"/>
              </w:rPr>
              <w:t xml:space="preserve">MONTH-ON-MONTH CHANGE — KEY TRANSITIONS</w:t>
            </w:r>
          </w:p>
          <w:p>
            <w:pPr>
              <w:spacing w:after="80" w:line="280"/>
            </w:pPr>
            <w:r>
              <w:rPr>
                <w:sz w:val="21"/>
                <w:szCs w:val="21"/>
              </w:rPr>
              <w:t xml:space="preserve">February → March:    +13.6%  (end-of-winter surge — staff who pushed through January finally succumb)</w:t>
            </w:r>
          </w:p>
          <w:p>
            <w:pPr>
              <w:spacing w:after="80" w:line="280"/>
            </w:pPr>
            <w:r>
              <w:rPr>
                <w:sz w:val="21"/>
                <w:szCs w:val="21"/>
              </w:rPr>
              <w:t xml:space="preserve">March → April:       -37.4%  (sharpest improvement — winter pressure releases almost overnight)</w:t>
            </w:r>
          </w:p>
          <w:p>
            <w:pPr>
              <w:spacing w:after="80" w:line="280"/>
            </w:pPr>
            <w:r>
              <w:rPr>
                <w:sz w:val="21"/>
                <w:szCs w:val="21"/>
              </w:rPr>
              <w:t xml:space="preserve">November → December: +56.6%  (steepest spike — the operational cliff edge)</w:t>
            </w:r>
          </w:p>
          <w:p>
            <w:pPr>
              <w:spacing w:after="80" w:line="280"/>
            </w:pPr>
            <w:r>
              <w:rPr>
                <w:sz w:val="21"/>
                <w:szCs w:val="21"/>
              </w:rPr>
              <w:t xml:space="preserve">Summer (May-Nov):    ±3-7%   (stable and predictable — plan resourcing from this baseline)</w:t>
            </w:r>
          </w:p>
        </w:tc>
      </w:tr>
    </w:tbl>
    <w:p>
      <w:pPr>
        <w:spacing w:after="200"/>
      </w:pPr>
    </w:p>
    <w:p>
      <w:pPr>
        <w:pStyle w:val="Heading2"/>
        <w:spacing w:after="160" w:before="280"/>
      </w:pPr>
      <w:r>
        <w:rPr>
          <w:b/>
          <w:bCs/>
          <w:color w:val="005EB8"/>
          <w:sz w:val="24"/>
          <w:szCs w:val="24"/>
        </w:rPr>
        <w:t xml:space="preserve">3.4 Two trusts, two different problems</w:t>
      </w:r>
    </w:p>
    <w:p>
      <w:pPr>
        <w:spacing w:after="140" w:line="300"/>
      </w:pPr>
      <w:r>
        <w:rPr>
          <w:sz w:val="22"/>
          <w:szCs w:val="22"/>
        </w:rPr>
        <w:t xml:space="preserve">The dual ranking analysis revealed that MHT and WGH present similar absence volumes but require fundamentally different interventions — a finding that would be invisible without SQL-based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r>
              <w:rPr>
                <w:b/>
                <w:bCs/>
                <w:color w:val="FFFFFF"/>
                <w:sz w:val="20"/>
                <w:szCs w:val="20"/>
              </w:rPr>
              <w:t xml:space="preserve">Trust</w:t>
            </w:r>
          </w:p>
        </w:tc>
        <w:tc>
          <w:tcPr>
            <w:tcW w:type="dxa" w:w="232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Absence Rank</w:t>
            </w:r>
          </w:p>
        </w:tc>
        <w:tc>
          <w:tcPr>
            <w:tcW w:type="dxa" w:w="232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Unauthorised Rank</w:t>
            </w:r>
          </w:p>
        </w:tc>
        <w:tc>
          <w:tcPr>
            <w:tcW w:type="dxa" w:w="2320"/>
            <w:tcBorders>
              <w:top w:val="single" w:color="DCE3E5" w:sz="1"/>
              <w:left w:val="single" w:color="DCE3E5" w:sz="1"/>
              <w:bottom w:val="single" w:color="DCE3E5" w:sz="1"/>
              <w:right w:val="single" w:color="DCE3E5" w:sz="1"/>
            </w:tcBorders>
            <w:shd w:fill="005EB8" w:val="clear"/>
            <w:tcMar>
              <w:top w:type="dxa" w:w="100"/>
              <w:left w:type="dxa" w:w="140"/>
              <w:bottom w:type="dxa" w:w="100"/>
              <w:right w:type="dxa" w:w="140"/>
            </w:tcMar>
          </w:tcPr>
          <w:p>
            <w:pPr>
              <w:jc w:val="center"/>
            </w:pPr>
            <w:r>
              <w:rPr>
                <w:b/>
                <w:bCs/>
                <w:color w:val="FFFFFF"/>
                <w:sz w:val="20"/>
                <w:szCs w:val="20"/>
              </w:rPr>
              <w:t xml:space="preserve">Intervention needed</w:t>
            </w:r>
          </w:p>
        </w:tc>
      </w:tr>
      <w:tr>
        <w:tc>
          <w:tcPr>
            <w:tcW w:type="dxa" w:w="24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MHT</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b/>
                <w:bCs/>
                <w:color w:val="DA291C"/>
                <w:sz w:val="20"/>
                <w:szCs w:val="20"/>
              </w:rPr>
              <w:t xml:space="preserve">1st</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3rd</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color w:val="009639"/>
                <w:sz w:val="20"/>
                <w:szCs w:val="20"/>
              </w:rPr>
              <w:t xml:space="preserve">Wellbeing support</w:t>
            </w:r>
          </w:p>
        </w:tc>
      </w:tr>
      <w:tr>
        <w:tc>
          <w:tcPr>
            <w:tcW w:type="dxa" w:w="240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r>
              <w:rPr>
                <w:sz w:val="20"/>
                <w:szCs w:val="20"/>
              </w:rPr>
              <w:t xml:space="preserve">WGH</w:t>
            </w:r>
          </w:p>
        </w:tc>
        <w:tc>
          <w:tcPr>
            <w:tcW w:type="dxa" w:w="232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color w:val="DA291C"/>
                <w:sz w:val="20"/>
                <w:szCs w:val="20"/>
              </w:rPr>
              <w:t xml:space="preserve">2nd</w:t>
            </w:r>
          </w:p>
        </w:tc>
        <w:tc>
          <w:tcPr>
            <w:tcW w:type="dxa" w:w="232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b/>
                <w:bCs/>
                <w:color w:val="DA291C"/>
                <w:sz w:val="20"/>
                <w:szCs w:val="20"/>
              </w:rPr>
              <w:t xml:space="preserve">1st</w:t>
            </w:r>
          </w:p>
        </w:tc>
        <w:tc>
          <w:tcPr>
            <w:tcW w:type="dxa" w:w="2320"/>
            <w:tcBorders>
              <w:top w:val="single" w:color="DCE3E5" w:sz="1"/>
              <w:left w:val="single" w:color="DCE3E5" w:sz="1"/>
              <w:bottom w:val="single" w:color="DCE3E5" w:sz="1"/>
              <w:right w:val="single" w:color="DCE3E5" w:sz="1"/>
            </w:tcBorders>
            <w:shd w:fill="F0F4F5" w:val="clear"/>
            <w:tcMar>
              <w:top w:type="dxa" w:w="100"/>
              <w:left w:type="dxa" w:w="140"/>
              <w:bottom w:type="dxa" w:w="100"/>
              <w:right w:type="dxa" w:w="140"/>
            </w:tcMar>
          </w:tcPr>
          <w:p>
            <w:pPr>
              <w:jc w:val="center"/>
            </w:pPr>
            <w:r>
              <w:rPr>
                <w:color w:val="DA291C"/>
                <w:sz w:val="20"/>
                <w:szCs w:val="20"/>
              </w:rPr>
              <w:t xml:space="preserve">HR governance</w:t>
            </w:r>
          </w:p>
        </w:tc>
      </w:tr>
      <w:tr>
        <w:tc>
          <w:tcPr>
            <w:tcW w:type="dxa" w:w="2400"/>
            <w:tcBorders>
              <w:top w:val="single" w:color="DCE3E5" w:sz="1"/>
              <w:left w:val="single" w:color="DCE3E5" w:sz="1"/>
              <w:bottom w:val="single" w:color="DCE3E5" w:sz="1"/>
              <w:right w:val="single" w:color="DCE3E5" w:sz="1"/>
            </w:tcBorders>
            <w:tcMar>
              <w:top w:type="dxa" w:w="100"/>
              <w:left w:type="dxa" w:w="140"/>
              <w:bottom w:type="dxa" w:w="100"/>
              <w:right w:type="dxa" w:w="140"/>
            </w:tcMar>
          </w:tcPr>
          <w:p>
            <w:r>
              <w:rPr>
                <w:sz w:val="20"/>
                <w:szCs w:val="20"/>
              </w:rPr>
              <w:t xml:space="preserve">NRI</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3rd</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sz w:val="20"/>
                <w:szCs w:val="20"/>
              </w:rPr>
              <w:t xml:space="preserve">2nd</w:t>
            </w:r>
          </w:p>
        </w:tc>
        <w:tc>
          <w:tcPr>
            <w:tcW w:type="dxa" w:w="2320"/>
            <w:tcBorders>
              <w:top w:val="single" w:color="DCE3E5" w:sz="1"/>
              <w:left w:val="single" w:color="DCE3E5" w:sz="1"/>
              <w:bottom w:val="single" w:color="DCE3E5" w:sz="1"/>
              <w:right w:val="single" w:color="DCE3E5" w:sz="1"/>
            </w:tcBorders>
            <w:tcMar>
              <w:top w:type="dxa" w:w="100"/>
              <w:left w:type="dxa" w:w="140"/>
              <w:bottom w:type="dxa" w:w="100"/>
              <w:right w:type="dxa" w:w="140"/>
            </w:tcMar>
          </w:tcPr>
          <w:p>
            <w:pPr>
              <w:jc w:val="center"/>
            </w:pPr>
            <w:r>
              <w:rPr>
                <w:color w:val="ED8B00"/>
                <w:sz w:val="20"/>
                <w:szCs w:val="20"/>
              </w:rPr>
              <w:t xml:space="preserve">Structured HR plan</w:t>
            </w:r>
          </w:p>
        </w:tc>
      </w:tr>
    </w:tbl>
    <w:p>
      <w:pPr>
        <w:spacing w:after="200"/>
      </w:pPr>
    </w:p>
    <w:p>
      <w:pPr>
        <w:pStyle w:val="Heading2"/>
        <w:spacing w:after="160" w:before="280"/>
      </w:pPr>
      <w:r>
        <w:rPr>
          <w:b/>
          <w:bCs/>
          <w:color w:val="005EB8"/>
          <w:sz w:val="24"/>
          <w:szCs w:val="24"/>
        </w:rPr>
        <w:t xml:space="preserve">3.5 206,014 working days lost — the hidden cost</w:t>
      </w:r>
    </w:p>
    <w:p>
      <w:pPr>
        <w:spacing w:after="140" w:line="300"/>
      </w:pPr>
      <w:r>
        <w:rPr>
          <w:sz w:val="22"/>
          <w:szCs w:val="22"/>
        </w:rPr>
        <w:t xml:space="preserve">The single most impactful headline number from the analysis. 206,014 working days lost across five trusts in one year — equivalent to removing 800 full-time staff from the NHS workforce for an entire year. This figure is the basis for any business case supporting investment in workforce wellbeing, HR systems, or absence management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639" w:sz="20"/>
              <w:left w:val="single" w:color="009639" w:sz="20"/>
              <w:bottom w:val="single" w:color="009639" w:sz="4"/>
              <w:right w:val="single" w:color="009639" w:sz="4"/>
            </w:tcBorders>
            <w:shd w:fill="FAFBFC" w:val="clear"/>
            <w:tcMar>
              <w:top w:type="dxa" w:w="180"/>
              <w:left w:type="dxa" w:w="240"/>
              <w:bottom w:type="dxa" w:w="180"/>
              <w:right w:type="dxa" w:w="240"/>
            </w:tcMar>
          </w:tcPr>
          <w:p>
            <w:pPr>
              <w:spacing w:after="100"/>
            </w:pPr>
            <w:r>
              <w:rPr>
                <w:b/>
                <w:bCs/>
                <w:color w:val="009639"/>
                <w:sz w:val="22"/>
                <w:szCs w:val="22"/>
              </w:rPr>
              <w:t xml:space="preserve">DAYS LOST BY ABSENCE REASON</w:t>
            </w:r>
          </w:p>
          <w:p>
            <w:pPr>
              <w:spacing w:after="80" w:line="280"/>
            </w:pPr>
            <w:r>
              <w:rPr>
                <w:sz w:val="21"/>
                <w:szCs w:val="21"/>
              </w:rPr>
              <w:t xml:space="preserve">Sickness:       117,661 days (57.1% of total days lost)</w:t>
            </w:r>
          </w:p>
          <w:p>
            <w:pPr>
              <w:spacing w:after="80" w:line="280"/>
            </w:pPr>
            <w:r>
              <w:rPr>
                <w:sz w:val="21"/>
                <w:szCs w:val="21"/>
              </w:rPr>
              <w:t xml:space="preserve">Training:        28,942 days (14.0%) — investment in development</w:t>
            </w:r>
          </w:p>
          <w:p>
            <w:pPr>
              <w:spacing w:after="80" w:line="280"/>
            </w:pPr>
            <w:r>
              <w:rPr>
                <w:sz w:val="21"/>
                <w:szCs w:val="21"/>
              </w:rPr>
              <w:t xml:space="preserve">Compassionate:   31,597 days (15.3%) — human cost of healthcare</w:t>
            </w:r>
          </w:p>
          <w:p>
            <w:pPr>
              <w:spacing w:after="80" w:line="280"/>
            </w:pPr>
            <w:r>
              <w:rPr>
                <w:sz w:val="21"/>
                <w:szCs w:val="21"/>
              </w:rPr>
              <w:t xml:space="preserve">Maternity:       22,505 days (10.9%)</w:t>
            </w:r>
          </w:p>
          <w:p>
            <w:pPr>
              <w:spacing w:after="80" w:line="280"/>
            </w:pPr>
            <w:r>
              <w:rPr>
                <w:sz w:val="21"/>
                <w:szCs w:val="21"/>
              </w:rPr>
              <w:t xml:space="preserve">Unauthorised:     5,309 days  (2.6%) — governance risk</w:t>
            </w:r>
          </w:p>
        </w:tc>
      </w:tr>
    </w:tbl>
    <w:p>
      <w:r>
        <w:br w:type="page"/>
      </w:r>
    </w:p>
    <w:p>
      <w:pPr>
        <w:pStyle w:val="Heading1"/>
        <w:spacing w:after="220" w:before="400"/>
      </w:pPr>
      <w:r>
        <w:rPr>
          <w:b/>
          <w:bCs/>
          <w:color w:val="0072CE"/>
          <w:sz w:val="32"/>
          <w:szCs w:val="32"/>
        </w:rPr>
        <w:t xml:space="preserve">4  </w:t>
      </w:r>
      <w:r>
        <w:rPr>
          <w:b/>
          <w:bCs/>
          <w:color w:val="003087"/>
          <w:sz w:val="30"/>
          <w:szCs w:val="30"/>
        </w:rPr>
        <w:t xml:space="preserve">SQL Query Library</w:t>
      </w:r>
    </w:p>
    <w:p>
      <w:pPr>
        <w:spacing w:after="140" w:line="300"/>
      </w:pPr>
      <w:r>
        <w:rPr>
          <w:sz w:val="22"/>
          <w:szCs w:val="22"/>
        </w:rPr>
        <w:t xml:space="preserve">All fifteen queries from Sessions 1–5, with clinical context. These queries are reusable and form the foundation of an NHS absence reporting suite.</w:t>
      </w:r>
    </w:p>
    <w:p>
      <w:pPr>
        <w:pStyle w:val="Heading2"/>
        <w:spacing w:after="160" w:before="280"/>
      </w:pPr>
      <w:r>
        <w:rPr>
          <w:b/>
          <w:bCs/>
          <w:color w:val="005EB8"/>
          <w:sz w:val="24"/>
          <w:szCs w:val="24"/>
        </w:rPr>
        <w:t xml:space="preserve">Session 1 — Exploratory queries</w:t>
      </w:r>
    </w:p>
    <w:p>
      <w:pPr>
        <w:spacing w:after="100" w:before="200"/>
      </w:pPr>
      <w:r>
        <w:rPr>
          <w:b/>
          <w:bCs/>
          <w:color w:val="003087"/>
          <w:sz w:val="22"/>
          <w:szCs w:val="22"/>
        </w:rPr>
        <w:t xml:space="preserve">Q1.1 — Absences by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trust_code, trust_name, COUNT(*) AS total_absences</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GROUP BY trust_code, trust_name</w:t>
            </w:r>
          </w:p>
          <w:p>
            <w:pPr>
              <w:spacing w:after="40"/>
            </w:pPr>
            <w:r>
              <w:rPr>
                <w:rFonts w:ascii="Courier New" w:cs="Courier New" w:eastAsia="Courier New" w:hAnsi="Courier New"/>
                <w:color w:val="1A1A2E"/>
                <w:sz w:val="18"/>
                <w:szCs w:val="18"/>
              </w:rPr>
              <w:t xml:space="preserve">ORDER BY total_absences DESC;</w:t>
            </w:r>
          </w:p>
        </w:tc>
      </w:tr>
    </w:tbl>
    <w:p>
      <w:pPr>
        <w:spacing w:after="100" w:before="200"/>
      </w:pPr>
      <w:r>
        <w:rPr>
          <w:b/>
          <w:bCs/>
          <w:color w:val="003087"/>
          <w:sz w:val="22"/>
          <w:szCs w:val="22"/>
        </w:rPr>
        <w:t xml:space="preserve">Q1.2 — Absence reasons with percentage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absence_reason, COUNT(*) AS total_absences,</w:t>
            </w:r>
          </w:p>
          <w:p>
            <w:pPr>
              <w:spacing w:after="40"/>
            </w:pPr>
            <w:r>
              <w:rPr>
                <w:rFonts w:ascii="Courier New" w:cs="Courier New" w:eastAsia="Courier New" w:hAnsi="Courier New"/>
                <w:color w:val="1A1A2E"/>
                <w:sz w:val="18"/>
                <w:szCs w:val="18"/>
              </w:rPr>
              <w:t xml:space="preserve">    ROUND(COUNT(*) * 100.0 / (SELECT COUNT(*) FROM staff_absence), 1) AS percentage</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GROUP BY absence_reason</w:t>
            </w:r>
          </w:p>
          <w:p>
            <w:pPr>
              <w:spacing w:after="40"/>
            </w:pPr>
            <w:r>
              <w:rPr>
                <w:rFonts w:ascii="Courier New" w:cs="Courier New" w:eastAsia="Courier New" w:hAnsi="Courier New"/>
                <w:color w:val="1A1A2E"/>
                <w:sz w:val="18"/>
                <w:szCs w:val="18"/>
              </w:rPr>
              <w:t xml:space="preserve">ORDER BY total_absences DESC;</w:t>
            </w:r>
          </w:p>
        </w:tc>
      </w:tr>
    </w:tbl>
    <w:p>
      <w:pPr>
        <w:spacing w:after="100" w:before="200"/>
      </w:pPr>
      <w:r>
        <w:rPr>
          <w:b/>
          <w:bCs/>
          <w:color w:val="003087"/>
          <w:sz w:val="22"/>
          <w:szCs w:val="22"/>
        </w:rPr>
        <w:t xml:space="preserve">Q1.3 — Seasonal pattern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month, month_name, is_winter_month, COUNT(*) AS total_absences</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GROUP BY month, month_name, is_winter_month</w:t>
            </w:r>
          </w:p>
          <w:p>
            <w:pPr>
              <w:spacing w:after="40"/>
            </w:pPr>
            <w:r>
              <w:rPr>
                <w:rFonts w:ascii="Courier New" w:cs="Courier New" w:eastAsia="Courier New" w:hAnsi="Courier New"/>
                <w:color w:val="1A1A2E"/>
                <w:sz w:val="18"/>
                <w:szCs w:val="18"/>
              </w:rPr>
              <w:t xml:space="preserve">ORDER BY month;</w:t>
            </w:r>
          </w:p>
        </w:tc>
      </w:tr>
    </w:tbl>
    <w:p>
      <w:pPr>
        <w:pStyle w:val="Heading2"/>
        <w:spacing w:after="160" w:before="280"/>
      </w:pPr>
      <w:r>
        <w:rPr>
          <w:b/>
          <w:bCs/>
          <w:color w:val="005EB8"/>
          <w:sz w:val="24"/>
          <w:szCs w:val="24"/>
        </w:rPr>
        <w:t xml:space="preserve">Session 2 — WHERE filtering</w:t>
      </w:r>
    </w:p>
    <w:p>
      <w:pPr>
        <w:spacing w:after="100" w:before="200"/>
      </w:pPr>
      <w:r>
        <w:rPr>
          <w:b/>
          <w:bCs/>
          <w:color w:val="003087"/>
          <w:sz w:val="22"/>
          <w:szCs w:val="22"/>
        </w:rPr>
        <w:t xml:space="preserve">Q2.1 — Long-term absences (&gt;5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COUNT(*) AS long_absences</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WHERE duration_days &gt; 5;</w:t>
            </w:r>
          </w:p>
        </w:tc>
      </w:tr>
    </w:tbl>
    <w:p>
      <w:pPr>
        <w:spacing w:after="100" w:before="200"/>
      </w:pPr>
      <w:r>
        <w:rPr>
          <w:b/>
          <w:bCs/>
          <w:color w:val="003087"/>
          <w:sz w:val="22"/>
          <w:szCs w:val="22"/>
        </w:rPr>
        <w:t xml:space="preserve">Q2.2 — Sickness at WGH and NRI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COUNT(*) FROM staff_absence</w:t>
            </w:r>
          </w:p>
          <w:p>
            <w:pPr>
              <w:spacing w:after="40"/>
            </w:pPr>
            <w:r>
              <w:rPr>
                <w:rFonts w:ascii="Courier New" w:cs="Courier New" w:eastAsia="Courier New" w:hAnsi="Courier New"/>
                <w:color w:val="1A1A2E"/>
                <w:sz w:val="18"/>
                <w:szCs w:val="18"/>
              </w:rPr>
              <w:t xml:space="preserve">WHERE absence_reason = 'Sickness'</w:t>
            </w:r>
          </w:p>
          <w:p>
            <w:pPr>
              <w:spacing w:after="40"/>
            </w:pPr>
            <w:r>
              <w:rPr>
                <w:rFonts w:ascii="Courier New" w:cs="Courier New" w:eastAsia="Courier New" w:hAnsi="Courier New"/>
                <w:color w:val="1A1A2E"/>
                <w:sz w:val="18"/>
                <w:szCs w:val="18"/>
              </w:rPr>
              <w:t xml:space="preserve">AND trust_code IN ('WGH', 'NRI');</w:t>
            </w:r>
          </w:p>
        </w:tc>
      </w:tr>
    </w:tbl>
    <w:p>
      <w:pPr>
        <w:spacing w:after="100" w:before="200"/>
      </w:pPr>
      <w:r>
        <w:rPr>
          <w:b/>
          <w:bCs/>
          <w:color w:val="003087"/>
          <w:sz w:val="22"/>
          <w:szCs w:val="22"/>
        </w:rPr>
        <w:t xml:space="preserve">Q2.3 — Unauthorised winter absences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trust_code, month_name, COUNT(*) AS unauthorised_winter</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WHERE absence_reason = 'Unauthorised' AND is_winter_month = 1</w:t>
            </w:r>
          </w:p>
          <w:p>
            <w:pPr>
              <w:spacing w:after="40"/>
            </w:pPr>
            <w:r>
              <w:rPr>
                <w:rFonts w:ascii="Courier New" w:cs="Courier New" w:eastAsia="Courier New" w:hAnsi="Courier New"/>
                <w:color w:val="1A1A2E"/>
                <w:sz w:val="18"/>
                <w:szCs w:val="18"/>
              </w:rPr>
              <w:t xml:space="preserve">GROUP BY trust_code, month_name</w:t>
            </w:r>
          </w:p>
          <w:p>
            <w:pPr>
              <w:spacing w:after="40"/>
            </w:pPr>
            <w:r>
              <w:rPr>
                <w:rFonts w:ascii="Courier New" w:cs="Courier New" w:eastAsia="Courier New" w:hAnsi="Courier New"/>
                <w:color w:val="1A1A2E"/>
                <w:sz w:val="18"/>
                <w:szCs w:val="18"/>
              </w:rPr>
              <w:t xml:space="preserve">ORDER BY trust_code, unauthorised_winter DESC;</w:t>
            </w:r>
          </w:p>
        </w:tc>
      </w:tr>
    </w:tbl>
    <w:p>
      <w:pPr>
        <w:pStyle w:val="Heading2"/>
        <w:spacing w:after="160" w:before="280"/>
      </w:pPr>
      <w:r>
        <w:rPr>
          <w:b/>
          <w:bCs/>
          <w:color w:val="005EB8"/>
          <w:sz w:val="24"/>
          <w:szCs w:val="24"/>
        </w:rPr>
        <w:t xml:space="preserve">Session 3 — Aggregations</w:t>
      </w:r>
    </w:p>
    <w:p>
      <w:pPr>
        <w:spacing w:after="100" w:before="200"/>
      </w:pPr>
      <w:r>
        <w:rPr>
          <w:b/>
          <w:bCs/>
          <w:color w:val="003087"/>
          <w:sz w:val="22"/>
          <w:szCs w:val="22"/>
        </w:rPr>
        <w:t xml:space="preserve">Q3.1 — Average duration by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trust_code, trust_name,</w:t>
            </w:r>
          </w:p>
          <w:p>
            <w:pPr>
              <w:spacing w:after="40"/>
            </w:pPr>
            <w:r>
              <w:rPr>
                <w:rFonts w:ascii="Courier New" w:cs="Courier New" w:eastAsia="Courier New" w:hAnsi="Courier New"/>
                <w:color w:val="1A1A2E"/>
                <w:sz w:val="18"/>
                <w:szCs w:val="18"/>
              </w:rPr>
              <w:t xml:space="preserve">    ROUND(AVG(duration_days), 1) AS avg_duration_days,</w:t>
            </w:r>
          </w:p>
          <w:p>
            <w:pPr>
              <w:spacing w:after="40"/>
            </w:pPr>
            <w:r>
              <w:rPr>
                <w:rFonts w:ascii="Courier New" w:cs="Courier New" w:eastAsia="Courier New" w:hAnsi="Courier New"/>
                <w:color w:val="1A1A2E"/>
                <w:sz w:val="18"/>
                <w:szCs w:val="18"/>
              </w:rPr>
              <w:t xml:space="preserve">    MIN(duration_days) AS shortest, MAX(duration_days) AS longest,</w:t>
            </w:r>
          </w:p>
          <w:p>
            <w:pPr>
              <w:spacing w:after="40"/>
            </w:pPr>
            <w:r>
              <w:rPr>
                <w:rFonts w:ascii="Courier New" w:cs="Courier New" w:eastAsia="Courier New" w:hAnsi="Courier New"/>
                <w:color w:val="1A1A2E"/>
                <w:sz w:val="18"/>
                <w:szCs w:val="18"/>
              </w:rPr>
              <w:t xml:space="preserve">    COUNT(*) AS total_absences</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GROUP BY trust_code, trust_name</w:t>
            </w:r>
          </w:p>
          <w:p>
            <w:pPr>
              <w:spacing w:after="40"/>
            </w:pPr>
            <w:r>
              <w:rPr>
                <w:rFonts w:ascii="Courier New" w:cs="Courier New" w:eastAsia="Courier New" w:hAnsi="Courier New"/>
                <w:color w:val="1A1A2E"/>
                <w:sz w:val="18"/>
                <w:szCs w:val="18"/>
              </w:rPr>
              <w:t xml:space="preserve">ORDER BY avg_duration_days DESC;</w:t>
            </w:r>
          </w:p>
        </w:tc>
      </w:tr>
    </w:tbl>
    <w:p>
      <w:pPr>
        <w:spacing w:after="100" w:before="200"/>
      </w:pPr>
      <w:r>
        <w:rPr>
          <w:b/>
          <w:bCs/>
          <w:color w:val="003087"/>
          <w:sz w:val="22"/>
          <w:szCs w:val="22"/>
        </w:rPr>
        <w:t xml:space="preserve">Q3.2 — Trusts exceeding 5,000 sickness absences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trust_code, trust_name, COUNT(*) AS sickness_absences</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WHERE absence_reason = 'Sickness'</w:t>
            </w:r>
          </w:p>
          <w:p>
            <w:pPr>
              <w:spacing w:after="40"/>
            </w:pPr>
            <w:r>
              <w:rPr>
                <w:rFonts w:ascii="Courier New" w:cs="Courier New" w:eastAsia="Courier New" w:hAnsi="Courier New"/>
                <w:color w:val="1A1A2E"/>
                <w:sz w:val="18"/>
                <w:szCs w:val="18"/>
              </w:rPr>
              <w:t xml:space="preserve">GROUP BY trust_code, trust_name</w:t>
            </w:r>
          </w:p>
          <w:p>
            <w:pPr>
              <w:spacing w:after="40"/>
            </w:pPr>
            <w:r>
              <w:rPr>
                <w:rFonts w:ascii="Courier New" w:cs="Courier New" w:eastAsia="Courier New" w:hAnsi="Courier New"/>
                <w:color w:val="1A1A2E"/>
                <w:sz w:val="18"/>
                <w:szCs w:val="18"/>
              </w:rPr>
              <w:t xml:space="preserve">HAVING sickness_absences &gt; 5000</w:t>
            </w:r>
          </w:p>
          <w:p>
            <w:pPr>
              <w:spacing w:after="40"/>
            </w:pPr>
            <w:r>
              <w:rPr>
                <w:rFonts w:ascii="Courier New" w:cs="Courier New" w:eastAsia="Courier New" w:hAnsi="Courier New"/>
                <w:color w:val="1A1A2E"/>
                <w:sz w:val="18"/>
                <w:szCs w:val="18"/>
              </w:rPr>
              <w:t xml:space="preserve">ORDER BY sickness_absences DESC;</w:t>
            </w:r>
          </w:p>
        </w:tc>
      </w:tr>
    </w:tbl>
    <w:p>
      <w:pPr>
        <w:pStyle w:val="Heading2"/>
        <w:spacing w:after="160" w:before="280"/>
      </w:pPr>
      <w:r>
        <w:rPr>
          <w:b/>
          <w:bCs/>
          <w:color w:val="005EB8"/>
          <w:sz w:val="24"/>
          <w:szCs w:val="24"/>
        </w:rPr>
        <w:t xml:space="preserve">Session 4 — JOINs</w:t>
      </w:r>
    </w:p>
    <w:p>
      <w:pPr>
        <w:spacing w:after="100" w:before="200"/>
      </w:pPr>
      <w:r>
        <w:rPr>
          <w:b/>
          <w:bCs/>
          <w:color w:val="003087"/>
          <w:sz w:val="22"/>
          <w:szCs w:val="22"/>
        </w:rPr>
        <w:t xml:space="preserve">Q4.1 — Actual vs target absence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sa.trust_code, tt.total_staff, tt.absence_target_pct,</w:t>
            </w:r>
          </w:p>
          <w:p>
            <w:pPr>
              <w:spacing w:after="40"/>
            </w:pPr>
            <w:r>
              <w:rPr>
                <w:rFonts w:ascii="Courier New" w:cs="Courier New" w:eastAsia="Courier New" w:hAnsi="Courier New"/>
                <w:color w:val="1A1A2E"/>
                <w:sz w:val="18"/>
                <w:szCs w:val="18"/>
              </w:rPr>
              <w:t xml:space="preserve">    COUNT(*) AS total_absences,</w:t>
            </w:r>
          </w:p>
          <w:p>
            <w:pPr>
              <w:spacing w:after="40"/>
            </w:pPr>
            <w:r>
              <w:rPr>
                <w:rFonts w:ascii="Courier New" w:cs="Courier New" w:eastAsia="Courier New" w:hAnsi="Courier New"/>
                <w:color w:val="1A1A2E"/>
                <w:sz w:val="18"/>
                <w:szCs w:val="18"/>
              </w:rPr>
              <w:t xml:space="preserve">    ROUND(COUNT(*) * 100.0 / (tt.total_staff * 365), 2) AS actual_absence_pct</w:t>
            </w:r>
          </w:p>
          <w:p>
            <w:pPr>
              <w:spacing w:after="40"/>
            </w:pPr>
            <w:r>
              <w:rPr>
                <w:rFonts w:ascii="Courier New" w:cs="Courier New" w:eastAsia="Courier New" w:hAnsi="Courier New"/>
                <w:color w:val="1A1A2E"/>
                <w:sz w:val="18"/>
                <w:szCs w:val="18"/>
              </w:rPr>
              <w:t xml:space="preserve">FROM staff_absence sa</w:t>
            </w:r>
          </w:p>
          <w:p>
            <w:pPr>
              <w:spacing w:after="40"/>
            </w:pPr>
            <w:r>
              <w:rPr>
                <w:rFonts w:ascii="Courier New" w:cs="Courier New" w:eastAsia="Courier New" w:hAnsi="Courier New"/>
                <w:color w:val="1A1A2E"/>
                <w:sz w:val="18"/>
                <w:szCs w:val="18"/>
              </w:rPr>
              <w:t xml:space="preserve">INNER JOIN trust_targets tt ON sa.trust_code = tt.trust_code</w:t>
            </w:r>
          </w:p>
          <w:p>
            <w:pPr>
              <w:spacing w:after="40"/>
            </w:pPr>
            <w:r>
              <w:rPr>
                <w:rFonts w:ascii="Courier New" w:cs="Courier New" w:eastAsia="Courier New" w:hAnsi="Courier New"/>
                <w:color w:val="1A1A2E"/>
                <w:sz w:val="18"/>
                <w:szCs w:val="18"/>
              </w:rPr>
              <w:t xml:space="preserve">GROUP BY sa.trust_code, tt.total_staff, tt.absence_target_pct</w:t>
            </w:r>
          </w:p>
          <w:p>
            <w:pPr>
              <w:spacing w:after="40"/>
            </w:pPr>
            <w:r>
              <w:rPr>
                <w:rFonts w:ascii="Courier New" w:cs="Courier New" w:eastAsia="Courier New" w:hAnsi="Courier New"/>
                <w:color w:val="1A1A2E"/>
                <w:sz w:val="18"/>
                <w:szCs w:val="18"/>
              </w:rPr>
              <w:t xml:space="preserve">ORDER BY actual_absence_pct DESC;</w:t>
            </w:r>
          </w:p>
        </w:tc>
      </w:tr>
    </w:tbl>
    <w:p>
      <w:pPr>
        <w:spacing w:after="100" w:before="200"/>
      </w:pPr>
      <w:r>
        <w:rPr>
          <w:b/>
          <w:bCs/>
          <w:color w:val="003087"/>
          <w:sz w:val="22"/>
          <w:szCs w:val="22"/>
        </w:rPr>
        <w:t xml:space="preserve">Q4.2 — Training days actual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tt.trust_code, tt.training_days_target,</w:t>
            </w:r>
          </w:p>
          <w:p>
            <w:pPr>
              <w:spacing w:after="40"/>
            </w:pPr>
            <w:r>
              <w:rPr>
                <w:rFonts w:ascii="Courier New" w:cs="Courier New" w:eastAsia="Courier New" w:hAnsi="Courier New"/>
                <w:color w:val="1A1A2E"/>
                <w:sz w:val="18"/>
                <w:szCs w:val="18"/>
              </w:rPr>
              <w:t xml:space="preserve">    SUM(sa.duration_days) AS actual_training_days,</w:t>
            </w:r>
          </w:p>
          <w:p>
            <w:pPr>
              <w:spacing w:after="40"/>
            </w:pPr>
            <w:r>
              <w:rPr>
                <w:rFonts w:ascii="Courier New" w:cs="Courier New" w:eastAsia="Courier New" w:hAnsi="Courier New"/>
                <w:color w:val="1A1A2E"/>
                <w:sz w:val="18"/>
                <w:szCs w:val="18"/>
              </w:rPr>
              <w:t xml:space="preserve">    SUM(sa.duration_days) - tt.training_days_target AS variance</w:t>
            </w:r>
          </w:p>
          <w:p>
            <w:pPr>
              <w:spacing w:after="40"/>
            </w:pPr>
            <w:r>
              <w:rPr>
                <w:rFonts w:ascii="Courier New" w:cs="Courier New" w:eastAsia="Courier New" w:hAnsi="Courier New"/>
                <w:color w:val="1A1A2E"/>
                <w:sz w:val="18"/>
                <w:szCs w:val="18"/>
              </w:rPr>
              <w:t xml:space="preserve">FROM staff_absence sa</w:t>
            </w:r>
          </w:p>
          <w:p>
            <w:pPr>
              <w:spacing w:after="40"/>
            </w:pPr>
            <w:r>
              <w:rPr>
                <w:rFonts w:ascii="Courier New" w:cs="Courier New" w:eastAsia="Courier New" w:hAnsi="Courier New"/>
                <w:color w:val="1A1A2E"/>
                <w:sz w:val="18"/>
                <w:szCs w:val="18"/>
              </w:rPr>
              <w:t xml:space="preserve">INNER JOIN trust_targets tt ON sa.trust_code = tt.trust_code</w:t>
            </w:r>
          </w:p>
          <w:p>
            <w:pPr>
              <w:spacing w:after="40"/>
            </w:pPr>
            <w:r>
              <w:rPr>
                <w:rFonts w:ascii="Courier New" w:cs="Courier New" w:eastAsia="Courier New" w:hAnsi="Courier New"/>
                <w:color w:val="1A1A2E"/>
                <w:sz w:val="18"/>
                <w:szCs w:val="18"/>
              </w:rPr>
              <w:t xml:space="preserve">WHERE sa.absence_reason = 'Training'</w:t>
            </w:r>
          </w:p>
          <w:p>
            <w:pPr>
              <w:spacing w:after="40"/>
            </w:pPr>
            <w:r>
              <w:rPr>
                <w:rFonts w:ascii="Courier New" w:cs="Courier New" w:eastAsia="Courier New" w:hAnsi="Courier New"/>
                <w:color w:val="1A1A2E"/>
                <w:sz w:val="18"/>
                <w:szCs w:val="18"/>
              </w:rPr>
              <w:t xml:space="preserve">GROUP BY tt.trust_code, tt.training_days_target</w:t>
            </w:r>
          </w:p>
          <w:p>
            <w:pPr>
              <w:spacing w:after="40"/>
            </w:pPr>
            <w:r>
              <w:rPr>
                <w:rFonts w:ascii="Courier New" w:cs="Courier New" w:eastAsia="Courier New" w:hAnsi="Courier New"/>
                <w:color w:val="1A1A2E"/>
                <w:sz w:val="18"/>
                <w:szCs w:val="18"/>
              </w:rPr>
              <w:t xml:space="preserve">ORDER BY variance DESC;</w:t>
            </w:r>
          </w:p>
        </w:tc>
      </w:tr>
    </w:tbl>
    <w:p>
      <w:pPr>
        <w:pStyle w:val="Heading2"/>
        <w:spacing w:after="160" w:before="280"/>
      </w:pPr>
      <w:r>
        <w:rPr>
          <w:b/>
          <w:bCs/>
          <w:color w:val="005EB8"/>
          <w:sz w:val="24"/>
          <w:szCs w:val="24"/>
        </w:rPr>
        <w:t xml:space="preserve">Session 5 — Window functions &amp; CTEs</w:t>
      </w:r>
    </w:p>
    <w:p>
      <w:pPr>
        <w:spacing w:after="100" w:before="200"/>
      </w:pPr>
      <w:r>
        <w:rPr>
          <w:b/>
          <w:bCs/>
          <w:color w:val="003087"/>
          <w:sz w:val="22"/>
          <w:szCs w:val="22"/>
        </w:rPr>
        <w:t xml:space="preserve">Q5.1 — Regional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trust_code, region, absence_rate,</w:t>
            </w:r>
          </w:p>
          <w:p>
            <w:pPr>
              <w:spacing w:after="40"/>
            </w:pPr>
            <w:r>
              <w:rPr>
                <w:rFonts w:ascii="Courier New" w:cs="Courier New" w:eastAsia="Courier New" w:hAnsi="Courier New"/>
                <w:color w:val="1A1A2E"/>
                <w:sz w:val="18"/>
                <w:szCs w:val="18"/>
              </w:rPr>
              <w:t xml:space="preserve">    RANK() OVER (PARTITION BY region ORDER BY absence_rate DESC) AS regional_rank,</w:t>
            </w:r>
          </w:p>
          <w:p>
            <w:pPr>
              <w:spacing w:after="40"/>
            </w:pPr>
            <w:r>
              <w:rPr>
                <w:rFonts w:ascii="Courier New" w:cs="Courier New" w:eastAsia="Courier New" w:hAnsi="Courier New"/>
                <w:color w:val="1A1A2E"/>
                <w:sz w:val="18"/>
                <w:szCs w:val="18"/>
              </w:rPr>
              <w:t xml:space="preserve">    RANK() OVER (ORDER BY absence_rate DESC) AS overall_rank</w:t>
            </w:r>
          </w:p>
          <w:p>
            <w:pPr>
              <w:spacing w:after="40"/>
            </w:pPr>
            <w:r>
              <w:rPr>
                <w:rFonts w:ascii="Courier New" w:cs="Courier New" w:eastAsia="Courier New" w:hAnsi="Courier New"/>
                <w:color w:val="1A1A2E"/>
                <w:sz w:val="18"/>
                <w:szCs w:val="18"/>
              </w:rPr>
              <w:t xml:space="preserve">FROM (</w:t>
            </w:r>
          </w:p>
          <w:p>
            <w:pPr>
              <w:spacing w:after="40"/>
            </w:pPr>
            <w:r>
              <w:rPr>
                <w:rFonts w:ascii="Courier New" w:cs="Courier New" w:eastAsia="Courier New" w:hAnsi="Courier New"/>
                <w:color w:val="1A1A2E"/>
                <w:sz w:val="18"/>
                <w:szCs w:val="18"/>
              </w:rPr>
              <w:t xml:space="preserve">    SELECT sa.trust_code, tt.region,</w:t>
            </w:r>
          </w:p>
          <w:p>
            <w:pPr>
              <w:spacing w:after="40"/>
            </w:pPr>
            <w:r>
              <w:rPr>
                <w:rFonts w:ascii="Courier New" w:cs="Courier New" w:eastAsia="Courier New" w:hAnsi="Courier New"/>
                <w:color w:val="1A1A2E"/>
                <w:sz w:val="18"/>
                <w:szCs w:val="18"/>
              </w:rPr>
              <w:t xml:space="preserve">        ROUND(COUNT(*) * 100.0 / (tt.total_staff * 365), 2) AS absence_rate</w:t>
            </w:r>
          </w:p>
          <w:p>
            <w:pPr>
              <w:spacing w:after="40"/>
            </w:pPr>
            <w:r>
              <w:rPr>
                <w:rFonts w:ascii="Courier New" w:cs="Courier New" w:eastAsia="Courier New" w:hAnsi="Courier New"/>
                <w:color w:val="1A1A2E"/>
                <w:sz w:val="18"/>
                <w:szCs w:val="18"/>
              </w:rPr>
              <w:t xml:space="preserve">    FROM staff_absence sa</w:t>
            </w:r>
          </w:p>
          <w:p>
            <w:pPr>
              <w:spacing w:after="40"/>
            </w:pPr>
            <w:r>
              <w:rPr>
                <w:rFonts w:ascii="Courier New" w:cs="Courier New" w:eastAsia="Courier New" w:hAnsi="Courier New"/>
                <w:color w:val="1A1A2E"/>
                <w:sz w:val="18"/>
                <w:szCs w:val="18"/>
              </w:rPr>
              <w:t xml:space="preserve">    INNER JOIN trust_targets tt ON sa.trust_code = tt.trust_code</w:t>
            </w:r>
          </w:p>
          <w:p>
            <w:pPr>
              <w:spacing w:after="40"/>
            </w:pPr>
            <w:r>
              <w:rPr>
                <w:rFonts w:ascii="Courier New" w:cs="Courier New" w:eastAsia="Courier New" w:hAnsi="Courier New"/>
                <w:color w:val="1A1A2E"/>
                <w:sz w:val="18"/>
                <w:szCs w:val="18"/>
              </w:rPr>
              <w:t xml:space="preserve">    GROUP BY sa.trust_code, tt.region, tt.total_staff</w:t>
            </w:r>
          </w:p>
          <w:p>
            <w:pPr>
              <w:spacing w:after="40"/>
            </w:pPr>
            <w:r>
              <w:rPr>
                <w:rFonts w:ascii="Courier New" w:cs="Courier New" w:eastAsia="Courier New" w:hAnsi="Courier New"/>
                <w:color w:val="1A1A2E"/>
                <w:sz w:val="18"/>
                <w:szCs w:val="18"/>
              </w:rPr>
              <w:t xml:space="preserve">) AS trust_summary</w:t>
            </w:r>
          </w:p>
          <w:p>
            <w:pPr>
              <w:spacing w:after="40"/>
            </w:pPr>
            <w:r>
              <w:rPr>
                <w:rFonts w:ascii="Courier New" w:cs="Courier New" w:eastAsia="Courier New" w:hAnsi="Courier New"/>
                <w:color w:val="1A1A2E"/>
                <w:sz w:val="18"/>
                <w:szCs w:val="18"/>
              </w:rPr>
              <w:t xml:space="preserve">ORDER BY region, regional_rank;</w:t>
            </w:r>
          </w:p>
        </w:tc>
      </w:tr>
    </w:tbl>
    <w:p>
      <w:pPr>
        <w:spacing w:after="100" w:before="200"/>
      </w:pPr>
      <w:r>
        <w:rPr>
          <w:b/>
          <w:bCs/>
          <w:color w:val="003087"/>
          <w:sz w:val="22"/>
          <w:szCs w:val="22"/>
        </w:rPr>
        <w:t xml:space="preserve">Q5.2 — Month on month change with 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SELECT month, month_name, COUNT(*) AS monthly_absences,</w:t>
            </w:r>
          </w:p>
          <w:p>
            <w:pPr>
              <w:spacing w:after="40"/>
            </w:pPr>
            <w:r>
              <w:rPr>
                <w:rFonts w:ascii="Courier New" w:cs="Courier New" w:eastAsia="Courier New" w:hAnsi="Courier New"/>
                <w:color w:val="1A1A2E"/>
                <w:sz w:val="18"/>
                <w:szCs w:val="18"/>
              </w:rPr>
              <w:t xml:space="preserve">    LAG(COUNT(*)) OVER (ORDER BY month) AS previous_month,</w:t>
            </w:r>
          </w:p>
          <w:p>
            <w:pPr>
              <w:spacing w:after="40"/>
            </w:pPr>
            <w:r>
              <w:rPr>
                <w:rFonts w:ascii="Courier New" w:cs="Courier New" w:eastAsia="Courier New" w:hAnsi="Courier New"/>
                <w:color w:val="1A1A2E"/>
                <w:sz w:val="18"/>
                <w:szCs w:val="18"/>
              </w:rPr>
              <w:t xml:space="preserve">    COUNT(*) - LAG(COUNT(*)) OVER (ORDER BY month) AS change,</w:t>
            </w:r>
          </w:p>
          <w:p>
            <w:pPr>
              <w:spacing w:after="40"/>
            </w:pPr>
            <w:r>
              <w:rPr>
                <w:rFonts w:ascii="Courier New" w:cs="Courier New" w:eastAsia="Courier New" w:hAnsi="Courier New"/>
                <w:color w:val="1A1A2E"/>
                <w:sz w:val="18"/>
                <w:szCs w:val="18"/>
              </w:rPr>
              <w:t xml:space="preserve">    ROUND((COUNT(*) - LAG(COUNT(*)) OVER (ORDER BY month)) * 100.0 /</w:t>
            </w:r>
          </w:p>
          <w:p>
            <w:pPr>
              <w:spacing w:after="40"/>
            </w:pPr>
            <w:r>
              <w:rPr>
                <w:rFonts w:ascii="Courier New" w:cs="Courier New" w:eastAsia="Courier New" w:hAnsi="Courier New"/>
                <w:color w:val="1A1A2E"/>
                <w:sz w:val="18"/>
                <w:szCs w:val="18"/>
              </w:rPr>
              <w:t xml:space="preserve">        LAG(COUNT(*)) OVER (ORDER BY month), 1) AS pct_change</w:t>
            </w:r>
          </w:p>
          <w:p>
            <w:pPr>
              <w:spacing w:after="40"/>
            </w:pPr>
            <w:r>
              <w:rPr>
                <w:rFonts w:ascii="Courier New" w:cs="Courier New" w:eastAsia="Courier New" w:hAnsi="Courier New"/>
                <w:color w:val="1A1A2E"/>
                <w:sz w:val="18"/>
                <w:szCs w:val="18"/>
              </w:rPr>
              <w:t xml:space="preserve">FROM staff_absence</w:t>
            </w:r>
          </w:p>
          <w:p>
            <w:pPr>
              <w:spacing w:after="40"/>
            </w:pPr>
            <w:r>
              <w:rPr>
                <w:rFonts w:ascii="Courier New" w:cs="Courier New" w:eastAsia="Courier New" w:hAnsi="Courier New"/>
                <w:color w:val="1A1A2E"/>
                <w:sz w:val="18"/>
                <w:szCs w:val="18"/>
              </w:rPr>
              <w:t xml:space="preserve">GROUP BY month, month_name</w:t>
            </w:r>
          </w:p>
          <w:p>
            <w:pPr>
              <w:spacing w:after="40"/>
            </w:pPr>
            <w:r>
              <w:rPr>
                <w:rFonts w:ascii="Courier New" w:cs="Courier New" w:eastAsia="Courier New" w:hAnsi="Courier New"/>
                <w:color w:val="1A1A2E"/>
                <w:sz w:val="18"/>
                <w:szCs w:val="18"/>
              </w:rPr>
              <w:t xml:space="preserve">ORDER BY month;</w:t>
            </w:r>
          </w:p>
        </w:tc>
      </w:tr>
    </w:tbl>
    <w:p>
      <w:pPr>
        <w:spacing w:after="100" w:before="200"/>
      </w:pPr>
      <w:r>
        <w:rPr>
          <w:b/>
          <w:bCs/>
          <w:color w:val="003087"/>
          <w:sz w:val="22"/>
          <w:szCs w:val="22"/>
        </w:rPr>
        <w:t xml:space="preserve">Q5.3 — CTE absence intelligence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00A499" w:sz="16"/>
              <w:bottom w:val="single" w:color="CCCCCC" w:sz="4"/>
              <w:right w:val="single" w:color="CCCCCC" w:sz="4"/>
            </w:tcBorders>
            <w:shd w:fill="F5F5F5" w:val="clear"/>
            <w:tcMar>
              <w:top w:type="dxa" w:w="160"/>
              <w:left w:type="dxa" w:w="240"/>
              <w:bottom w:type="dxa" w:w="160"/>
              <w:right w:type="dxa" w:w="240"/>
            </w:tcMar>
          </w:tcPr>
          <w:p>
            <w:pPr>
              <w:spacing w:after="40"/>
            </w:pPr>
            <w:r>
              <w:rPr>
                <w:rFonts w:ascii="Courier New" w:cs="Courier New" w:eastAsia="Courier New" w:hAnsi="Courier New"/>
                <w:color w:val="1A1A2E"/>
                <w:sz w:val="18"/>
                <w:szCs w:val="18"/>
              </w:rPr>
              <w:t xml:space="preserve">WITH trust_summary AS (</w:t>
            </w:r>
          </w:p>
          <w:p>
            <w:pPr>
              <w:spacing w:after="40"/>
            </w:pPr>
            <w:r>
              <w:rPr>
                <w:rFonts w:ascii="Courier New" w:cs="Courier New" w:eastAsia="Courier New" w:hAnsi="Courier New"/>
                <w:color w:val="1A1A2E"/>
                <w:sz w:val="18"/>
                <w:szCs w:val="18"/>
              </w:rPr>
              <w:t xml:space="preserve">    SELECT sa.trust_code, tt.region,</w:t>
            </w:r>
          </w:p>
          <w:p>
            <w:pPr>
              <w:spacing w:after="40"/>
            </w:pPr>
            <w:r>
              <w:rPr>
                <w:rFonts w:ascii="Courier New" w:cs="Courier New" w:eastAsia="Courier New" w:hAnsi="Courier New"/>
                <w:color w:val="1A1A2E"/>
                <w:sz w:val="18"/>
                <w:szCs w:val="18"/>
              </w:rPr>
              <w:t xml:space="preserve">        COUNT(*) AS trust_absences,</w:t>
            </w:r>
          </w:p>
          <w:p>
            <w:pPr>
              <w:spacing w:after="40"/>
            </w:pPr>
            <w:r>
              <w:rPr>
                <w:rFonts w:ascii="Courier New" w:cs="Courier New" w:eastAsia="Courier New" w:hAnsi="Courier New"/>
                <w:color w:val="1A1A2E"/>
                <w:sz w:val="18"/>
                <w:szCs w:val="18"/>
              </w:rPr>
              <w:t xml:space="preserve">        ROUND(COUNT(*) * 100.0 / (tt.total_staff * 365), 2) AS absence_rate,</w:t>
            </w:r>
          </w:p>
          <w:p>
            <w:pPr>
              <w:spacing w:after="40"/>
            </w:pPr>
            <w:r>
              <w:rPr>
                <w:rFonts w:ascii="Courier New" w:cs="Courier New" w:eastAsia="Courier New" w:hAnsi="Courier New"/>
                <w:color w:val="1A1A2E"/>
                <w:sz w:val="18"/>
                <w:szCs w:val="18"/>
              </w:rPr>
              <w:t xml:space="preserve">        SUM(CASE WHEN sa.absence_reason = 'Unauthorised' THEN 1 ELSE 0 END) AS unauthorised_count</w:t>
            </w:r>
          </w:p>
          <w:p>
            <w:pPr>
              <w:spacing w:after="40"/>
            </w:pPr>
            <w:r>
              <w:rPr>
                <w:rFonts w:ascii="Courier New" w:cs="Courier New" w:eastAsia="Courier New" w:hAnsi="Courier New"/>
                <w:color w:val="1A1A2E"/>
                <w:sz w:val="18"/>
                <w:szCs w:val="18"/>
              </w:rPr>
              <w:t xml:space="preserve">    FROM staff_absence sa</w:t>
            </w:r>
          </w:p>
          <w:p>
            <w:pPr>
              <w:spacing w:after="40"/>
            </w:pPr>
            <w:r>
              <w:rPr>
                <w:rFonts w:ascii="Courier New" w:cs="Courier New" w:eastAsia="Courier New" w:hAnsi="Courier New"/>
                <w:color w:val="1A1A2E"/>
                <w:sz w:val="18"/>
                <w:szCs w:val="18"/>
              </w:rPr>
              <w:t xml:space="preserve">    INNER JOIN trust_targets tt ON sa.trust_code = tt.trust_code</w:t>
            </w:r>
          </w:p>
          <w:p>
            <w:pPr>
              <w:spacing w:after="40"/>
            </w:pPr>
            <w:r>
              <w:rPr>
                <w:rFonts w:ascii="Courier New" w:cs="Courier New" w:eastAsia="Courier New" w:hAnsi="Courier New"/>
                <w:color w:val="1A1A2E"/>
                <w:sz w:val="18"/>
                <w:szCs w:val="18"/>
              </w:rPr>
              <w:t xml:space="preserve">    GROUP BY sa.trust_code, tt.region, tt.total_staff</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SELECT trust_code, region, trust_absences, absence_rate, unauthorised_count,</w:t>
            </w:r>
          </w:p>
          <w:p>
            <w:pPr>
              <w:spacing w:after="40"/>
            </w:pPr>
            <w:r>
              <w:rPr>
                <w:rFonts w:ascii="Courier New" w:cs="Courier New" w:eastAsia="Courier New" w:hAnsi="Courier New"/>
                <w:color w:val="1A1A2E"/>
                <w:sz w:val="18"/>
                <w:szCs w:val="18"/>
              </w:rPr>
              <w:t xml:space="preserve">    RANK() OVER (ORDER BY absence_rate DESC) AS absence_rank,</w:t>
            </w:r>
          </w:p>
          <w:p>
            <w:pPr>
              <w:spacing w:after="40"/>
            </w:pPr>
            <w:r>
              <w:rPr>
                <w:rFonts w:ascii="Courier New" w:cs="Courier New" w:eastAsia="Courier New" w:hAnsi="Courier New"/>
                <w:color w:val="1A1A2E"/>
                <w:sz w:val="18"/>
                <w:szCs w:val="18"/>
              </w:rPr>
              <w:t xml:space="preserve">    RANK() OVER (ORDER BY unauthorised_count DESC) AS unauthorised_rank</w:t>
            </w:r>
          </w:p>
          <w:p>
            <w:pPr>
              <w:spacing w:after="40"/>
            </w:pPr>
            <w:r>
              <w:rPr>
                <w:rFonts w:ascii="Courier New" w:cs="Courier New" w:eastAsia="Courier New" w:hAnsi="Courier New"/>
                <w:color w:val="1A1A2E"/>
                <w:sz w:val="18"/>
                <w:szCs w:val="18"/>
              </w:rPr>
              <w:t xml:space="preserve">FROM trust_summary</w:t>
            </w:r>
          </w:p>
          <w:p>
            <w:pPr>
              <w:spacing w:after="40"/>
            </w:pPr>
            <w:r>
              <w:rPr>
                <w:rFonts w:ascii="Courier New" w:cs="Courier New" w:eastAsia="Courier New" w:hAnsi="Courier New"/>
                <w:color w:val="1A1A2E"/>
                <w:sz w:val="18"/>
                <w:szCs w:val="18"/>
              </w:rPr>
              <w:t xml:space="preserve">ORDER BY absence_rank;</w:t>
            </w:r>
          </w:p>
        </w:tc>
      </w:tr>
    </w:tbl>
    <w:p>
      <w:r>
        <w:br w:type="page"/>
      </w:r>
    </w:p>
    <w:p>
      <w:pPr>
        <w:pStyle w:val="Heading1"/>
        <w:spacing w:after="220" w:before="400"/>
      </w:pPr>
      <w:r>
        <w:rPr>
          <w:b/>
          <w:bCs/>
          <w:color w:val="0072CE"/>
          <w:sz w:val="32"/>
          <w:szCs w:val="32"/>
        </w:rPr>
        <w:t xml:space="preserve">5  </w:t>
      </w:r>
      <w:r>
        <w:rPr>
          <w:b/>
          <w:bCs/>
          <w:color w:val="003087"/>
          <w:sz w:val="30"/>
          <w:szCs w:val="30"/>
        </w:rPr>
        <w:t xml:space="preserve">Recommendations</w:t>
      </w:r>
    </w:p>
    <w:p>
      <w:pPr>
        <w:spacing w:after="140" w:line="300"/>
      </w:pPr>
      <w:r>
        <w:rPr>
          <w:sz w:val="22"/>
          <w:szCs w:val="22"/>
        </w:rPr>
        <w:t xml:space="preserve">Five evidence-based recommendations derived directly from the SQL analysis. Each recommendation is tied to a specific finding and quantified where possible.</w:t>
      </w:r>
    </w:p>
    <w:p>
      <w:pPr>
        <w:pStyle w:val="Heading2"/>
        <w:spacing w:after="160" w:before="280"/>
      </w:pPr>
      <w:r>
        <w:rPr>
          <w:b/>
          <w:bCs/>
          <w:color w:val="005EB8"/>
          <w:sz w:val="24"/>
          <w:szCs w:val="24"/>
        </w:rPr>
        <w:t xml:space="preserve">Recommendation 1 — Commission MHT wellbeing review (Priority: Critical)</w:t>
      </w:r>
    </w:p>
    <w:p>
      <w:pPr>
        <w:spacing w:after="140" w:line="300"/>
      </w:pPr>
      <w:r>
        <w:rPr>
          <w:sz w:val="22"/>
          <w:szCs w:val="22"/>
        </w:rPr>
        <w:t xml:space="preserve">MHT's absence rate of 10.33% is more than double its 5% target and the highest in the ICB. The root cause is sickness (8,342 events) and compassionate leave (2,071 events) — not unauthorised absence. This pattern signals clinical burnout, not governance failure. A structured wellbeing review including workload assessment, supervision quality, and access to occupational health should be commissioned within 30 days.</w:t>
      </w:r>
    </w:p>
    <w:p>
      <w:pPr>
        <w:pStyle w:val="Heading2"/>
        <w:spacing w:after="160" w:before="280"/>
      </w:pPr>
      <w:r>
        <w:rPr>
          <w:b/>
          <w:bCs/>
          <w:color w:val="005EB8"/>
          <w:sz w:val="24"/>
          <w:szCs w:val="24"/>
        </w:rPr>
        <w:t xml:space="preserve">Recommendation 2 — Investigate WGH unauthorised absence (Priority: Critical)</w:t>
      </w:r>
    </w:p>
    <w:p>
      <w:pPr>
        <w:spacing w:after="140" w:line="300"/>
      </w:pPr>
      <w:r>
        <w:rPr>
          <w:sz w:val="22"/>
          <w:szCs w:val="22"/>
        </w:rPr>
        <w:t xml:space="preserve">WGH recorded 2,849 unauthorised absences in 2023 — ranked 1st in the ICB and nearly equivalent to its maternity leave volume. This is a governance and HR compliance failure requiring immediate disciplinary review. Every unauthorised absence should be formally investigated and a return-to-work interview protocol implemented within 60 days.</w:t>
      </w:r>
    </w:p>
    <w:p>
      <w:pPr>
        <w:pStyle w:val="Heading2"/>
        <w:spacing w:after="160" w:before="280"/>
      </w:pPr>
      <w:r>
        <w:rPr>
          <w:b/>
          <w:bCs/>
          <w:color w:val="005EB8"/>
          <w:sz w:val="24"/>
          <w:szCs w:val="24"/>
        </w:rPr>
        <w:t xml:space="preserve">Recommendation 3 — Shift winter planning timeline to September (Priority: High)</w:t>
      </w:r>
    </w:p>
    <w:p>
      <w:pPr>
        <w:spacing w:after="140" w:line="300"/>
      </w:pPr>
      <w:r>
        <w:rPr>
          <w:sz w:val="22"/>
          <w:szCs w:val="22"/>
        </w:rPr>
        <w:t xml:space="preserve">Running total analysis proved 31.8% of annual absences hit in Q1 and the December spike is +56.6% month-on-month. Current NHS winter planning that begins in October is too late. ICB workforce planning must begin in September — before October's absence rate begins its pre-winter rise (+6.5% month-on-month).</w:t>
      </w:r>
    </w:p>
    <w:p>
      <w:pPr>
        <w:pStyle w:val="Heading2"/>
        <w:spacing w:after="160" w:before="280"/>
      </w:pPr>
      <w:r>
        <w:rPr>
          <w:b/>
          <w:bCs/>
          <w:color w:val="005EB8"/>
          <w:sz w:val="24"/>
          <w:szCs w:val="24"/>
        </w:rPr>
        <w:t xml:space="preserve">Recommendation 4 — Review NHS absence rate targets (Priority: Medium)</w:t>
      </w:r>
    </w:p>
    <w:p>
      <w:pPr>
        <w:spacing w:after="140" w:line="300"/>
      </w:pPr>
      <w:r>
        <w:rPr>
          <w:sz w:val="22"/>
          <w:szCs w:val="22"/>
        </w:rPr>
        <w:t xml:space="preserve">All five trusts are 75–109% above their absence targets. Either targets were set without reference to operational reality, or systemic NHS pressures have made historical targets unachievable. A formal target review using this SQL baseline data is recommended before the next planning cycle.</w:t>
      </w:r>
    </w:p>
    <w:p>
      <w:pPr>
        <w:pStyle w:val="Heading2"/>
        <w:spacing w:after="160" w:before="280"/>
      </w:pPr>
      <w:r>
        <w:rPr>
          <w:b/>
          <w:bCs/>
          <w:color w:val="005EB8"/>
          <w:sz w:val="24"/>
          <w:szCs w:val="24"/>
        </w:rPr>
        <w:t xml:space="preserve">Recommendation 5 — Deploy monthly SQL absence dashboard (Priority: Medium)</w:t>
      </w:r>
    </w:p>
    <w:p>
      <w:pPr>
        <w:spacing w:after="140" w:line="300"/>
      </w:pPr>
      <w:r>
        <w:rPr>
          <w:sz w:val="22"/>
          <w:szCs w:val="22"/>
        </w:rPr>
        <w:t xml:space="preserve">The fifteen queries in this report are reusable, parameterisable, and suitable for monthly automation. Deploying these as a scheduled MySQL report — with output to Power BI or a similar tool — would give the ICB real-time absence intelligence without manual analyst effort. Estimated development time: 2–3 weeks.</w:t>
      </w:r>
    </w:p>
    <w:p>
      <w:r>
        <w:br w:type="page"/>
      </w:r>
    </w:p>
    <w:p>
      <w:pPr>
        <w:pStyle w:val="Heading1"/>
        <w:spacing w:after="220" w:before="400"/>
      </w:pPr>
      <w:r>
        <w:rPr>
          <w:b/>
          <w:bCs/>
          <w:color w:val="0072CE"/>
          <w:sz w:val="32"/>
          <w:szCs w:val="32"/>
        </w:rPr>
        <w:t xml:space="preserve">6  </w:t>
      </w:r>
      <w:r>
        <w:rPr>
          <w:b/>
          <w:bCs/>
          <w:color w:val="003087"/>
          <w:sz w:val="30"/>
          <w:szCs w:val="30"/>
        </w:rPr>
        <w:t xml:space="preserve">Appendix — SQL Skills Demonstrated</w:t>
      </w:r>
    </w:p>
    <w:p>
      <w:pPr>
        <w:spacing w:after="140" w:line="300"/>
      </w:pPr>
      <w:r>
        <w:rPr>
          <w:sz w:val="22"/>
          <w:szCs w:val="22"/>
        </w:rPr>
        <w:t xml:space="preserve">This project demonstrates the following SQL competencies at NHS analyst level:</w:t>
      </w:r>
    </w:p>
    <w:p>
      <w:pPr>
        <w:pStyle w:val="ListParagraph"/>
        <w:numPr>
          <w:ilvl w:val="0"/>
          <w:numId w:val="3"/>
        </w:numPr>
        <w:spacing w:after="100" w:line="290"/>
      </w:pPr>
      <w:r>
        <w:rPr>
          <w:sz w:val="22"/>
          <w:szCs w:val="22"/>
        </w:rPr>
        <w:t xml:space="preserve">SELECT, FROM, WHERE, GROUP BY, ORDER BY, HAVING — core query structure</w:t>
      </w:r>
    </w:p>
    <w:p>
      <w:pPr>
        <w:pStyle w:val="ListParagraph"/>
        <w:numPr>
          <w:ilvl w:val="0"/>
          <w:numId w:val="3"/>
        </w:numPr>
        <w:spacing w:after="100" w:line="290"/>
      </w:pPr>
      <w:r>
        <w:rPr>
          <w:sz w:val="22"/>
          <w:szCs w:val="22"/>
        </w:rPr>
        <w:t xml:space="preserve">COUNT, SUM, AVG, MIN, MAX — aggregation functions</w:t>
      </w:r>
    </w:p>
    <w:p>
      <w:pPr>
        <w:pStyle w:val="ListParagraph"/>
        <w:numPr>
          <w:ilvl w:val="0"/>
          <w:numId w:val="3"/>
        </w:numPr>
        <w:spacing w:after="100" w:line="290"/>
      </w:pPr>
      <w:r>
        <w:rPr>
          <w:sz w:val="22"/>
          <w:szCs w:val="22"/>
        </w:rPr>
        <w:t xml:space="preserve">AND, OR, IN, BETWEEN, LIKE, NOT — filtering operators</w:t>
      </w:r>
    </w:p>
    <w:p>
      <w:pPr>
        <w:pStyle w:val="ListParagraph"/>
        <w:numPr>
          <w:ilvl w:val="0"/>
          <w:numId w:val="3"/>
        </w:numPr>
        <w:spacing w:after="100" w:line="290"/>
      </w:pPr>
      <w:r>
        <w:rPr>
          <w:sz w:val="22"/>
          <w:szCs w:val="22"/>
        </w:rPr>
        <w:t xml:space="preserve">INNER JOIN, LEFT JOIN — multi-table analysis</w:t>
      </w:r>
    </w:p>
    <w:p>
      <w:pPr>
        <w:pStyle w:val="ListParagraph"/>
        <w:numPr>
          <w:ilvl w:val="0"/>
          <w:numId w:val="3"/>
        </w:numPr>
        <w:spacing w:after="100" w:line="290"/>
      </w:pPr>
      <w:r>
        <w:rPr>
          <w:sz w:val="22"/>
          <w:szCs w:val="22"/>
        </w:rPr>
        <w:t xml:space="preserve">ROW_NUMBER, RANK, DENSE_RANK — window ranking functions</w:t>
      </w:r>
    </w:p>
    <w:p>
      <w:pPr>
        <w:pStyle w:val="ListParagraph"/>
        <w:numPr>
          <w:ilvl w:val="0"/>
          <w:numId w:val="3"/>
        </w:numPr>
        <w:spacing w:after="100" w:line="290"/>
      </w:pPr>
      <w:r>
        <w:rPr>
          <w:sz w:val="22"/>
          <w:szCs w:val="22"/>
        </w:rPr>
        <w:t xml:space="preserve">LAG, LEAD — time-series comparison functions</w:t>
      </w:r>
    </w:p>
    <w:p>
      <w:pPr>
        <w:pStyle w:val="ListParagraph"/>
        <w:numPr>
          <w:ilvl w:val="0"/>
          <w:numId w:val="3"/>
        </w:numPr>
        <w:spacing w:after="100" w:line="290"/>
      </w:pPr>
      <w:r>
        <w:rPr>
          <w:sz w:val="22"/>
          <w:szCs w:val="22"/>
        </w:rPr>
        <w:t xml:space="preserve">SUM OVER, AVG OVER — running totals and rolling averages</w:t>
      </w:r>
    </w:p>
    <w:p>
      <w:pPr>
        <w:pStyle w:val="ListParagraph"/>
        <w:numPr>
          <w:ilvl w:val="0"/>
          <w:numId w:val="3"/>
        </w:numPr>
        <w:spacing w:after="100" w:line="290"/>
      </w:pPr>
      <w:r>
        <w:rPr>
          <w:sz w:val="22"/>
          <w:szCs w:val="22"/>
        </w:rPr>
        <w:t xml:space="preserve">PARTITION BY — group-level window functions</w:t>
      </w:r>
    </w:p>
    <w:p>
      <w:pPr>
        <w:pStyle w:val="ListParagraph"/>
        <w:numPr>
          <w:ilvl w:val="0"/>
          <w:numId w:val="3"/>
        </w:numPr>
        <w:spacing w:after="100" w:line="290"/>
      </w:pPr>
      <w:r>
        <w:rPr>
          <w:sz w:val="22"/>
          <w:szCs w:val="22"/>
        </w:rPr>
        <w:t xml:space="preserve">CASE WHEN — conditional logic and RAG classification</w:t>
      </w:r>
    </w:p>
    <w:p>
      <w:pPr>
        <w:pStyle w:val="ListParagraph"/>
        <w:numPr>
          <w:ilvl w:val="0"/>
          <w:numId w:val="3"/>
        </w:numPr>
        <w:spacing w:after="100" w:line="290"/>
      </w:pPr>
      <w:r>
        <w:rPr>
          <w:sz w:val="22"/>
          <w:szCs w:val="22"/>
        </w:rPr>
        <w:t xml:space="preserve">Subqueries — nested query logic</w:t>
      </w:r>
    </w:p>
    <w:p>
      <w:pPr>
        <w:pStyle w:val="ListParagraph"/>
        <w:numPr>
          <w:ilvl w:val="0"/>
          <w:numId w:val="3"/>
        </w:numPr>
        <w:spacing w:after="100" w:line="290"/>
      </w:pPr>
      <w:r>
        <w:rPr>
          <w:sz w:val="22"/>
          <w:szCs w:val="22"/>
        </w:rPr>
        <w:t xml:space="preserve">CTEs (Common Table Expressions) — modular, reusable query blocks</w:t>
      </w:r>
    </w:p>
    <w:p>
      <w:pPr>
        <w:pStyle w:val="ListParagraph"/>
        <w:numPr>
          <w:ilvl w:val="0"/>
          <w:numId w:val="3"/>
        </w:numPr>
        <w:spacing w:after="100" w:line="290"/>
      </w:pPr>
      <w:r>
        <w:rPr>
          <w:sz w:val="22"/>
          <w:szCs w:val="22"/>
        </w:rPr>
        <w:t xml:space="preserve">LOAD DATA INFILE — bulk data import</w:t>
      </w:r>
    </w:p>
    <w:p>
      <w:pPr>
        <w:pStyle w:val="ListParagraph"/>
        <w:numPr>
          <w:ilvl w:val="0"/>
          <w:numId w:val="3"/>
        </w:numPr>
        <w:spacing w:after="100" w:line="290"/>
      </w:pPr>
      <w:r>
        <w:rPr>
          <w:sz w:val="22"/>
          <w:szCs w:val="22"/>
        </w:rPr>
        <w:t xml:space="preserve">CREATE TABLE, INSERT INTO — database and table creation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EB8" w:sz="6" w:space="4"/>
      </w:pBdr>
      <w:jc w:val="left"/>
    </w:pPr>
    <w:r>
      <w:rPr>
        <w:color w:val="425563"/>
        <w:sz w:val="16"/>
        <w:szCs w:val="16"/>
      </w:rPr>
      <w:t xml:space="preserve">75,824 records  |  206,014 days lost  |  5 trusts  |  Page </w:t>
    </w:r>
    <w:r>
      <w:rPr>
        <w:color w:val="425563"/>
        <w:sz w:val="16"/>
        <w:szCs w:val="16"/>
      </w:rPr>
      <w:fldChar w:fldCharType="begin"/>
      <w:instrText xml:space="preserve">PAGE</w:instrText>
      <w:fldChar w:fldCharType="separate"/>
      <w:fldChar w:fldCharType="end"/>
    </w:r>
    <w:r>
      <w:rPr>
        <w:color w:val="425563"/>
        <w:sz w:val="16"/>
        <w:szCs w:val="16"/>
      </w:rPr>
      <w:t xml:space="preserve"> of </w:t>
    </w:r>
    <w:r>
      <w:rPr>
        <w:color w:val="42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EB8" w:sz="6" w:space="4"/>
      </w:pBdr>
      <w:spacing w:after="80"/>
    </w:pPr>
    <w:r>
      <w:rPr>
        <w:b/>
        <w:bCs/>
        <w:color w:val="005EB8"/>
        <w:sz w:val="24"/>
        <w:szCs w:val="24"/>
      </w:rPr>
      <w:t xml:space="preserve">NHS</w:t>
    </w:r>
    <w:r>
      <w:rPr>
        <w:color w:val="425563"/>
        <w:sz w:val="18"/>
        <w:szCs w:val="18"/>
      </w:rPr>
      <w:t xml:space="preserve">  |  Staff Absence Intelligence Report  |  ICB SQL Analysis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003087"/>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5E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2026-05-23T18:23:10.069Z</dcterms:created>
  <dcterms:modified xsi:type="dcterms:W3CDTF">2026-05-23T18:23:10.083Z</dcterms:modified>
</cp:coreProperties>
</file>

<file path=docProps/custom.xml><?xml version="1.0" encoding="utf-8"?>
<Properties xmlns="http://schemas.openxmlformats.org/officeDocument/2006/custom-properties" xmlns:vt="http://schemas.openxmlformats.org/officeDocument/2006/docPropsVTypes"/>
</file>