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C033D2">
      <w:r w:rsidRPr="00C033D2">
        <w:t>Люди этого темперамента быстры, подвижны, возбудимы. У холерика выразительная мимика, живая речь, резкие движения. Его чувства обычно быстро возникают и ярко проявляются. Холерик с увлечением берется за дело, работает с подъемом, преодолевая трудности. Когда запас энергии истощается, настроение резко падает. В общении с людьми холерик может быть резок, провоцируя конфликтные ситуации. Поскольку потребность в общении у холериков повышена, они часто выбирают профессии, связанные с общением, — сфера обслуживания, юриспруденция, политика, администрирование. А это как раз те виды деятельности, которые требуют от человека умения эффективно общаться.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DE"/>
    <w:rsid w:val="002A5F83"/>
    <w:rsid w:val="004D2548"/>
    <w:rsid w:val="00715DDE"/>
    <w:rsid w:val="00C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C3437-16B2-4AB6-A8B4-7B7B22C5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2019-02-28T16:42:00Z</dcterms:created>
  <dcterms:modified xsi:type="dcterms:W3CDTF">2019-02-28T16:42:00Z</dcterms:modified>
</cp:coreProperties>
</file>