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172EC2">
      <w:r w:rsidRPr="00172EC2">
        <w:t>Особенности темперамента следует учитывать при выборе профессии, но не нужно путать темперамент с характером. Доброта и агрессивность, ответственность и безалаберность, бескорыстный и алчный — все эти черты характера не заложены от природы, а формируются на протяжении всей жизни. Умным или глупым, честным или лживым, талантливым или бездарным может быть человек с любым темпераментом. Успешность человека зависит не от его темперамента, а от знаний, навыков, трудолюбия и упорства.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7C"/>
    <w:rsid w:val="00172EC2"/>
    <w:rsid w:val="0029287C"/>
    <w:rsid w:val="002A5F83"/>
    <w:rsid w:val="004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024C0-E8D7-4EF6-8DA1-E5917A08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2019-02-28T16:44:00Z</dcterms:created>
  <dcterms:modified xsi:type="dcterms:W3CDTF">2019-02-28T16:44:00Z</dcterms:modified>
</cp:coreProperties>
</file>