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7"/>
        <w:gridCol w:w="2157"/>
        <w:gridCol w:w="15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документа</w:t>
            </w:r>
          </w:p>
        </w:tc>
        <w:tc>
          <w:tcPr>
            <w:gridSpan w:val="2"/>
          </w:tcPr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Дата составления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134</w:t>
            </w:r>
          </w:p>
        </w:tc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23.11.2022</w:t>
            </w:r>
          </w:p>
        </w:tc>
      </w:tr>
    </w:tbl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УП "Универсал Бобруйск"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none"/>
        </w:rPr>
        <w:t>ПРИКАЗ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none"/>
        </w:rPr>
        <w:t>(распоряжение)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none"/>
        </w:rPr>
        <w:t>о прекращении действия трудового договора (контракта) с работником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Уволить c 24.11.2022.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ФИО: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Васильев Виталий Иванович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Основание: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По состоянию здоровья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Руководитель организации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С приказом (распоряжением) ознакомлен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