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r w:rsidDel="00000000" w:rsidR="00000000" w:rsidRPr="00000000">
        <w:rPr>
          <w:sz w:val="40"/>
          <w:szCs w:val="40"/>
          <w:rtl w:val="0"/>
        </w:rPr>
        <w:t xml:space="preserve">Transport de convois d'une gare vers une autre gare.</w:t>
      </w:r>
    </w:p>
    <w:p w:rsidR="00000000" w:rsidDel="00000000" w:rsidP="00000000" w:rsidRDefault="00000000" w:rsidRPr="00000000" w14:paraId="00000002">
      <w:pPr>
        <w:pStyle w:val="Heading2"/>
        <w:tabs>
          <w:tab w:val="center" w:leader="none" w:pos="4536"/>
        </w:tabs>
        <w:rPr/>
      </w:pPr>
      <w:r w:rsidDel="00000000" w:rsidR="00000000" w:rsidRPr="00000000">
        <w:rPr>
          <w:rtl w:val="0"/>
        </w:rPr>
        <w:t xml:space="preserve">Cahier de spécification </w:t>
      </w:r>
      <w:r w:rsidDel="00000000" w:rsidR="00000000" w:rsidRPr="00000000">
        <w:rPr>
          <w:sz w:val="24"/>
          <w:szCs w:val="24"/>
          <w:rtl w:val="0"/>
        </w:rPr>
        <w:t xml:space="preserve">(Requirement Document)</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Les fonctionnalités et les équipements de ce cahier proviennent uniquement d’une analyse de l’énoncé fourni par l’auteur.  Par conséquent, le cahier n’inclut que ce qui est mentionné dans les indications de l’auteur et ne comporte aucunement des fonctionnalités ou équipements qui ne sont pas explicités dans l’énoncé.</w:t>
      </w:r>
    </w:p>
    <w:tbl>
      <w:tblPr>
        <w:tblStyle w:val="Table1"/>
        <w:tblW w:w="8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0"/>
        <w:gridCol w:w="840"/>
        <w:tblGridChange w:id="0">
          <w:tblGrid>
            <w:gridCol w:w="7950"/>
            <w:gridCol w:w="840"/>
          </w:tblGrid>
        </w:tblGridChange>
      </w:tblGrid>
      <w:tr>
        <w:trPr>
          <w:cantSplit w:val="0"/>
          <w:tblHeader w:val="0"/>
        </w:trPr>
        <w:tc>
          <w:tcPr>
            <w:vAlign w:val="center"/>
          </w:tcPr>
          <w:p w:rsidR="00000000" w:rsidDel="00000000" w:rsidP="00000000" w:rsidRDefault="00000000" w:rsidRPr="00000000" w14:paraId="00000004">
            <w:pPr>
              <w:rPr/>
            </w:pPr>
            <w:r w:rsidDel="00000000" w:rsidR="00000000" w:rsidRPr="00000000">
              <w:rPr>
                <w:rtl w:val="0"/>
              </w:rPr>
              <w:t xml:space="preserve">Introduction des lignes de convois.</w:t>
            </w:r>
          </w:p>
          <w:p w:rsidR="00000000" w:rsidDel="00000000" w:rsidP="00000000" w:rsidRDefault="00000000" w:rsidRPr="00000000" w14:paraId="00000005">
            <w:pPr>
              <w:rPr/>
            </w:pPr>
            <w:r w:rsidDel="00000000" w:rsidR="00000000" w:rsidRPr="00000000">
              <w:rPr>
                <w:rtl w:val="0"/>
              </w:rPr>
              <w:t xml:space="preserve">Départ des trains à partir d’une gare principale vers une autre gare principale.</w:t>
            </w:r>
          </w:p>
          <w:p w:rsidR="00000000" w:rsidDel="00000000" w:rsidP="00000000" w:rsidRDefault="00000000" w:rsidRPr="00000000" w14:paraId="00000006">
            <w:pPr>
              <w:rPr/>
            </w:pPr>
            <w:r w:rsidDel="00000000" w:rsidR="00000000" w:rsidRPr="00000000">
              <w:rPr>
                <w:rtl w:val="0"/>
              </w:rPr>
              <w:t xml:space="preserve">Les gares principales peuvent aussi servir de nœud de croisement, comme pour des correspondances.</w:t>
            </w:r>
          </w:p>
          <w:p w:rsidR="00000000" w:rsidDel="00000000" w:rsidP="00000000" w:rsidRDefault="00000000" w:rsidRPr="00000000" w14:paraId="00000007">
            <w:pPr>
              <w:rPr/>
            </w:pPr>
            <w:r w:rsidDel="00000000" w:rsidR="00000000" w:rsidRPr="00000000">
              <w:rPr>
                <w:rtl w:val="0"/>
              </w:rPr>
              <w:t xml:space="preserve">Un train peut aussi marquer l’arrêt à une gare secondaire qui se trouve entre deux gares principales.</w:t>
            </w:r>
          </w:p>
        </w:tc>
        <w:tc>
          <w:tcPr>
            <w:tcBorders>
              <w:bottom w:color="000000" w:space="0" w:sz="4" w:val="single"/>
            </w:tcBorders>
            <w:vAlign w:val="center"/>
          </w:tcPr>
          <w:p w:rsidR="00000000" w:rsidDel="00000000" w:rsidP="00000000" w:rsidRDefault="00000000" w:rsidRPr="00000000" w14:paraId="00000008">
            <w:pPr>
              <w:rPr/>
            </w:pPr>
            <w:r w:rsidDel="00000000" w:rsidR="00000000" w:rsidRPr="00000000">
              <w:rPr>
                <w:b w:val="1"/>
                <w:color w:val="70ad47"/>
                <w:rtl w:val="0"/>
              </w:rPr>
              <w:t xml:space="preserve">FUN-1</w:t>
            </w:r>
            <w:r w:rsidDel="00000000" w:rsidR="00000000" w:rsidRPr="00000000">
              <w:rPr>
                <w:rtl w:val="0"/>
              </w:rPr>
            </w:r>
          </w:p>
        </w:tc>
      </w:tr>
    </w:tbl>
    <w:p w:rsidR="00000000" w:rsidDel="00000000" w:rsidP="00000000" w:rsidRDefault="00000000" w:rsidRPr="00000000" w14:paraId="00000009">
      <w:pPr>
        <w:jc w:val="both"/>
        <w:rPr>
          <w:sz w:val="10"/>
          <w:szCs w:val="10"/>
        </w:rPr>
      </w:pPr>
      <w:r w:rsidDel="00000000" w:rsidR="00000000" w:rsidRPr="00000000">
        <w:rPr>
          <w:rtl w:val="0"/>
        </w:rPr>
      </w:r>
    </w:p>
    <w:tbl>
      <w:tblPr>
        <w:tblStyle w:val="Table2"/>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8"/>
        <w:gridCol w:w="851"/>
        <w:tblGridChange w:id="0">
          <w:tblGrid>
            <w:gridCol w:w="7938"/>
            <w:gridCol w:w="851"/>
          </w:tblGrid>
        </w:tblGridChange>
      </w:tblGrid>
      <w:tr>
        <w:trPr>
          <w:cantSplit w:val="0"/>
          <w:tblHeader w:val="0"/>
        </w:trPr>
        <w:tc>
          <w:tcPr/>
          <w:p w:rsidR="00000000" w:rsidDel="00000000" w:rsidP="00000000" w:rsidRDefault="00000000" w:rsidRPr="00000000" w14:paraId="0000000A">
            <w:pPr>
              <w:jc w:val="both"/>
              <w:rPr/>
            </w:pPr>
            <w:r w:rsidDel="00000000" w:rsidR="00000000" w:rsidRPr="00000000">
              <w:rPr>
                <w:rtl w:val="0"/>
              </w:rPr>
              <w:t xml:space="preserve">Introduction des lignes de convois à voie unique. </w:t>
            </w:r>
          </w:p>
          <w:p w:rsidR="00000000" w:rsidDel="00000000" w:rsidP="00000000" w:rsidRDefault="00000000" w:rsidRPr="00000000" w14:paraId="0000000B">
            <w:pPr>
              <w:ind w:left="24" w:hanging="24"/>
              <w:jc w:val="both"/>
              <w:rPr/>
            </w:pPr>
            <w:r w:rsidDel="00000000" w:rsidR="00000000" w:rsidRPr="00000000">
              <w:rPr>
                <w:rtl w:val="0"/>
              </w:rPr>
              <w:t xml:space="preserve">Seul un train peut se trouver sur une ligne de convoi. </w:t>
            </w:r>
          </w:p>
          <w:p w:rsidR="00000000" w:rsidDel="00000000" w:rsidP="00000000" w:rsidRDefault="00000000" w:rsidRPr="00000000" w14:paraId="0000000C">
            <w:pPr>
              <w:jc w:val="both"/>
              <w:rPr/>
            </w:pPr>
            <w:r w:rsidDel="00000000" w:rsidR="00000000" w:rsidRPr="00000000">
              <w:rPr>
                <w:rtl w:val="0"/>
              </w:rPr>
              <w:t xml:space="preserve">Cependant, cette ligne sera parcourue dans les deux sens.</w:t>
            </w:r>
          </w:p>
        </w:tc>
        <w:tc>
          <w:tcPr>
            <w:vAlign w:val="center"/>
          </w:tcPr>
          <w:p w:rsidR="00000000" w:rsidDel="00000000" w:rsidP="00000000" w:rsidRDefault="00000000" w:rsidRPr="00000000" w14:paraId="0000000D">
            <w:pPr>
              <w:jc w:val="center"/>
              <w:rPr>
                <w:b w:val="1"/>
              </w:rPr>
            </w:pPr>
            <w:r w:rsidDel="00000000" w:rsidR="00000000" w:rsidRPr="00000000">
              <w:rPr>
                <w:b w:val="1"/>
                <w:color w:val="70ad47"/>
                <w:rtl w:val="0"/>
              </w:rPr>
              <w:t xml:space="preserve">FUN-2</w:t>
            </w:r>
            <w:r w:rsidDel="00000000" w:rsidR="00000000" w:rsidRPr="00000000">
              <w:rPr>
                <w:rtl w:val="0"/>
              </w:rPr>
            </w:r>
          </w:p>
        </w:tc>
      </w:tr>
    </w:tbl>
    <w:p w:rsidR="00000000" w:rsidDel="00000000" w:rsidP="00000000" w:rsidRDefault="00000000" w:rsidRPr="00000000" w14:paraId="0000000E">
      <w:pPr>
        <w:jc w:val="both"/>
        <w:rPr>
          <w:sz w:val="10"/>
          <w:szCs w:val="10"/>
        </w:rPr>
      </w:pPr>
      <w:r w:rsidDel="00000000" w:rsidR="00000000" w:rsidRPr="00000000">
        <w:rPr>
          <w:rtl w:val="0"/>
        </w:rPr>
      </w:r>
    </w:p>
    <w:tbl>
      <w:tblPr>
        <w:tblStyle w:val="Table3"/>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vAlign w:val="center"/>
          </w:tcPr>
          <w:p w:rsidR="00000000" w:rsidDel="00000000" w:rsidP="00000000" w:rsidRDefault="00000000" w:rsidRPr="00000000" w14:paraId="0000000F">
            <w:pPr>
              <w:rPr/>
            </w:pPr>
            <w:r w:rsidDel="00000000" w:rsidR="00000000" w:rsidRPr="00000000">
              <w:rPr>
                <w:rtl w:val="0"/>
              </w:rPr>
              <w:t xml:space="preserve">Ajout des feux de signalisation permettant de vérifier si une voie est disponible.</w:t>
            </w:r>
          </w:p>
        </w:tc>
        <w:tc>
          <w:tcPr>
            <w:vAlign w:val="center"/>
          </w:tcPr>
          <w:p w:rsidR="00000000" w:rsidDel="00000000" w:rsidP="00000000" w:rsidRDefault="00000000" w:rsidRPr="00000000" w14:paraId="00000010">
            <w:pPr>
              <w:jc w:val="center"/>
              <w:rPr>
                <w:b w:val="1"/>
              </w:rPr>
            </w:pPr>
            <w:r w:rsidDel="00000000" w:rsidR="00000000" w:rsidRPr="00000000">
              <w:rPr>
                <w:b w:val="1"/>
                <w:color w:val="ed7d31"/>
                <w:rtl w:val="0"/>
              </w:rPr>
              <w:t xml:space="preserve">EQ-1</w:t>
            </w:r>
            <w:r w:rsidDel="00000000" w:rsidR="00000000" w:rsidRPr="00000000">
              <w:rPr>
                <w:rtl w:val="0"/>
              </w:rPr>
            </w:r>
          </w:p>
        </w:tc>
      </w:tr>
    </w:tbl>
    <w:p w:rsidR="00000000" w:rsidDel="00000000" w:rsidP="00000000" w:rsidRDefault="00000000" w:rsidRPr="00000000" w14:paraId="00000011">
      <w:pPr>
        <w:jc w:val="both"/>
        <w:rPr>
          <w:sz w:val="10"/>
          <w:szCs w:val="10"/>
        </w:rPr>
      </w:pPr>
      <w:r w:rsidDel="00000000" w:rsidR="00000000" w:rsidRPr="00000000">
        <w:rPr>
          <w:rtl w:val="0"/>
        </w:rPr>
      </w:r>
    </w:p>
    <w:tbl>
      <w:tblPr>
        <w:tblStyle w:val="Table4"/>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vAlign w:val="center"/>
          </w:tcPr>
          <w:p w:rsidR="00000000" w:rsidDel="00000000" w:rsidP="00000000" w:rsidRDefault="00000000" w:rsidRPr="00000000" w14:paraId="00000012">
            <w:pPr>
              <w:rPr/>
            </w:pPr>
            <w:r w:rsidDel="00000000" w:rsidR="00000000" w:rsidRPr="00000000">
              <w:rPr>
                <w:rtl w:val="0"/>
              </w:rPr>
              <w:t xml:space="preserve">Ajout d’un système d’aiguillage permettant de changer de voie dans le cas où une voie est occupée.</w:t>
            </w:r>
          </w:p>
        </w:tc>
        <w:tc>
          <w:tcPr>
            <w:vAlign w:val="center"/>
          </w:tcPr>
          <w:p w:rsidR="00000000" w:rsidDel="00000000" w:rsidP="00000000" w:rsidRDefault="00000000" w:rsidRPr="00000000" w14:paraId="00000013">
            <w:pPr>
              <w:jc w:val="center"/>
              <w:rPr>
                <w:b w:val="1"/>
              </w:rPr>
            </w:pPr>
            <w:r w:rsidDel="00000000" w:rsidR="00000000" w:rsidRPr="00000000">
              <w:rPr>
                <w:b w:val="1"/>
                <w:color w:val="ed7d31"/>
                <w:rtl w:val="0"/>
              </w:rPr>
              <w:t xml:space="preserve">EQ-2</w:t>
            </w:r>
            <w:r w:rsidDel="00000000" w:rsidR="00000000" w:rsidRPr="00000000">
              <w:rPr>
                <w:rtl w:val="0"/>
              </w:rPr>
            </w:r>
          </w:p>
        </w:tc>
      </w:tr>
    </w:tbl>
    <w:p w:rsidR="00000000" w:rsidDel="00000000" w:rsidP="00000000" w:rsidRDefault="00000000" w:rsidRPr="00000000" w14:paraId="00000014">
      <w:pPr>
        <w:jc w:val="both"/>
        <w:rPr>
          <w:sz w:val="10"/>
          <w:szCs w:val="10"/>
        </w:rPr>
      </w:pPr>
      <w:r w:rsidDel="00000000" w:rsidR="00000000" w:rsidRPr="00000000">
        <w:rPr>
          <w:rtl w:val="0"/>
        </w:rPr>
      </w:r>
    </w:p>
    <w:tbl>
      <w:tblPr>
        <w:tblStyle w:val="Table5"/>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Ajout des bornes de contacts nous informant de la présence des trains sur une toute une ligne de convois</w:t>
            </w:r>
          </w:p>
        </w:tc>
        <w:tc>
          <w:tcPr>
            <w:vAlign w:val="center"/>
          </w:tcPr>
          <w:p w:rsidR="00000000" w:rsidDel="00000000" w:rsidP="00000000" w:rsidRDefault="00000000" w:rsidRPr="00000000" w14:paraId="00000016">
            <w:pPr>
              <w:jc w:val="center"/>
              <w:rPr>
                <w:b w:val="1"/>
              </w:rPr>
            </w:pPr>
            <w:r w:rsidDel="00000000" w:rsidR="00000000" w:rsidRPr="00000000">
              <w:rPr>
                <w:b w:val="1"/>
                <w:color w:val="ed7d31"/>
                <w:rtl w:val="0"/>
              </w:rPr>
              <w:t xml:space="preserve">EQ-3</w:t>
            </w:r>
            <w:r w:rsidDel="00000000" w:rsidR="00000000" w:rsidRPr="00000000">
              <w:rPr>
                <w:rtl w:val="0"/>
              </w:rPr>
            </w:r>
          </w:p>
        </w:tc>
      </w:tr>
    </w:tbl>
    <w:p w:rsidR="00000000" w:rsidDel="00000000" w:rsidP="00000000" w:rsidRDefault="00000000" w:rsidRPr="00000000" w14:paraId="00000017">
      <w:pPr>
        <w:jc w:val="both"/>
        <w:rPr>
          <w:sz w:val="10"/>
          <w:szCs w:val="10"/>
        </w:rPr>
      </w:pPr>
      <w:r w:rsidDel="00000000" w:rsidR="00000000" w:rsidRPr="00000000">
        <w:rPr>
          <w:rtl w:val="0"/>
        </w:rPr>
      </w:r>
    </w:p>
    <w:tbl>
      <w:tblPr>
        <w:tblStyle w:val="Table6"/>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18">
            <w:pPr>
              <w:rPr/>
            </w:pPr>
            <w:r w:rsidDel="00000000" w:rsidR="00000000" w:rsidRPr="00000000">
              <w:rPr>
                <w:rtl w:val="0"/>
              </w:rPr>
              <w:t xml:space="preserve">Assistance du Dispatching Central qui s’informe de l’état du système et des équipements et qui décidera du (futur) sens des convois. </w:t>
              <w:br w:type="textWrapping"/>
              <w:t xml:space="preserve">Il donnera ensuite des instructions à suivre aux conducteurs des trains.</w:t>
            </w:r>
          </w:p>
        </w:tc>
        <w:tc>
          <w:tcPr>
            <w:vAlign w:val="center"/>
          </w:tcPr>
          <w:p w:rsidR="00000000" w:rsidDel="00000000" w:rsidP="00000000" w:rsidRDefault="00000000" w:rsidRPr="00000000" w14:paraId="00000019">
            <w:pPr>
              <w:jc w:val="center"/>
              <w:rPr>
                <w:b w:val="1"/>
              </w:rPr>
            </w:pPr>
            <w:r w:rsidDel="00000000" w:rsidR="00000000" w:rsidRPr="00000000">
              <w:rPr>
                <w:b w:val="1"/>
                <w:color w:val="ed7d31"/>
                <w:rtl w:val="0"/>
              </w:rPr>
              <w:t xml:space="preserve">EQ-4</w:t>
            </w:r>
            <w:r w:rsidDel="00000000" w:rsidR="00000000" w:rsidRPr="00000000">
              <w:rPr>
                <w:rtl w:val="0"/>
              </w:rPr>
            </w:r>
          </w:p>
        </w:tc>
      </w:tr>
    </w:tbl>
    <w:p w:rsidR="00000000" w:rsidDel="00000000" w:rsidP="00000000" w:rsidRDefault="00000000" w:rsidRPr="00000000" w14:paraId="0000001A">
      <w:pPr>
        <w:jc w:val="both"/>
        <w:rPr>
          <w:sz w:val="10"/>
          <w:szCs w:val="10"/>
        </w:rPr>
      </w:pPr>
      <w:r w:rsidDel="00000000" w:rsidR="00000000" w:rsidRPr="00000000">
        <w:rPr>
          <w:rtl w:val="0"/>
        </w:rPr>
      </w:r>
    </w:p>
    <w:tbl>
      <w:tblPr>
        <w:tblStyle w:val="Table7"/>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t xml:space="preserve">Application du conducteur recevant les instructions du Dispatching Central lui indiquant l’état des équipements et du sens des convois. </w:t>
              <w:br w:type="textWrapping"/>
              <w:t xml:space="preserve">Toutefois, le chauffeur pourrait ne pas suivre ces instructions dans certains cas. (Dans le cas où le chauffeur serait distrait en recevant les instructions) </w:t>
            </w:r>
          </w:p>
        </w:tc>
        <w:tc>
          <w:tcPr>
            <w:vAlign w:val="center"/>
          </w:tcPr>
          <w:p w:rsidR="00000000" w:rsidDel="00000000" w:rsidP="00000000" w:rsidRDefault="00000000" w:rsidRPr="00000000" w14:paraId="0000001C">
            <w:pPr>
              <w:jc w:val="center"/>
              <w:rPr>
                <w:b w:val="1"/>
              </w:rPr>
            </w:pPr>
            <w:r w:rsidDel="00000000" w:rsidR="00000000" w:rsidRPr="00000000">
              <w:rPr>
                <w:b w:val="1"/>
                <w:color w:val="ed7d31"/>
                <w:rtl w:val="0"/>
              </w:rPr>
              <w:t xml:space="preserve">EQ-5</w:t>
            </w:r>
            <w:r w:rsidDel="00000000" w:rsidR="00000000" w:rsidRPr="00000000">
              <w:rPr>
                <w:rtl w:val="0"/>
              </w:rPr>
            </w:r>
          </w:p>
        </w:tc>
      </w:tr>
    </w:tbl>
    <w:p w:rsidR="00000000" w:rsidDel="00000000" w:rsidP="00000000" w:rsidRDefault="00000000" w:rsidRPr="00000000" w14:paraId="0000001D">
      <w:pPr>
        <w:jc w:val="both"/>
        <w:rPr>
          <w:sz w:val="10"/>
          <w:szCs w:val="10"/>
        </w:rPr>
      </w:pPr>
      <w:r w:rsidDel="00000000" w:rsidR="00000000" w:rsidRPr="00000000">
        <w:rPr>
          <w:rtl w:val="0"/>
        </w:rPr>
      </w:r>
    </w:p>
    <w:tbl>
      <w:tblPr>
        <w:tblStyle w:val="Table8"/>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Présence d’un système de freinage d’urgence. </w:t>
              <w:br w:type="textWrapping"/>
              <w:t xml:space="preserve">Dans le cas où deux trains arrivent en sens inverse. </w:t>
              <w:br w:type="textWrapping"/>
              <w:t xml:space="preserve">Puis, le Dispatching central demandera à l’un des deux trains d’effectuer une marche arrière. Une vérification  sera faite avant le départ de chaque train pour permettre une marche arrière. </w:t>
            </w:r>
          </w:p>
        </w:tc>
        <w:tc>
          <w:tcPr>
            <w:vAlign w:val="center"/>
          </w:tcPr>
          <w:p w:rsidR="00000000" w:rsidDel="00000000" w:rsidP="00000000" w:rsidRDefault="00000000" w:rsidRPr="00000000" w14:paraId="0000001F">
            <w:pPr>
              <w:jc w:val="center"/>
              <w:rPr>
                <w:b w:val="1"/>
              </w:rPr>
            </w:pPr>
            <w:r w:rsidDel="00000000" w:rsidR="00000000" w:rsidRPr="00000000">
              <w:rPr>
                <w:b w:val="1"/>
                <w:color w:val="ed7d31"/>
                <w:rtl w:val="0"/>
              </w:rPr>
              <w:t xml:space="preserve">EQ-6</w:t>
            </w:r>
            <w:r w:rsidDel="00000000" w:rsidR="00000000" w:rsidRPr="00000000">
              <w:rPr>
                <w:rtl w:val="0"/>
              </w:rPr>
            </w:r>
          </w:p>
        </w:tc>
      </w:tr>
    </w:tbl>
    <w:p w:rsidR="00000000" w:rsidDel="00000000" w:rsidP="00000000" w:rsidRDefault="00000000" w:rsidRPr="00000000" w14:paraId="00000020">
      <w:pPr>
        <w:jc w:val="both"/>
        <w:rPr>
          <w:sz w:val="10"/>
          <w:szCs w:val="10"/>
        </w:rPr>
      </w:pPr>
      <w:r w:rsidDel="00000000" w:rsidR="00000000" w:rsidRPr="00000000">
        <w:rPr>
          <w:rtl w:val="0"/>
        </w:rPr>
      </w:r>
    </w:p>
    <w:tbl>
      <w:tblPr>
        <w:tblStyle w:val="Table9"/>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Application du voyageur recevant les informations relatives à l’état du système tel que les feux de signalisation, la position des trains…</w:t>
            </w:r>
          </w:p>
        </w:tc>
        <w:tc>
          <w:tcPr>
            <w:vAlign w:val="center"/>
          </w:tcPr>
          <w:p w:rsidR="00000000" w:rsidDel="00000000" w:rsidP="00000000" w:rsidRDefault="00000000" w:rsidRPr="00000000" w14:paraId="00000022">
            <w:pPr>
              <w:jc w:val="center"/>
              <w:rPr>
                <w:b w:val="1"/>
              </w:rPr>
            </w:pPr>
            <w:r w:rsidDel="00000000" w:rsidR="00000000" w:rsidRPr="00000000">
              <w:rPr>
                <w:b w:val="1"/>
                <w:color w:val="ed7d31"/>
                <w:rtl w:val="0"/>
              </w:rPr>
              <w:t xml:space="preserve">EQ-7</w:t>
            </w:r>
            <w:r w:rsidDel="00000000" w:rsidR="00000000" w:rsidRPr="00000000">
              <w:rPr>
                <w:rtl w:val="0"/>
              </w:rPr>
            </w:r>
          </w:p>
        </w:tc>
      </w:tr>
    </w:tbl>
    <w:p w:rsidR="00000000" w:rsidDel="00000000" w:rsidP="00000000" w:rsidRDefault="00000000" w:rsidRPr="00000000" w14:paraId="00000023">
      <w:pPr>
        <w:jc w:val="both"/>
        <w:rPr>
          <w:sz w:val="10"/>
          <w:szCs w:val="10"/>
        </w:rPr>
      </w:pPr>
      <w:r w:rsidDel="00000000" w:rsidR="00000000" w:rsidRPr="00000000">
        <w:rPr>
          <w:rtl w:val="0"/>
        </w:rPr>
      </w:r>
    </w:p>
    <w:tbl>
      <w:tblPr>
        <w:tblStyle w:val="Table10"/>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3"/>
        <w:gridCol w:w="856"/>
        <w:tblGridChange w:id="0">
          <w:tblGrid>
            <w:gridCol w:w="7933"/>
            <w:gridCol w:w="856"/>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Application alertant le voyageur lorsqu’un train est en approche d’une gare.</w:t>
            </w:r>
          </w:p>
        </w:tc>
        <w:tc>
          <w:tcPr>
            <w:vAlign w:val="center"/>
          </w:tcPr>
          <w:p w:rsidR="00000000" w:rsidDel="00000000" w:rsidP="00000000" w:rsidRDefault="00000000" w:rsidRPr="00000000" w14:paraId="00000025">
            <w:pPr>
              <w:jc w:val="center"/>
              <w:rPr>
                <w:b w:val="1"/>
              </w:rPr>
            </w:pPr>
            <w:r w:rsidDel="00000000" w:rsidR="00000000" w:rsidRPr="00000000">
              <w:rPr>
                <w:b w:val="1"/>
                <w:color w:val="ed7d31"/>
                <w:rtl w:val="0"/>
              </w:rPr>
              <w:t xml:space="preserve">EQ-8</w:t>
            </w:r>
            <w:r w:rsidDel="00000000" w:rsidR="00000000" w:rsidRPr="00000000">
              <w:rPr>
                <w:rtl w:val="0"/>
              </w:rPr>
            </w:r>
          </w:p>
        </w:tc>
      </w:tr>
    </w:tbl>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Stratégie de raffinement </w:t>
      </w:r>
      <w:r w:rsidDel="00000000" w:rsidR="00000000" w:rsidRPr="00000000">
        <w:rPr>
          <w:sz w:val="24"/>
          <w:szCs w:val="24"/>
          <w:rtl w:val="0"/>
        </w:rPr>
        <w:t xml:space="preserve">(Reference Document)</w:t>
      </w:r>
      <w:r w:rsidDel="00000000" w:rsidR="00000000" w:rsidRPr="00000000">
        <w:rPr>
          <w:rtl w:val="0"/>
        </w:rPr>
        <w:t xml:space="preserve">: </w:t>
      </w:r>
    </w:p>
    <w:p w:rsidR="00000000" w:rsidDel="00000000" w:rsidP="00000000" w:rsidRDefault="00000000" w:rsidRPr="00000000" w14:paraId="00000028">
      <w:pPr>
        <w:jc w:val="both"/>
        <w:rPr>
          <w:u w:val="single"/>
        </w:rPr>
      </w:pPr>
      <w:r w:rsidDel="00000000" w:rsidR="00000000" w:rsidRPr="00000000">
        <w:rPr>
          <w:rtl w:val="0"/>
        </w:rPr>
        <w:t xml:space="preserve">Cette stratégie inclut les fonctionnalités et équipements définis dans le cahier de spécification pour que le modèle proposé se développe de manière compréhensible et concrète. Cette stratégie passe donc d’un modèle abstrait à un modèle plus concret.</w:t>
      </w:r>
      <w:r w:rsidDel="00000000" w:rsidR="00000000" w:rsidRPr="00000000">
        <w:rPr>
          <w:rtl w:val="0"/>
        </w:rPr>
      </w:r>
    </w:p>
    <w:p w:rsidR="00000000" w:rsidDel="00000000" w:rsidP="00000000" w:rsidRDefault="00000000" w:rsidRPr="00000000" w14:paraId="00000029">
      <w:pPr>
        <w:jc w:val="both"/>
        <w:rPr>
          <w:sz w:val="14"/>
          <w:szCs w:val="14"/>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Model initial : Transport de convois d’une gare à une autre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7030a0"/>
          <w:u w:val="single"/>
          <w:rtl w:val="0"/>
        </w:rPr>
        <w:t xml:space="preserve">1</w:t>
      </w:r>
      <w:r w:rsidDel="00000000" w:rsidR="00000000" w:rsidRPr="00000000">
        <w:rPr>
          <w:b w:val="1"/>
          <w:color w:val="7030a0"/>
          <w:u w:val="single"/>
          <w:vertAlign w:val="superscript"/>
          <w:rtl w:val="0"/>
        </w:rPr>
        <w:t xml:space="preserve">er</w:t>
      </w:r>
      <w:r w:rsidDel="00000000" w:rsidR="00000000" w:rsidRPr="00000000">
        <w:rPr>
          <w:b w:val="1"/>
          <w:color w:val="7030a0"/>
          <w:u w:val="single"/>
          <w:rtl w:val="0"/>
        </w:rPr>
        <w:t xml:space="preserve"> Raffinement</w:t>
      </w:r>
      <w:r w:rsidDel="00000000" w:rsidR="00000000" w:rsidRPr="00000000">
        <w:rPr>
          <w:color w:val="000000"/>
          <w:rtl w:val="0"/>
        </w:rPr>
        <w:t xml:space="preserve"> : Introduction des lignes de convois. (Les trains démarrent obligatoirement d’une gare principale.) avec </w:t>
      </w:r>
      <w:r w:rsidDel="00000000" w:rsidR="00000000" w:rsidRPr="00000000">
        <w:rPr>
          <w:b w:val="1"/>
          <w:color w:val="000000"/>
          <w:rtl w:val="0"/>
        </w:rPr>
        <w:t xml:space="preserve">FUN-1</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7030a0"/>
          <w:u w:val="single"/>
          <w:rtl w:val="0"/>
        </w:rPr>
        <w:t xml:space="preserve">2ème Raffinement</w:t>
      </w:r>
      <w:r w:rsidDel="00000000" w:rsidR="00000000" w:rsidRPr="00000000">
        <w:rPr>
          <w:color w:val="000000"/>
          <w:rtl w:val="0"/>
        </w:rPr>
        <w:t xml:space="preserve"> : Introduction de la voie unique parcouru dans les 2 sens lors du transport des trains avec </w:t>
      </w:r>
      <w:r w:rsidDel="00000000" w:rsidR="00000000" w:rsidRPr="00000000">
        <w:rPr>
          <w:b w:val="1"/>
          <w:color w:val="000000"/>
          <w:rtl w:val="0"/>
        </w:rPr>
        <w:t xml:space="preserve">FUN-2</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b w:val="1"/>
          <w:color w:val="7030a0"/>
          <w:u w:val="single"/>
          <w:rtl w:val="0"/>
        </w:rPr>
        <w:t xml:space="preserve">3ème Raffinement</w:t>
      </w:r>
      <w:r w:rsidDel="00000000" w:rsidR="00000000" w:rsidRPr="00000000">
        <w:rPr>
          <w:color w:val="000000"/>
          <w:rtl w:val="0"/>
        </w:rPr>
        <w:t xml:space="preserve"> : Introduction des équipements pour le réseau de transport. (Feux de signalisation, Système d’aiguillage, Borne de contact, Dispatching central) avec </w:t>
      </w:r>
      <w:r w:rsidDel="00000000" w:rsidR="00000000" w:rsidRPr="00000000">
        <w:rPr>
          <w:b w:val="1"/>
          <w:color w:val="000000"/>
          <w:rtl w:val="0"/>
        </w:rPr>
        <w:t xml:space="preserve">EQ-1, EQ-2, EQ-3, EQ-4</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b w:val="1"/>
          <w:color w:val="7030a0"/>
          <w:u w:val="single"/>
          <w:rtl w:val="0"/>
        </w:rPr>
        <w:t xml:space="preserve">4ème Raffinement </w:t>
      </w:r>
      <w:r w:rsidDel="00000000" w:rsidR="00000000" w:rsidRPr="00000000">
        <w:rPr>
          <w:color w:val="000000"/>
          <w:rtl w:val="0"/>
        </w:rPr>
        <w:t xml:space="preserve">: Introduction d’une application pour le conducteur recevant des instructions par le dispatching central avec </w:t>
      </w:r>
      <w:r w:rsidDel="00000000" w:rsidR="00000000" w:rsidRPr="00000000">
        <w:rPr>
          <w:b w:val="1"/>
          <w:color w:val="000000"/>
          <w:rtl w:val="0"/>
        </w:rPr>
        <w:t xml:space="preserve">EQ-5</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7030a0"/>
          <w:u w:val="single"/>
          <w:rtl w:val="0"/>
        </w:rPr>
        <w:t xml:space="preserve">5ème Raffinement</w:t>
      </w:r>
      <w:r w:rsidDel="00000000" w:rsidR="00000000" w:rsidRPr="00000000">
        <w:rPr>
          <w:color w:val="000000"/>
          <w:rtl w:val="0"/>
        </w:rPr>
        <w:t xml:space="preserve"> : Système de freinage manuel d’urgence par le conducteur avec </w:t>
      </w:r>
      <w:r w:rsidDel="00000000" w:rsidR="00000000" w:rsidRPr="00000000">
        <w:rPr>
          <w:b w:val="1"/>
          <w:color w:val="000000"/>
          <w:rtl w:val="0"/>
        </w:rPr>
        <w:t xml:space="preserve">EQ-6</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7030a0"/>
          <w:u w:val="single"/>
          <w:rtl w:val="0"/>
        </w:rPr>
        <w:t xml:space="preserve">6ème Raffinement</w:t>
      </w:r>
      <w:r w:rsidDel="00000000" w:rsidR="00000000" w:rsidRPr="00000000">
        <w:rPr>
          <w:color w:val="000000"/>
          <w:rtl w:val="0"/>
        </w:rPr>
        <w:t xml:space="preserve"> : Introduction des équipements pour le voyageur. (Application pour les voyageurs) avec </w:t>
      </w:r>
      <w:r w:rsidDel="00000000" w:rsidR="00000000" w:rsidRPr="00000000">
        <w:rPr>
          <w:b w:val="1"/>
          <w:color w:val="000000"/>
          <w:rtl w:val="0"/>
        </w:rPr>
        <w:t xml:space="preserve">EQ-7, EQ-8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Sébastien BAUDOUX - Younes BOUKHATEM - Reeckel DADZIE - Julien VAN PUYVELDE</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INFOB236 – Projet de Programmation-  Groupe 18                                                                   26 mars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b w:val="1"/>
      <w:sz w:val="48"/>
      <w:szCs w:val="48"/>
      <w:u w:val="single"/>
    </w:rPr>
  </w:style>
  <w:style w:type="paragraph" w:styleId="Heading2">
    <w:name w:val="heading 2"/>
    <w:basedOn w:val="Normal"/>
    <w:next w:val="Normal"/>
    <w:pPr>
      <w:keepNext w:val="1"/>
      <w:keepLines w:val="1"/>
      <w:spacing w:after="80" w:before="360" w:lineRule="auto"/>
    </w:pPr>
    <w:rPr>
      <w:b w:val="1"/>
      <w:color w:val="4472c4"/>
      <w:sz w:val="32"/>
      <w:szCs w:val="32"/>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4AA0"/>
  </w:style>
  <w:style w:type="paragraph" w:styleId="Titre1">
    <w:name w:val="heading 1"/>
    <w:basedOn w:val="Normal"/>
    <w:next w:val="Normal"/>
    <w:uiPriority w:val="9"/>
    <w:qFormat w:val="1"/>
    <w:rsid w:val="007A42DA"/>
    <w:pPr>
      <w:keepNext w:val="1"/>
      <w:keepLines w:val="1"/>
      <w:spacing w:after="120" w:before="240" w:line="240" w:lineRule="auto"/>
      <w:outlineLvl w:val="0"/>
    </w:pPr>
    <w:rPr>
      <w:b w:val="1"/>
      <w:sz w:val="48"/>
      <w:szCs w:val="48"/>
      <w:u w:val="single"/>
    </w:rPr>
  </w:style>
  <w:style w:type="paragraph" w:styleId="Titre2">
    <w:name w:val="heading 2"/>
    <w:basedOn w:val="Normal"/>
    <w:next w:val="Normal"/>
    <w:uiPriority w:val="9"/>
    <w:unhideWhenUsed w:val="1"/>
    <w:qFormat w:val="1"/>
    <w:rsid w:val="00647E30"/>
    <w:pPr>
      <w:keepNext w:val="1"/>
      <w:keepLines w:val="1"/>
      <w:spacing w:after="80" w:before="360"/>
      <w:outlineLvl w:val="1"/>
    </w:pPr>
    <w:rPr>
      <w:b w:val="1"/>
      <w:color w:val="4472c4" w:themeColor="accent1"/>
      <w:sz w:val="32"/>
      <w:szCs w:val="32"/>
      <w:u w:val="single"/>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Grilledutableau">
    <w:name w:val="Table Grid"/>
    <w:basedOn w:val="TableauNormal"/>
    <w:uiPriority w:val="39"/>
    <w:rsid w:val="00B61C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3C4347"/>
    <w:pPr>
      <w:ind w:left="720"/>
      <w:contextualSpacing w:val="1"/>
    </w:pPr>
  </w:style>
  <w:style w:type="paragraph" w:styleId="En-tte">
    <w:name w:val="header"/>
    <w:basedOn w:val="Normal"/>
    <w:link w:val="En-tteCar"/>
    <w:uiPriority w:val="99"/>
    <w:unhideWhenUsed w:val="1"/>
    <w:rsid w:val="00BB34C3"/>
    <w:pPr>
      <w:tabs>
        <w:tab w:val="center" w:pos="4536"/>
        <w:tab w:val="right" w:pos="9072"/>
      </w:tabs>
      <w:spacing w:after="0" w:line="240" w:lineRule="auto"/>
    </w:pPr>
  </w:style>
  <w:style w:type="character" w:styleId="En-tteCar" w:customStyle="1">
    <w:name w:val="En-tête Car"/>
    <w:basedOn w:val="Policepardfaut"/>
    <w:link w:val="En-tte"/>
    <w:uiPriority w:val="99"/>
    <w:rsid w:val="00BB34C3"/>
  </w:style>
  <w:style w:type="paragraph" w:styleId="Pieddepage">
    <w:name w:val="footer"/>
    <w:basedOn w:val="Normal"/>
    <w:link w:val="PieddepageCar"/>
    <w:uiPriority w:val="99"/>
    <w:unhideWhenUsed w:val="1"/>
    <w:rsid w:val="00BB34C3"/>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B34C3"/>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pPr>
      <w:spacing w:after="0" w:line="240" w:lineRule="auto"/>
    </w:pPr>
    <w:tblPr>
      <w:tblStyleRowBandSize w:val="1"/>
      <w:tblStyleColBandSize w:val="1"/>
      <w:tblCellMar>
        <w:left w:w="108.0" w:type="dxa"/>
        <w:right w:w="108.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QNHVe2SFkwjUEmB9+ULZeWMrEQ==">AMUW2mUZSQdFLA35h2zWNaO8+2VFaZ9Xc+ebrS1qHdgn+jdiRMZBcTOjwF71+qzRyLVrtPQBYaA7NHT8nDEGIbGstiQllNRHuBJrXv2V1iSTPSpuMuZj8BE=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2023-03-26T10:01:00Z</dcterms:created>
  <dc:creator>Younes BOUKHATEM</dc:creator>
</cp:coreProperties>
</file>