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C0450A"/>
          <w:sz w:val="64"/>
          <w:szCs w:val="64"/>
        </w:rPr>
        <w:t xml:space="preserve">NIFTY 50 DASHBOARD</w:t>
      </w:r>
    </w:p>
    <w:p>
      <w:pPr>
        <w:spacing w:after="120" w:before="0"/>
        <w:jc w:val="center"/>
      </w:pPr>
      <w:r>
        <w:rPr>
          <w:rFonts w:ascii="Arial" w:cs="Arial" w:eastAsia="Arial" w:hAnsi="Arial"/>
          <w:color w:val="1B3A5C"/>
          <w:sz w:val="36"/>
          <w:szCs w:val="36"/>
        </w:rPr>
        <w:t xml:space="preserve">Change Log &amp; Improvement Roadmap</w:t>
      </w:r>
    </w:p>
    <w:p>
      <w:pPr>
        <w:spacing w:after="40" w:before="40"/>
        <w:jc w:val="center"/>
      </w:pPr>
      <w:r>
        <w:rPr>
          <w:rFonts w:ascii="Arial" w:cs="Arial" w:eastAsia="Arial" w:hAnsi="Arial"/>
          <w:color w:val="DDDDDD"/>
          <w:sz w:val="24"/>
          <w:szCs w:val="24"/>
        </w:rPr>
        <w:t xml:space="preserve">————————————————————</w:t>
      </w:r>
    </w:p>
    <w:p>
      <w:pPr>
        <w:spacing w:after="1600" w:before="80"/>
        <w:jc w:val="center"/>
      </w:pPr>
      <w:r>
        <w:rPr>
          <w:rFonts w:ascii="Calibri" w:cs="Calibri" w:eastAsia="Calibri" w:hAnsi="Calibri"/>
          <w:i/>
          <w:iCs/>
          <w:color w:val="666666"/>
          <w:sz w:val="22"/>
          <w:szCs w:val="22"/>
        </w:rPr>
        <w:t xml:space="preserve">What exists today, what must change, why, and what it costs us to make or not make that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2280"/>
        <w:gridCol w:w="2280"/>
      </w:tblGrid>
      <w:tr>
        <w:tc>
          <w:tcPr>
            <w:tcW w:type="dxa" w:w="4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20"/>
                <w:szCs w:val="20"/>
              </w:rPr>
              <w:t xml:space="preserve">#</w:t>
            </w:r>
          </w:p>
        </w:tc>
        <w:tc>
          <w:tcPr>
            <w:tcW w:type="dxa" w:w="42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20"/>
                <w:szCs w:val="20"/>
              </w:rPr>
              <w:t xml:space="preserve">Change</w:t>
            </w:r>
          </w:p>
        </w:tc>
        <w:tc>
          <w:tcPr>
            <w:tcW w:type="dxa" w:w="228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20"/>
                <w:szCs w:val="20"/>
              </w:rPr>
              <w:t xml:space="preserve">Area</w:t>
            </w:r>
          </w:p>
        </w:tc>
        <w:tc>
          <w:tcPr>
            <w:tcW w:type="dxa" w:w="228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20"/>
                <w:szCs w:val="20"/>
              </w:rPr>
              <w:t xml:space="preserve">Priority</w:t>
            </w:r>
          </w:p>
        </w:tc>
      </w:tr>
      <w:tr>
        <w:tc>
          <w:tcPr>
            <w:tcW w:type="dxa" w:w="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b/>
                <w:bCs/>
                <w:color w:val="C0450A"/>
                <w:sz w:val="20"/>
                <w:szCs w:val="20"/>
              </w:rPr>
              <w:t xml:space="preserve">1</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EPS Detail — Show which adjustment is missing</w:t>
            </w:r>
          </w:p>
        </w:tc>
        <w:tc>
          <w:tcPr>
            <w:tcW w:type="dxa" w:w="228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555555"/>
                <w:sz w:val="20"/>
                <w:szCs w:val="20"/>
              </w:rPr>
              <w:t xml:space="preserve">Data Quality</w:t>
            </w:r>
          </w:p>
        </w:tc>
        <w:tc>
          <w:tcPr>
            <w:tcW w:type="dxa" w:w="2280"/>
            <w:tcBorders>
              <w:top w:val="single" w:color="CCCCCC" w:sz="1"/>
              <w:left w:val="single" w:color="CCCCCC" w:sz="1"/>
              <w:bottom w:val="single" w:color="CCCCCC" w:sz="1"/>
              <w:right w:val="single" w:color="CCCCCC" w:sz="1"/>
            </w:tcBorders>
            <w:shd w:fill="E8F5E9" w:val="clear"/>
            <w:tcMar>
              <w:top w:type="dxa" w:w="70"/>
              <w:left w:type="dxa" w:w="120"/>
              <w:bottom w:type="dxa" w:w="70"/>
              <w:right w:type="dxa" w:w="80"/>
            </w:tcMar>
          </w:tcPr>
          <w:p>
            <w:r>
              <w:rPr>
                <w:rFonts w:ascii="Calibri" w:cs="Calibri" w:eastAsia="Calibri" w:hAnsi="Calibri"/>
                <w:b/>
                <w:bCs/>
                <w:color w:val="145A32"/>
                <w:sz w:val="20"/>
                <w:szCs w:val="20"/>
              </w:rPr>
              <w:t xml:space="preserve">Do Now</w:t>
            </w:r>
          </w:p>
        </w:tc>
      </w:tr>
      <w:tr>
        <w:tc>
          <w:tcPr>
            <w:tcW w:type="dxa" w:w="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b/>
                <w:bCs/>
                <w:color w:val="C0450A"/>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1M Momentum → 12M Momentum (excl. last month)</w:t>
            </w:r>
          </w:p>
        </w:tc>
        <w:tc>
          <w:tcPr>
            <w:tcW w:type="dxa" w:w="22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555555"/>
                <w:sz w:val="20"/>
                <w:szCs w:val="20"/>
              </w:rPr>
              <w:t xml:space="preserve">Scoring Model</w:t>
            </w:r>
          </w:p>
        </w:tc>
        <w:tc>
          <w:tcPr>
            <w:tcW w:type="dxa" w:w="2280"/>
            <w:tcBorders>
              <w:top w:val="single" w:color="CCCCCC" w:sz="1"/>
              <w:left w:val="single" w:color="CCCCCC" w:sz="1"/>
              <w:bottom w:val="single" w:color="CCCCCC" w:sz="1"/>
              <w:right w:val="single" w:color="CCCCCC" w:sz="1"/>
            </w:tcBorders>
            <w:shd w:fill="E8F5E9" w:val="clear"/>
            <w:tcMar>
              <w:top w:type="dxa" w:w="70"/>
              <w:left w:type="dxa" w:w="120"/>
              <w:bottom w:type="dxa" w:w="70"/>
              <w:right w:type="dxa" w:w="80"/>
            </w:tcMar>
          </w:tcPr>
          <w:p>
            <w:r>
              <w:rPr>
                <w:rFonts w:ascii="Calibri" w:cs="Calibri" w:eastAsia="Calibri" w:hAnsi="Calibri"/>
                <w:b/>
                <w:bCs/>
                <w:color w:val="145A32"/>
                <w:sz w:val="20"/>
                <w:szCs w:val="20"/>
              </w:rPr>
              <w:t xml:space="preserve">Do Now</w:t>
            </w:r>
          </w:p>
        </w:tc>
      </w:tr>
      <w:tr>
        <w:tc>
          <w:tcPr>
            <w:tcW w:type="dxa" w:w="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b/>
                <w:bCs/>
                <w:color w:val="C0450A"/>
                <w:sz w:val="20"/>
                <w:szCs w:val="20"/>
              </w:rPr>
              <w:t xml:space="preserve">3</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Add ⚠ divergence → Yahoo news deep-link</w:t>
            </w:r>
          </w:p>
        </w:tc>
        <w:tc>
          <w:tcPr>
            <w:tcW w:type="dxa" w:w="228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555555"/>
                <w:sz w:val="20"/>
                <w:szCs w:val="20"/>
              </w:rPr>
              <w:t xml:space="preserve">Dashboard UX</w:t>
            </w:r>
          </w:p>
        </w:tc>
        <w:tc>
          <w:tcPr>
            <w:tcW w:type="dxa" w:w="2280"/>
            <w:tcBorders>
              <w:top w:val="single" w:color="CCCCCC" w:sz="1"/>
              <w:left w:val="single" w:color="CCCCCC" w:sz="1"/>
              <w:bottom w:val="single" w:color="CCCCCC" w:sz="1"/>
              <w:right w:val="single" w:color="CCCCCC" w:sz="1"/>
            </w:tcBorders>
            <w:shd w:fill="E8F5E9" w:val="clear"/>
            <w:tcMar>
              <w:top w:type="dxa" w:w="70"/>
              <w:left w:type="dxa" w:w="120"/>
              <w:bottom w:type="dxa" w:w="70"/>
              <w:right w:type="dxa" w:w="80"/>
            </w:tcMar>
          </w:tcPr>
          <w:p>
            <w:r>
              <w:rPr>
                <w:rFonts w:ascii="Calibri" w:cs="Calibri" w:eastAsia="Calibri" w:hAnsi="Calibri"/>
                <w:b/>
                <w:bCs/>
                <w:color w:val="145A32"/>
                <w:sz w:val="20"/>
                <w:szCs w:val="20"/>
              </w:rPr>
              <w:t xml:space="preserve">Do Now</w:t>
            </w:r>
          </w:p>
        </w:tc>
      </w:tr>
      <w:tr>
        <w:tc>
          <w:tcPr>
            <w:tcW w:type="dxa" w:w="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b/>
                <w:bCs/>
                <w:color w:val="C0450A"/>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Add ROE trend (direction, not just level)</w:t>
            </w:r>
          </w:p>
        </w:tc>
        <w:tc>
          <w:tcPr>
            <w:tcW w:type="dxa" w:w="22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555555"/>
                <w:sz w:val="20"/>
                <w:szCs w:val="20"/>
              </w:rPr>
              <w:t xml:space="preserve">Scoring Model</w:t>
            </w:r>
          </w:p>
        </w:tc>
        <w:tc>
          <w:tcPr>
            <w:tcW w:type="dxa" w:w="2280"/>
            <w:tcBorders>
              <w:top w:val="single" w:color="CCCCCC" w:sz="1"/>
              <w:left w:val="single" w:color="CCCCCC" w:sz="1"/>
              <w:bottom w:val="single" w:color="CCCCCC" w:sz="1"/>
              <w:right w:val="single" w:color="CCCCCC" w:sz="1"/>
            </w:tcBorders>
            <w:shd w:fill="FFF8E7" w:val="clear"/>
            <w:tcMar>
              <w:top w:type="dxa" w:w="70"/>
              <w:left w:type="dxa" w:w="120"/>
              <w:bottom w:type="dxa" w:w="70"/>
              <w:right w:type="dxa" w:w="80"/>
            </w:tcMar>
          </w:tcPr>
          <w:p>
            <w:r>
              <w:rPr>
                <w:rFonts w:ascii="Calibri" w:cs="Calibri" w:eastAsia="Calibri" w:hAnsi="Calibri"/>
                <w:b/>
                <w:bCs/>
                <w:color w:val="8B6000"/>
                <w:sz w:val="20"/>
                <w:szCs w:val="20"/>
              </w:rPr>
              <w:t xml:space="preserve">Next Quarter</w:t>
            </w:r>
          </w:p>
        </w:tc>
      </w:tr>
      <w:tr>
        <w:tc>
          <w:tcPr>
            <w:tcW w:type="dxa" w:w="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b/>
                <w:bCs/>
                <w:color w:val="C0450A"/>
                <w:sz w:val="20"/>
                <w:szCs w:val="20"/>
              </w:rPr>
              <w:t xml:space="preserve">5</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Add FCF per share as display field (not scored)</w:t>
            </w:r>
          </w:p>
        </w:tc>
        <w:tc>
          <w:tcPr>
            <w:tcW w:type="dxa" w:w="228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555555"/>
                <w:sz w:val="20"/>
                <w:szCs w:val="20"/>
              </w:rPr>
              <w:t xml:space="preserve">Data Display</w:t>
            </w:r>
          </w:p>
        </w:tc>
        <w:tc>
          <w:tcPr>
            <w:tcW w:type="dxa" w:w="2280"/>
            <w:tcBorders>
              <w:top w:val="single" w:color="CCCCCC" w:sz="1"/>
              <w:left w:val="single" w:color="CCCCCC" w:sz="1"/>
              <w:bottom w:val="single" w:color="CCCCCC" w:sz="1"/>
              <w:right w:val="single" w:color="CCCCCC" w:sz="1"/>
            </w:tcBorders>
            <w:shd w:fill="FFF8E7" w:val="clear"/>
            <w:tcMar>
              <w:top w:type="dxa" w:w="70"/>
              <w:left w:type="dxa" w:w="120"/>
              <w:bottom w:type="dxa" w:w="70"/>
              <w:right w:type="dxa" w:w="80"/>
            </w:tcMar>
          </w:tcPr>
          <w:p>
            <w:r>
              <w:rPr>
                <w:rFonts w:ascii="Calibri" w:cs="Calibri" w:eastAsia="Calibri" w:hAnsi="Calibri"/>
                <w:b/>
                <w:bCs/>
                <w:color w:val="8B6000"/>
                <w:sz w:val="20"/>
                <w:szCs w:val="20"/>
              </w:rPr>
              <w:t xml:space="preserve">Next Quarter</w:t>
            </w:r>
          </w:p>
        </w:tc>
      </w:tr>
      <w:tr>
        <w:tc>
          <w:tcPr>
            <w:tcW w:type="dxa" w:w="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b/>
                <w:bCs/>
                <w:color w:val="C0450A"/>
                <w:sz w:val="20"/>
                <w:szCs w:val="20"/>
              </w:rPr>
              <w:t xml:space="preserve">6</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Replace D/E+ICR combined for non-banks</w:t>
            </w:r>
          </w:p>
        </w:tc>
        <w:tc>
          <w:tcPr>
            <w:tcW w:type="dxa" w:w="22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555555"/>
                <w:sz w:val="20"/>
                <w:szCs w:val="20"/>
              </w:rPr>
              <w:t xml:space="preserve">Scoring Model</w:t>
            </w:r>
          </w:p>
        </w:tc>
        <w:tc>
          <w:tcPr>
            <w:tcW w:type="dxa" w:w="2280"/>
            <w:tcBorders>
              <w:top w:val="single" w:color="CCCCCC" w:sz="1"/>
              <w:left w:val="single" w:color="CCCCCC" w:sz="1"/>
              <w:bottom w:val="single" w:color="CCCCCC" w:sz="1"/>
              <w:right w:val="single" w:color="CCCCCC" w:sz="1"/>
            </w:tcBorders>
            <w:shd w:fill="FFF8E7" w:val="clear"/>
            <w:tcMar>
              <w:top w:type="dxa" w:w="70"/>
              <w:left w:type="dxa" w:w="120"/>
              <w:bottom w:type="dxa" w:w="70"/>
              <w:right w:type="dxa" w:w="80"/>
            </w:tcMar>
          </w:tcPr>
          <w:p>
            <w:r>
              <w:rPr>
                <w:rFonts w:ascii="Calibri" w:cs="Calibri" w:eastAsia="Calibri" w:hAnsi="Calibri"/>
                <w:b/>
                <w:bCs/>
                <w:color w:val="8B6000"/>
                <w:sz w:val="20"/>
                <w:szCs w:val="20"/>
              </w:rPr>
              <w:t xml:space="preserve">Next Quarter</w:t>
            </w:r>
          </w:p>
        </w:tc>
      </w:tr>
      <w:tr>
        <w:tc>
          <w:tcPr>
            <w:tcW w:type="dxa" w:w="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b/>
                <w:bCs/>
                <w:color w:val="C0450A"/>
                <w:sz w:val="20"/>
                <w:szCs w:val="20"/>
              </w:rPr>
              <w:t xml:space="preserve">7</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Add bank-specific metrics (CASA / NIM)</w:t>
            </w:r>
          </w:p>
        </w:tc>
        <w:tc>
          <w:tcPr>
            <w:tcW w:type="dxa" w:w="228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555555"/>
                <w:sz w:val="20"/>
                <w:szCs w:val="20"/>
              </w:rPr>
              <w:t xml:space="preserve">Scoring Model</w:t>
            </w:r>
          </w:p>
        </w:tc>
        <w:tc>
          <w:tcPr>
            <w:tcW w:type="dxa" w:w="2280"/>
            <w:tcBorders>
              <w:top w:val="single" w:color="CCCCCC" w:sz="1"/>
              <w:left w:val="single" w:color="CCCCCC" w:sz="1"/>
              <w:bottom w:val="single" w:color="CCCCCC" w:sz="1"/>
              <w:right w:val="single" w:color="CCCCCC" w:sz="1"/>
            </w:tcBorders>
            <w:shd w:fill="FFF8E7" w:val="clear"/>
            <w:tcMar>
              <w:top w:type="dxa" w:w="70"/>
              <w:left w:type="dxa" w:w="120"/>
              <w:bottom w:type="dxa" w:w="70"/>
              <w:right w:type="dxa" w:w="80"/>
            </w:tcMar>
          </w:tcPr>
          <w:p>
            <w:r>
              <w:rPr>
                <w:rFonts w:ascii="Calibri" w:cs="Calibri" w:eastAsia="Calibri" w:hAnsi="Calibri"/>
                <w:b/>
                <w:bCs/>
                <w:color w:val="8B6000"/>
                <w:sz w:val="20"/>
                <w:szCs w:val="20"/>
              </w:rPr>
              <w:t xml:space="preserve">Next Quarter</w:t>
            </w:r>
          </w:p>
        </w:tc>
      </w:tr>
      <w:tr>
        <w:tc>
          <w:tcPr>
            <w:tcW w:type="dxa" w:w="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b/>
                <w:bCs/>
                <w:color w:val="C0450A"/>
                <w:sz w:val="20"/>
                <w:szCs w:val="20"/>
              </w:rPr>
              <w:t xml:space="preserve">8</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Add Technical Analysis reference tab</w:t>
            </w:r>
          </w:p>
        </w:tc>
        <w:tc>
          <w:tcPr>
            <w:tcW w:type="dxa" w:w="22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555555"/>
                <w:sz w:val="20"/>
                <w:szCs w:val="20"/>
              </w:rPr>
              <w:t xml:space="preserve">New Tab</w:t>
            </w:r>
          </w:p>
        </w:tc>
        <w:tc>
          <w:tcPr>
            <w:tcW w:type="dxa" w:w="2280"/>
            <w:tcBorders>
              <w:top w:val="single" w:color="CCCCCC" w:sz="1"/>
              <w:left w:val="single" w:color="CCCCCC" w:sz="1"/>
              <w:bottom w:val="single" w:color="CCCCCC" w:sz="1"/>
              <w:right w:val="single" w:color="CCCCCC" w:sz="1"/>
            </w:tcBorders>
            <w:shd w:fill="F0F0FF" w:val="clear"/>
            <w:tcMar>
              <w:top w:type="dxa" w:w="70"/>
              <w:left w:type="dxa" w:w="120"/>
              <w:bottom w:type="dxa" w:w="70"/>
              <w:right w:type="dxa" w:w="80"/>
            </w:tcMar>
          </w:tcPr>
          <w:p>
            <w:r>
              <w:rPr>
                <w:rFonts w:ascii="Calibri" w:cs="Calibri" w:eastAsia="Calibri" w:hAnsi="Calibri"/>
                <w:b/>
                <w:bCs/>
                <w:color w:val="444488"/>
                <w:sz w:val="20"/>
                <w:szCs w:val="20"/>
              </w:rPr>
              <w:t xml:space="preserve">Future</w:t>
            </w:r>
          </w:p>
        </w:tc>
      </w:tr>
      <w:tr>
        <w:tc>
          <w:tcPr>
            <w:tcW w:type="dxa" w:w="6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b/>
                <w:bCs/>
                <w:color w:val="C0450A"/>
                <w:sz w:val="20"/>
                <w:szCs w:val="20"/>
              </w:rPr>
              <w:t xml:space="preserve">9</w:t>
            </w:r>
          </w:p>
        </w:tc>
        <w:tc>
          <w:tcPr>
            <w:tcW w:type="dxa" w:w="42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Add News &amp; Events tab (Yahoo RSS per ticker)</w:t>
            </w:r>
          </w:p>
        </w:tc>
        <w:tc>
          <w:tcPr>
            <w:tcW w:type="dxa" w:w="228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555555"/>
                <w:sz w:val="20"/>
                <w:szCs w:val="20"/>
              </w:rPr>
              <w:t xml:space="preserve">New Tab</w:t>
            </w:r>
          </w:p>
        </w:tc>
        <w:tc>
          <w:tcPr>
            <w:tcW w:type="dxa" w:w="2280"/>
            <w:tcBorders>
              <w:top w:val="single" w:color="CCCCCC" w:sz="1"/>
              <w:left w:val="single" w:color="CCCCCC" w:sz="1"/>
              <w:bottom w:val="single" w:color="CCCCCC" w:sz="1"/>
              <w:right w:val="single" w:color="CCCCCC" w:sz="1"/>
            </w:tcBorders>
            <w:shd w:fill="F0F0FF" w:val="clear"/>
            <w:tcMar>
              <w:top w:type="dxa" w:w="70"/>
              <w:left w:type="dxa" w:w="120"/>
              <w:bottom w:type="dxa" w:w="70"/>
              <w:right w:type="dxa" w:w="80"/>
            </w:tcMar>
          </w:tcPr>
          <w:p>
            <w:r>
              <w:rPr>
                <w:rFonts w:ascii="Calibri" w:cs="Calibri" w:eastAsia="Calibri" w:hAnsi="Calibri"/>
                <w:b/>
                <w:bCs/>
                <w:color w:val="444488"/>
                <w:sz w:val="20"/>
                <w:szCs w:val="20"/>
              </w:rPr>
              <w:t xml:space="preserve">Future</w:t>
            </w:r>
          </w:p>
        </w:tc>
      </w:tr>
      <w:tr>
        <w:tc>
          <w:tcPr>
            <w:tcW w:type="dxa" w:w="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b/>
                <w:bCs/>
                <w:color w:val="C0450A"/>
                <w:sz w:val="20"/>
                <w:szCs w:val="20"/>
              </w:rPr>
              <w:t xml:space="preserve">10</w:t>
            </w:r>
          </w:p>
        </w:tc>
        <w:tc>
          <w:tcPr>
            <w:tcW w:type="dxa" w:w="4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Add ESG / Regulatory Policy reference tab</w:t>
            </w:r>
          </w:p>
        </w:tc>
        <w:tc>
          <w:tcPr>
            <w:tcW w:type="dxa" w:w="22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555555"/>
                <w:sz w:val="20"/>
                <w:szCs w:val="20"/>
              </w:rPr>
              <w:t xml:space="preserve">New Tab</w:t>
            </w:r>
          </w:p>
        </w:tc>
        <w:tc>
          <w:tcPr>
            <w:tcW w:type="dxa" w:w="2280"/>
            <w:tcBorders>
              <w:top w:val="single" w:color="CCCCCC" w:sz="1"/>
              <w:left w:val="single" w:color="CCCCCC" w:sz="1"/>
              <w:bottom w:val="single" w:color="CCCCCC" w:sz="1"/>
              <w:right w:val="single" w:color="CCCCCC" w:sz="1"/>
            </w:tcBorders>
            <w:shd w:fill="F0F0FF" w:val="clear"/>
            <w:tcMar>
              <w:top w:type="dxa" w:w="70"/>
              <w:left w:type="dxa" w:w="120"/>
              <w:bottom w:type="dxa" w:w="70"/>
              <w:right w:type="dxa" w:w="80"/>
            </w:tcMar>
          </w:tcPr>
          <w:p>
            <w:r>
              <w:rPr>
                <w:rFonts w:ascii="Calibri" w:cs="Calibri" w:eastAsia="Calibri" w:hAnsi="Calibri"/>
                <w:b/>
                <w:bCs/>
                <w:color w:val="444488"/>
                <w:sz w:val="20"/>
                <w:szCs w:val="20"/>
              </w:rPr>
              <w:t xml:space="preserve">Future</w:t>
            </w:r>
          </w:p>
        </w:tc>
      </w:tr>
    </w:tbl>
    <w:p>
      <w:pPr>
        <w:spacing w:after="280" w:before="0"/>
      </w:pPr>
    </w:p>
    <w:p>
      <w:pPr>
        <w:spacing w:after="280" w:before="0"/>
      </w:pPr>
    </w:p>
    <w:p>
      <w:pPr>
        <w:pageBreakBefore/>
      </w:pPr>
    </w:p>
    <w:p>
      <w:pPr>
        <w:pStyle w:val="Heading1"/>
        <w:spacing w:after="140" w:before="360"/>
      </w:pPr>
      <w:r>
        <w:rPr>
          <w:rFonts w:ascii="Arial" w:cs="Arial" w:eastAsia="Arial" w:hAnsi="Arial"/>
          <w:b/>
          <w:bCs/>
          <w:color w:val="C0450A"/>
          <w:sz w:val="34"/>
          <w:szCs w:val="34"/>
        </w:rPr>
        <w:t xml:space="preserve">Section A — Do Now (Low effort, high value)</w:t>
      </w:r>
    </w:p>
    <w:p>
      <w:pPr>
        <w:spacing w:after="160" w:before="0"/>
      </w:pPr>
      <w:r>
        <w:rPr>
          <w:rFonts w:ascii="Calibri" w:cs="Calibri" w:eastAsia="Calibri" w:hAnsi="Calibri"/>
          <w:color w:val="1A1A1A"/>
          <w:sz w:val="22"/>
          <w:szCs w:val="22"/>
        </w:rPr>
        <w:t xml:space="preserve">These three changes require only small edits to existing code. Each solves a clear, identified problem.</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1  </w:t>
            </w:r>
            <w:r>
              <w:rPr>
                <w:rFonts w:ascii="Arial" w:cs="Arial" w:eastAsia="Arial" w:hAnsi="Arial"/>
                <w:b/>
                <w:bCs/>
                <w:color w:val="FFFFFF"/>
                <w:sz w:val="22"/>
                <w:szCs w:val="22"/>
              </w:rPr>
              <w:t xml:space="preserve">EPS Detail — Show Which Adjustment Is Missing</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The dashboard shows one of three labels per stock: </w:t>
            </w:r>
            <w:r>
              <w:rPr>
                <w:rFonts w:ascii="Calibri" w:cs="Calibri" w:eastAsia="Calibri" w:hAnsi="Calibri"/>
                <w:b/>
                <w:bCs/>
                <w:color w:val="1A1A1A"/>
                <w:sz w:val="21"/>
                <w:szCs w:val="21"/>
              </w:rPr>
              <w:t xml:space="preserve">CLEAN</w:t>
            </w:r>
            <w:r>
              <w:rPr>
                <w:rFonts w:ascii="Calibri" w:cs="Calibri" w:eastAsia="Calibri" w:hAnsi="Calibri"/>
                <w:color w:val="1A1A1A"/>
                <w:sz w:val="21"/>
                <w:szCs w:val="21"/>
              </w:rPr>
              <w:t xml:space="preserve">, </w:t>
            </w:r>
            <w:r>
              <w:rPr>
                <w:rFonts w:ascii="Calibri" w:cs="Calibri" w:eastAsia="Calibri" w:hAnsi="Calibri"/>
                <w:b/>
                <w:bCs/>
                <w:color w:val="1A1A1A"/>
                <w:sz w:val="21"/>
                <w:szCs w:val="21"/>
              </w:rPr>
              <w:t xml:space="preserve">PARTIAL</w:t>
            </w:r>
            <w:r>
              <w:rPr>
                <w:rFonts w:ascii="Calibri" w:cs="Calibri" w:eastAsia="Calibri" w:hAnsi="Calibri"/>
                <w:color w:val="1A1A1A"/>
                <w:sz w:val="21"/>
                <w:szCs w:val="21"/>
              </w:rPr>
              <w:t xml:space="preserve">, or </w:t>
            </w:r>
            <w:r>
              <w:rPr>
                <w:rFonts w:ascii="Calibri" w:cs="Calibri" w:eastAsia="Calibri" w:hAnsi="Calibri"/>
                <w:b/>
                <w:bCs/>
                <w:color w:val="1A1A1A"/>
                <w:sz w:val="21"/>
                <w:szCs w:val="21"/>
              </w:rPr>
              <w:t xml:space="preserve">UNVERIFIED</w:t>
            </w:r>
            <w:r>
              <w:rPr>
                <w:rFonts w:ascii="Calibri" w:cs="Calibri" w:eastAsia="Calibri" w:hAnsi="Calibri"/>
                <w:color w:val="1A1A1A"/>
                <w:sz w:val="21"/>
                <w:szCs w:val="21"/>
              </w:rPr>
              <w:t xml:space="preserve">.</w:t>
            </w:r>
          </w:p>
          <w:p>
            <w:pPr>
              <w:spacing w:after="80" w:before="40"/>
            </w:pPr>
            <w:r>
              <w:rPr>
                <w:rFonts w:ascii="Calibri" w:cs="Calibri" w:eastAsia="Calibri" w:hAnsi="Calibri"/>
                <w:color w:val="1A1A1A"/>
                <w:sz w:val="21"/>
                <w:szCs w:val="21"/>
              </w:rPr>
              <w:t xml:space="preserve">In fetch_data.py, the code already tracks two separate booleans: exc_any (whether exceptional items were found) and min_any (whether minority interest was found). This detail exists in the Python code but is never passed to nifty_data.json or rendered on screen.</w:t>
            </w:r>
          </w:p>
          <w:p>
            <w:pPr>
              <w:spacing w:after="80" w:before="40"/>
            </w:pPr>
            <w:r>
              <w:rPr>
                <w:rFonts w:ascii="Calibri" w:cs="Calibri" w:eastAsia="Calibri" w:hAnsi="Calibri"/>
                <w:color w:val="1A1A1A"/>
                <w:sz w:val="21"/>
                <w:szCs w:val="21"/>
              </w:rPr>
              <w:t xml:space="preserve">So when you see PARTIAL, you have no idea </w:t>
            </w:r>
            <w:r>
              <w:rPr>
                <w:rFonts w:ascii="Calibri" w:cs="Calibri" w:eastAsia="Calibri" w:hAnsi="Calibri"/>
                <w:i/>
                <w:iCs/>
                <w:color w:val="555555"/>
                <w:sz w:val="21"/>
                <w:szCs w:val="21"/>
              </w:rPr>
              <w:t xml:space="preserve">which</w:t>
            </w:r>
            <w:r>
              <w:rPr>
                <w:rFonts w:ascii="Calibri" w:cs="Calibri" w:eastAsia="Calibri" w:hAnsi="Calibri"/>
                <w:color w:val="1A1A1A"/>
                <w:sz w:val="21"/>
                <w:szCs w:val="21"/>
              </w:rPr>
              <w:t xml:space="preserve"> of the two adjustments was applied and which is missing.</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In fetch_data.py: add two fields to the result JSON for each stock: </w:t>
            </w:r>
            <w:r>
              <w:rPr>
                <w:rFonts w:ascii="Calibri" w:cs="Calibri" w:eastAsia="Calibri" w:hAnsi="Calibri"/>
                <w:b/>
                <w:bCs/>
                <w:color w:val="1A1A1A"/>
                <w:sz w:val="21"/>
                <w:szCs w:val="21"/>
              </w:rPr>
              <w:t xml:space="preserve">"exc_adjusted": true/false</w:t>
            </w:r>
            <w:r>
              <w:rPr>
                <w:rFonts w:ascii="Calibri" w:cs="Calibri" w:eastAsia="Calibri" w:hAnsi="Calibri"/>
                <w:color w:val="1A1A1A"/>
                <w:sz w:val="21"/>
                <w:szCs w:val="21"/>
              </w:rPr>
              <w:t xml:space="preserve"> and </w:t>
            </w:r>
            <w:r>
              <w:rPr>
                <w:rFonts w:ascii="Calibri" w:cs="Calibri" w:eastAsia="Calibri" w:hAnsi="Calibri"/>
                <w:b/>
                <w:bCs/>
                <w:color w:val="1A1A1A"/>
                <w:sz w:val="21"/>
                <w:szCs w:val="21"/>
              </w:rPr>
              <w:t xml:space="preserve">"min_adjusted": true/false</w:t>
            </w:r>
            <w:r>
              <w:rPr>
                <w:rFonts w:ascii="Calibri" w:cs="Calibri" w:eastAsia="Calibri" w:hAnsi="Calibri"/>
                <w:color w:val="1A1A1A"/>
                <w:sz w:val="21"/>
                <w:szCs w:val="21"/>
              </w:rPr>
              <w:t xml:space="preserve">.</w:t>
            </w:r>
          </w:p>
          <w:p>
            <w:pPr>
              <w:spacing w:after="80" w:before="40"/>
            </w:pPr>
            <w:r>
              <w:rPr>
                <w:rFonts w:ascii="Calibri" w:cs="Calibri" w:eastAsia="Calibri" w:hAnsi="Calibri"/>
                <w:color w:val="1A1A1A"/>
                <w:sz w:val="21"/>
                <w:szCs w:val="21"/>
              </w:rPr>
              <w:t xml:space="preserve">In dashboard.html: in the expanded row of each stock, replace the single EPS Quality chip with two separate lines:</w:t>
            </w:r>
          </w:p>
          <w:p>
            <w:pPr>
              <w:spacing w:after="80" w:before="40"/>
            </w:pPr>
            <w:r>
              <w:rPr>
                <w:rFonts w:ascii="Calibri" w:cs="Calibri" w:eastAsia="Calibri" w:hAnsi="Calibri"/>
                <w:color w:val="1A1A1A"/>
                <w:sz w:val="21"/>
                <w:szCs w:val="21"/>
              </w:rPr>
              <w:t xml:space="preserve">Exceptional Items: ✅ Adjusted  OR  ❌ Not found in Yahoo data</w:t>
            </w:r>
          </w:p>
          <w:p>
            <w:pPr>
              <w:spacing w:after="80" w:before="40"/>
            </w:pPr>
            <w:r>
              <w:rPr>
                <w:rFonts w:ascii="Calibri" w:cs="Calibri" w:eastAsia="Calibri" w:hAnsi="Calibri"/>
                <w:color w:val="1A1A1A"/>
                <w:sz w:val="21"/>
                <w:szCs w:val="21"/>
              </w:rPr>
              <w:t xml:space="preserve">Minority Interest: ✅ Adjusted  OR  ❌ Not found in Yahoo data</w:t>
            </w:r>
          </w:p>
          <w:p>
            <w:pPr>
              <w:spacing w:after="80" w:before="40"/>
            </w:pPr>
            <w:r>
              <w:rPr>
                <w:rFonts w:ascii="Calibri" w:cs="Calibri" w:eastAsia="Calibri" w:hAnsi="Calibri"/>
                <w:color w:val="1A1A1A"/>
                <w:sz w:val="21"/>
                <w:szCs w:val="21"/>
              </w:rPr>
              <w:t xml:space="preserve">This is a 15-minute code change. All the data is already being computed — it just needs to be surfaced.</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PARTIAL currently gives you false confidence. You know one adjustment was made, but not which. If the missing one is exceptional items (the more dangerous of the two), your EPS could still be significantly distorted by one-time events — and you have no way to know that from the dashboard today.</w:t>
            </w:r>
          </w:p>
          <w:p>
            <w:pPr>
              <w:spacing w:after="80" w:before="40"/>
            </w:pPr>
            <w:r>
              <w:rPr>
                <w:rFonts w:ascii="Calibri" w:cs="Calibri" w:eastAsia="Calibri" w:hAnsi="Calibri"/>
                <w:color w:val="1A1A1A"/>
                <w:sz w:val="21"/>
                <w:szCs w:val="21"/>
              </w:rPr>
              <w:t xml:space="preserve">Minority interest missing = small risk for most large-cap companies. Exceptional items missing = potentially large distortion to scoring.</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You immediately know which adjustment is clean and which to treat with caution</w:t>
            </w:r>
          </w:p>
          <w:p>
            <w:pPr>
              <w:pStyle w:val="ListParagraph"/>
              <w:numPr>
                <w:ilvl w:val="0"/>
                <w:numId w:val="2"/>
              </w:numPr>
              <w:spacing w:after="60" w:before="40"/>
            </w:pPr>
            <w:r>
              <w:rPr>
                <w:rFonts w:ascii="Calibri" w:cs="Calibri" w:eastAsia="Calibri" w:hAnsi="Calibri"/>
                <w:color w:val="1A1A1A"/>
                <w:sz w:val="21"/>
                <w:szCs w:val="21"/>
              </w:rPr>
              <w:t xml:space="preserve">Stocks with missing exceptional item data can be mentally discounted before any investment decision</w:t>
            </w:r>
          </w:p>
          <w:p>
            <w:pPr>
              <w:pStyle w:val="ListParagraph"/>
              <w:numPr>
                <w:ilvl w:val="0"/>
                <w:numId w:val="2"/>
              </w:numPr>
              <w:spacing w:after="60" w:before="40"/>
            </w:pPr>
            <w:r>
              <w:rPr>
                <w:rFonts w:ascii="Calibri" w:cs="Calibri" w:eastAsia="Calibri" w:hAnsi="Calibri"/>
                <w:color w:val="1A1A1A"/>
                <w:sz w:val="21"/>
                <w:szCs w:val="21"/>
              </w:rPr>
              <w:t xml:space="preserve">Zero change to the scoring model — purely a display improvement</w:t>
            </w:r>
          </w:p>
          <w:p>
            <w:pPr>
              <w:pStyle w:val="ListParagraph"/>
              <w:numPr>
                <w:ilvl w:val="0"/>
                <w:numId w:val="2"/>
              </w:numPr>
              <w:spacing w:after="60" w:before="40"/>
            </w:pPr>
            <w:r>
              <w:rPr>
                <w:rFonts w:ascii="Calibri" w:cs="Calibri" w:eastAsia="Calibri" w:hAnsi="Calibri"/>
                <w:color w:val="1A1A1A"/>
                <w:sz w:val="21"/>
                <w:szCs w:val="21"/>
              </w:rPr>
              <w:t xml:space="preserve">Costs: 15 minutes of coding to add two JSON fields and update the expanded row HTML</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Does not solve the underlying data gap — Yahoo Finance simply does not publish exceptional items for some Indian companies</w:t>
            </w:r>
          </w:p>
          <w:p>
            <w:pPr>
              <w:pStyle w:val="ListParagraph"/>
              <w:numPr>
                <w:ilvl w:val="0"/>
                <w:numId w:val="3"/>
              </w:numPr>
              <w:spacing w:after="60" w:before="40"/>
            </w:pPr>
            <w:r>
              <w:rPr>
                <w:rFonts w:ascii="Calibri" w:cs="Calibri" w:eastAsia="Calibri" w:hAnsi="Calibri"/>
                <w:color w:val="1A1A1A"/>
                <w:sz w:val="21"/>
                <w:szCs w:val="21"/>
              </w:rPr>
              <w:t xml:space="preserve">The only true fix for missing exceptional items is a paid data provider (Refinitiv, Bloomberg, Screener.in API) — see the EPS Clean Data section at the end of this document</w:t>
            </w:r>
          </w:p>
        </w:tc>
      </w:tr>
    </w:tbl>
    <w:p>
      <w:pPr>
        <w:spacing w:after="280" w:before="0"/>
      </w:pP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2  </w:t>
            </w:r>
            <w:r>
              <w:rPr>
                <w:rFonts w:ascii="Arial" w:cs="Arial" w:eastAsia="Arial" w:hAnsi="Arial"/>
                <w:b/>
                <w:bCs/>
                <w:color w:val="FFFFFF"/>
                <w:sz w:val="22"/>
                <w:szCs w:val="22"/>
              </w:rPr>
              <w:t xml:space="preserve">Replace 1-Month Momentum with 12-Month Momentum (Excl. Last Month)</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Three momentum signals: 6M relative return (15 pts), 3M relative return (10 pts), 1M relative return (5 pts).</w:t>
            </w:r>
          </w:p>
          <w:p>
            <w:pPr>
              <w:spacing w:after="80" w:before="40"/>
            </w:pPr>
            <w:r>
              <w:rPr>
                <w:rFonts w:ascii="Calibri" w:cs="Calibri" w:eastAsia="Calibri" w:hAnsi="Calibri"/>
                <w:color w:val="1A1A1A"/>
                <w:sz w:val="21"/>
                <w:szCs w:val="21"/>
              </w:rPr>
              <w:t xml:space="preserve">In fetch_data.py, the 1M signal uses the stock return from 22 trading days ago to today vs the Nifty 50 return over the same window.</w:t>
            </w:r>
          </w:p>
          <w:p>
            <w:pPr>
              <w:spacing w:after="80" w:before="40"/>
            </w:pPr>
            <w:r>
              <w:rPr>
                <w:rFonts w:ascii="Calibri" w:cs="Calibri" w:eastAsia="Calibri" w:hAnsi="Calibri"/>
                <w:color w:val="1A1A1A"/>
                <w:sz w:val="21"/>
                <w:szCs w:val="21"/>
              </w:rPr>
              <w:t xml:space="preserve">In score_momentum_1m(): if the stock is above Nifty over 1 month = 5 pts. If below = 0 pts. Binary, all-or-nothing.</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Drop momentum_1m entirely. Replace with momentum_12m: return from 252 trading days ago to 22 trading days ago (i.e., 12 months back, stopping 1 month before today).</w:t>
            </w:r>
          </w:p>
          <w:p>
            <w:pPr>
              <w:spacing w:after="80" w:before="40"/>
            </w:pPr>
            <w:r>
              <w:rPr>
                <w:rFonts w:ascii="Calibri" w:cs="Calibri" w:eastAsia="Calibri" w:hAnsi="Calibri"/>
                <w:color w:val="1A1A1A"/>
                <w:sz w:val="21"/>
                <w:szCs w:val="21"/>
              </w:rPr>
              <w:t xml:space="preserve">In fetch_data.py: extend the price download window from 200 days to 280 days. Add price_12m = close.iloc[-252] and calculate rel_12m excluding the last month.</w:t>
            </w:r>
          </w:p>
          <w:p>
            <w:pPr>
              <w:spacing w:after="80" w:before="40"/>
            </w:pPr>
            <w:r>
              <w:rPr>
                <w:rFonts w:ascii="Calibri" w:cs="Calibri" w:eastAsia="Calibri" w:hAnsi="Calibri"/>
                <w:color w:val="1A1A1A"/>
                <w:sz w:val="21"/>
                <w:szCs w:val="21"/>
              </w:rPr>
              <w:t xml:space="preserve">Scoring bands for the new 12M signal (5 pts total):</w:t>
            </w:r>
          </w:p>
          <w:p>
            <w:pPr>
              <w:spacing w:after="80" w:before="40"/>
            </w:pPr>
            <w:r>
              <w:rPr>
                <w:rFonts w:ascii="Calibri" w:cs="Calibri" w:eastAsia="Calibri" w:hAnsi="Calibri"/>
                <w:b/>
                <w:bCs/>
                <w:color w:val="1A1A1A"/>
                <w:sz w:val="21"/>
                <w:szCs w:val="21"/>
              </w:rPr>
              <w:t xml:space="preserve">More than 15% above Nifty over 12M (excl. last month)</w:t>
            </w:r>
            <w:r>
              <w:rPr>
                <w:rFonts w:ascii="Calibri" w:cs="Calibri" w:eastAsia="Calibri" w:hAnsi="Calibri"/>
                <w:color w:val="1A1A1A"/>
                <w:sz w:val="21"/>
                <w:szCs w:val="21"/>
              </w:rPr>
              <w:t xml:space="preserve"> → 5 pts</w:t>
            </w:r>
          </w:p>
          <w:p>
            <w:pPr>
              <w:spacing w:after="80" w:before="40"/>
            </w:pPr>
            <w:r>
              <w:rPr>
                <w:rFonts w:ascii="Calibri" w:cs="Calibri" w:eastAsia="Calibri" w:hAnsi="Calibri"/>
                <w:b/>
                <w:bCs/>
                <w:color w:val="1A1A1A"/>
                <w:sz w:val="21"/>
                <w:szCs w:val="21"/>
              </w:rPr>
              <w:t xml:space="preserve">5% to 15% above Nifty</w:t>
            </w:r>
            <w:r>
              <w:rPr>
                <w:rFonts w:ascii="Calibri" w:cs="Calibri" w:eastAsia="Calibri" w:hAnsi="Calibri"/>
                <w:color w:val="1A1A1A"/>
                <w:sz w:val="21"/>
                <w:szCs w:val="21"/>
              </w:rPr>
              <w:t xml:space="preserve"> → 3 pts</w:t>
            </w:r>
          </w:p>
          <w:p>
            <w:pPr>
              <w:spacing w:after="80" w:before="40"/>
            </w:pPr>
            <w:r>
              <w:rPr>
                <w:rFonts w:ascii="Calibri" w:cs="Calibri" w:eastAsia="Calibri" w:hAnsi="Calibri"/>
                <w:b/>
                <w:bCs/>
                <w:color w:val="1A1A1A"/>
                <w:sz w:val="21"/>
                <w:szCs w:val="21"/>
              </w:rPr>
              <w:t xml:space="preserve">Below Nifty</w:t>
            </w:r>
            <w:r>
              <w:rPr>
                <w:rFonts w:ascii="Calibri" w:cs="Calibri" w:eastAsia="Calibri" w:hAnsi="Calibri"/>
                <w:color w:val="1A1A1A"/>
                <w:sz w:val="21"/>
                <w:szCs w:val="21"/>
              </w:rPr>
              <w:t xml:space="preserve"> → 0 pts</w:t>
            </w:r>
          </w:p>
          <w:p>
            <w:pPr>
              <w:spacing w:after="80" w:before="40"/>
            </w:pPr>
            <w:r>
              <w:rPr>
                <w:rFonts w:ascii="Calibri" w:cs="Calibri" w:eastAsia="Calibri" w:hAnsi="Calibri"/>
                <w:color w:val="1A1A1A"/>
                <w:sz w:val="21"/>
                <w:szCs w:val="21"/>
              </w:rPr>
              <w:t xml:space="preserve">Total momentum points remain 30. CLAUDE.md must be updated to reflect the new signal.</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1-month momentum is too noisy. A stock can drop 4% in a single month purely because one large mutual fund sold its position to meet redemptions — not because anything changed in the business. That 1-month drop scores 0 and can push a fundamentally strong stock out of the top 25.</w:t>
            </w:r>
          </w:p>
          <w:p>
            <w:pPr>
              <w:spacing w:after="80" w:before="40"/>
            </w:pPr>
            <w:r>
              <w:rPr>
                <w:rFonts w:ascii="Calibri" w:cs="Calibri" w:eastAsia="Calibri" w:hAnsi="Calibri"/>
                <w:color w:val="1A1A1A"/>
                <w:sz w:val="21"/>
                <w:szCs w:val="21"/>
              </w:rPr>
              <w:t xml:space="preserve">The academic case: Jegadeesh and Titman (1993) — one of the most cited papers in quantitative finance — showed that 12-month momentum (excluding the most recent month) is the most predictive window. The exclusion of the last month specifically filters out short-term reversal: stocks that spiked last month often give back those gains quickly.</w:t>
            </w:r>
          </w:p>
          <w:p>
            <w:pPr>
              <w:spacing w:after="80" w:before="40"/>
            </w:pPr>
            <w:r>
              <w:rPr>
                <w:rFonts w:ascii="Calibri" w:cs="Calibri" w:eastAsia="Calibri" w:hAnsi="Calibri"/>
                <w:color w:val="1A1A1A"/>
                <w:sz w:val="21"/>
                <w:szCs w:val="21"/>
              </w:rPr>
              <w:t xml:space="preserve">12M momentum captures: has this stock been in a sustained, broad outperformance trend for a full year? That is a fundamentally different (and stronger) signal than: did it beat the index last month?</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Stronger academic backing — the 12M window is the most replicated momentum finding in finance research</w:t>
            </w:r>
          </w:p>
          <w:p>
            <w:pPr>
              <w:pStyle w:val="ListParagraph"/>
              <w:numPr>
                <w:ilvl w:val="0"/>
                <w:numId w:val="2"/>
              </w:numPr>
              <w:spacing w:after="60" w:before="40"/>
            </w:pPr>
            <w:r>
              <w:rPr>
                <w:rFonts w:ascii="Calibri" w:cs="Calibri" w:eastAsia="Calibri" w:hAnsi="Calibri"/>
                <w:color w:val="1A1A1A"/>
                <w:sz w:val="21"/>
                <w:szCs w:val="21"/>
              </w:rPr>
              <w:t xml:space="preserve">Filters out single-event noise (fund rebalancing, temporary sector rotation, ex-dividend date effects)</w:t>
            </w:r>
          </w:p>
          <w:p>
            <w:pPr>
              <w:pStyle w:val="ListParagraph"/>
              <w:numPr>
                <w:ilvl w:val="0"/>
                <w:numId w:val="2"/>
              </w:numPr>
              <w:spacing w:after="60" w:before="40"/>
            </w:pPr>
            <w:r>
              <w:rPr>
                <w:rFonts w:ascii="Calibri" w:cs="Calibri" w:eastAsia="Calibri" w:hAnsi="Calibri"/>
                <w:color w:val="1A1A1A"/>
                <w:sz w:val="21"/>
                <w:szCs w:val="21"/>
              </w:rPr>
              <w:t xml:space="preserve">Captures sustained institutional interest in a stock, not a 4-week blip</w:t>
            </w:r>
          </w:p>
          <w:p>
            <w:pPr>
              <w:pStyle w:val="ListParagraph"/>
              <w:numPr>
                <w:ilvl w:val="0"/>
                <w:numId w:val="2"/>
              </w:numPr>
              <w:spacing w:after="60" w:before="40"/>
            </w:pPr>
            <w:r>
              <w:rPr>
                <w:rFonts w:ascii="Calibri" w:cs="Calibri" w:eastAsia="Calibri" w:hAnsi="Calibri"/>
                <w:color w:val="1A1A1A"/>
                <w:sz w:val="21"/>
                <w:szCs w:val="21"/>
              </w:rPr>
              <w:t xml:space="preserve">Total points and model structure unchanged — minimal disruption</w:t>
            </w:r>
          </w:p>
          <w:p>
            <w:pPr>
              <w:pStyle w:val="ListParagraph"/>
              <w:numPr>
                <w:ilvl w:val="0"/>
                <w:numId w:val="2"/>
              </w:numPr>
              <w:spacing w:after="60" w:before="40"/>
            </w:pPr>
            <w:r>
              <w:rPr>
                <w:rFonts w:ascii="Calibri" w:cs="Calibri" w:eastAsia="Calibri" w:hAnsi="Calibri"/>
                <w:color w:val="1A1A1A"/>
                <w:sz w:val="21"/>
                <w:szCs w:val="21"/>
              </w:rPr>
              <w:t xml:space="preserve">Small code change: extend download window by 80 days, add one price lookup</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Requires fetching 280 days of price history instead of 200 — slightly longer runtime per stock (~1-2 seconds extra total across 50 stocks)</w:t>
            </w:r>
          </w:p>
          <w:p>
            <w:pPr>
              <w:pStyle w:val="ListParagraph"/>
              <w:numPr>
                <w:ilvl w:val="0"/>
                <w:numId w:val="3"/>
              </w:numPr>
              <w:spacing w:after="60" w:before="40"/>
            </w:pPr>
            <w:r>
              <w:rPr>
                <w:rFonts w:ascii="Calibri" w:cs="Calibri" w:eastAsia="Calibri" w:hAnsi="Calibri"/>
                <w:color w:val="1A1A1A"/>
                <w:sz w:val="21"/>
                <w:szCs w:val="21"/>
              </w:rPr>
              <w:t xml:space="preserve">12M momentum can miss stocks that are just beginning a new uptrend after a long flat period — they look weak on 12M but may be turning</w:t>
            </w:r>
          </w:p>
          <w:p>
            <w:pPr>
              <w:pStyle w:val="ListParagraph"/>
              <w:numPr>
                <w:ilvl w:val="0"/>
                <w:numId w:val="3"/>
              </w:numPr>
              <w:spacing w:after="60" w:before="40"/>
            </w:pPr>
            <w:r>
              <w:rPr>
                <w:rFonts w:ascii="Calibri" w:cs="Calibri" w:eastAsia="Calibri" w:hAnsi="Calibri"/>
                <w:color w:val="1A1A1A"/>
                <w:sz w:val="21"/>
                <w:szCs w:val="21"/>
              </w:rPr>
              <w:t xml:space="preserve">The 3M and 6M signals already partially capture medium-term strength, so marginal information gain from 12M is real but not transformational</w:t>
            </w:r>
          </w:p>
        </w:tc>
      </w:tr>
    </w:tbl>
    <w:p>
      <w:pPr>
        <w:spacing w:after="280" w:before="0"/>
      </w:pP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3  </w:t>
            </w:r>
            <w:r>
              <w:rPr>
                <w:rFonts w:ascii="Arial" w:cs="Arial" w:eastAsia="Arial" w:hAnsi="Arial"/>
                <w:b/>
                <w:bCs/>
                <w:color w:val="FFFFFF"/>
                <w:sz w:val="22"/>
                <w:szCs w:val="22"/>
              </w:rPr>
              <w:t xml:space="preserve">Add News Deep-Link Next to Every ⚠ Forward EPS Divergence Flag</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When our derived forward EPS and Yahoo analyst consensus differ by more than 20%, a ⚠ flag appears in the All Stocks table showing the divergence percentage (e.g. ⚠ 34%).</w:t>
            </w:r>
          </w:p>
          <w:p>
            <w:pPr>
              <w:spacing w:after="80" w:before="40"/>
            </w:pPr>
            <w:r>
              <w:rPr>
                <w:rFonts w:ascii="Calibri" w:cs="Calibri" w:eastAsia="Calibri" w:hAnsi="Calibri"/>
                <w:color w:val="1A1A1A"/>
                <w:sz w:val="21"/>
                <w:szCs w:val="21"/>
              </w:rPr>
              <w:t xml:space="preserve">Clicking this flag does nothing. There is no guidance on what to do next or where to investigate.</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Next to every ⚠ flag in the All Stocks table, add a small “Why? →” hyperlink that opens Yahoo Finance news for that stock in a new browser tab.</w:t>
            </w:r>
          </w:p>
          <w:p>
            <w:pPr>
              <w:spacing w:after="80" w:before="40"/>
            </w:pPr>
            <w:r>
              <w:rPr>
                <w:rFonts w:ascii="Calibri" w:cs="Calibri" w:eastAsia="Calibri" w:hAnsi="Calibri"/>
                <w:color w:val="1A1A1A"/>
                <w:sz w:val="21"/>
                <w:szCs w:val="21"/>
              </w:rPr>
              <w:t xml:space="preserve">URL pattern: https://finance.yahoo.com/quote/[TICKER.NS]/news</w:t>
            </w:r>
          </w:p>
          <w:p>
            <w:pPr>
              <w:spacing w:after="80" w:before="40"/>
            </w:pPr>
            <w:r>
              <w:rPr>
                <w:rFonts w:ascii="Calibri" w:cs="Calibri" w:eastAsia="Calibri" w:hAnsi="Calibri"/>
                <w:color w:val="1A1A1A"/>
                <w:sz w:val="21"/>
                <w:szCs w:val="21"/>
              </w:rPr>
              <w:t xml:space="preserve">Example: For RELIANCE.NS, the link opens https://finance.yahoo.com/quote/RELIANCE.NS/news</w:t>
            </w:r>
          </w:p>
          <w:p>
            <w:pPr>
              <w:spacing w:after="80" w:before="40"/>
            </w:pPr>
            <w:r>
              <w:rPr>
                <w:rFonts w:ascii="Calibri" w:cs="Calibri" w:eastAsia="Calibri" w:hAnsi="Calibri"/>
                <w:color w:val="1A1A1A"/>
                <w:sz w:val="21"/>
                <w:szCs w:val="21"/>
              </w:rPr>
              <w:t xml:space="preserve">Also show the same link in the expanded row under the Forward EPS section.</w:t>
            </w:r>
          </w:p>
          <w:p>
            <w:pPr>
              <w:spacing w:after="80" w:before="40"/>
            </w:pPr>
            <w:r>
              <w:rPr>
                <w:rFonts w:ascii="Calibri" w:cs="Calibri" w:eastAsia="Calibri" w:hAnsi="Calibri"/>
                <w:color w:val="1A1A1A"/>
                <w:sz w:val="21"/>
                <w:szCs w:val="21"/>
              </w:rPr>
              <w:t xml:space="preserve">This is a 10-line change in dashboard.html — no changes to fetch_data.py.</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A divergence flag without a path to investigation is half a tool. When the flag fires, the right next step is always: read the latest analyst commentary and news. Today that requires you to manually open Yahoo Finance, search for the stock, and navigate to news — friction that means it often gets skipped.</w:t>
            </w:r>
          </w:p>
          <w:p>
            <w:pPr>
              <w:spacing w:after="80" w:before="40"/>
            </w:pPr>
            <w:r>
              <w:rPr>
                <w:rFonts w:ascii="Calibri" w:cs="Calibri" w:eastAsia="Calibri" w:hAnsi="Calibri"/>
                <w:color w:val="1A1A1A"/>
                <w:sz w:val="21"/>
                <w:szCs w:val="21"/>
              </w:rPr>
              <w:t xml:space="preserve">One click to the relevant news page removes that friction. You see the flag and the answer path simultaneously.</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Near-zero effort to implement — 10 lines of HTML/JS</w:t>
            </w:r>
          </w:p>
          <w:p>
            <w:pPr>
              <w:pStyle w:val="ListParagraph"/>
              <w:numPr>
                <w:ilvl w:val="0"/>
                <w:numId w:val="2"/>
              </w:numPr>
              <w:spacing w:after="60" w:before="40"/>
            </w:pPr>
            <w:r>
              <w:rPr>
                <w:rFonts w:ascii="Calibri" w:cs="Calibri" w:eastAsia="Calibri" w:hAnsi="Calibri"/>
                <w:color w:val="1A1A1A"/>
                <w:sz w:val="21"/>
                <w:szCs w:val="21"/>
              </w:rPr>
              <w:t xml:space="preserve">Directly addresses the analyst event detection gap: when analysts price in an acquisition or regulatory change, the news will be on that page</w:t>
            </w:r>
          </w:p>
          <w:p>
            <w:pPr>
              <w:pStyle w:val="ListParagraph"/>
              <w:numPr>
                <w:ilvl w:val="0"/>
                <w:numId w:val="2"/>
              </w:numPr>
              <w:spacing w:after="60" w:before="40"/>
            </w:pPr>
            <w:r>
              <w:rPr>
                <w:rFonts w:ascii="Calibri" w:cs="Calibri" w:eastAsia="Calibri" w:hAnsi="Calibri"/>
                <w:color w:val="1A1A1A"/>
                <w:sz w:val="21"/>
                <w:szCs w:val="21"/>
              </w:rPr>
              <w:t xml:space="preserve">Works for all 50 stocks automatically — just string interpolation on the ticker symbol</w:t>
            </w:r>
          </w:p>
          <w:p>
            <w:pPr>
              <w:pStyle w:val="ListParagraph"/>
              <w:numPr>
                <w:ilvl w:val="0"/>
                <w:numId w:val="2"/>
              </w:numPr>
              <w:spacing w:after="60" w:before="40"/>
            </w:pPr>
            <w:r>
              <w:rPr>
                <w:rFonts w:ascii="Calibri" w:cs="Calibri" w:eastAsia="Calibri" w:hAnsi="Calibri"/>
                <w:color w:val="1A1A1A"/>
                <w:sz w:val="21"/>
                <w:szCs w:val="21"/>
              </w:rPr>
              <w:t xml:space="preserve">No data dependency — doesn't require any API key or new data source</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Yahoo Finance news page mixes relevant and irrelevant articles — you still have to read and interpret</w:t>
            </w:r>
          </w:p>
          <w:p>
            <w:pPr>
              <w:pStyle w:val="ListParagraph"/>
              <w:numPr>
                <w:ilvl w:val="0"/>
                <w:numId w:val="3"/>
              </w:numPr>
              <w:spacing w:after="60" w:before="40"/>
            </w:pPr>
            <w:r>
              <w:rPr>
                <w:rFonts w:ascii="Calibri" w:cs="Calibri" w:eastAsia="Calibri" w:hAnsi="Calibri"/>
                <w:color w:val="1A1A1A"/>
                <w:sz w:val="21"/>
                <w:szCs w:val="21"/>
              </w:rPr>
              <w:t xml:space="preserve">Does not automatically tell you WHY analysts diverge, only where to look</w:t>
            </w:r>
          </w:p>
          <w:p>
            <w:pPr>
              <w:pStyle w:val="ListParagraph"/>
              <w:numPr>
                <w:ilvl w:val="0"/>
                <w:numId w:val="3"/>
              </w:numPr>
              <w:spacing w:after="60" w:before="40"/>
            </w:pPr>
            <w:r>
              <w:rPr>
                <w:rFonts w:ascii="Calibri" w:cs="Calibri" w:eastAsia="Calibri" w:hAnsi="Calibri"/>
                <w:color w:val="1A1A1A"/>
                <w:sz w:val="21"/>
                <w:szCs w:val="21"/>
              </w:rPr>
              <w:t xml:space="preserve">Yahoo Finance may load slowly or be unavailable occasionally</w:t>
            </w:r>
          </w:p>
        </w:tc>
      </w:tr>
    </w:tbl>
    <w:p>
      <w:pPr>
        <w:spacing w:after="280" w:before="0"/>
      </w:pPr>
    </w:p>
    <w:p>
      <w:pPr>
        <w:spacing w:after="280" w:before="0"/>
      </w:pPr>
    </w:p>
    <w:p>
      <w:pPr>
        <w:pageBreakBefore/>
      </w:pPr>
    </w:p>
    <w:p>
      <w:pPr>
        <w:pStyle w:val="Heading1"/>
        <w:spacing w:after="140" w:before="360"/>
      </w:pPr>
      <w:r>
        <w:rPr>
          <w:rFonts w:ascii="Arial" w:cs="Arial" w:eastAsia="Arial" w:hAnsi="Arial"/>
          <w:b/>
          <w:bCs/>
          <w:color w:val="C0450A"/>
          <w:sz w:val="34"/>
          <w:szCs w:val="34"/>
        </w:rPr>
        <w:t xml:space="preserve">Section B — Next Quarter (Moderate effort, meaningful improvement)</w:t>
      </w:r>
    </w:p>
    <w:p>
      <w:pPr>
        <w:spacing w:after="160" w:before="0"/>
      </w:pPr>
      <w:r>
        <w:rPr>
          <w:rFonts w:ascii="Calibri" w:cs="Calibri" w:eastAsia="Calibri" w:hAnsi="Calibri"/>
          <w:color w:val="1A1A1A"/>
          <w:sz w:val="22"/>
          <w:szCs w:val="22"/>
        </w:rPr>
        <w:t xml:space="preserve">These four changes require more thought and testing before implementation. Do them after the model has been running live for one full quarter.</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4  </w:t>
            </w:r>
            <w:r>
              <w:rPr>
                <w:rFonts w:ascii="Arial" w:cs="Arial" w:eastAsia="Arial" w:hAnsi="Arial"/>
                <w:b/>
                <w:bCs/>
                <w:color w:val="FFFFFF"/>
                <w:sz w:val="22"/>
                <w:szCs w:val="22"/>
              </w:rPr>
              <w:t xml:space="preserve">Add ROE Trend (Direction) Alongside ROE Level in Scoring</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ROE is scored purely on its current absolute level (most recent reported value from Yahoo Finance):</w:t>
            </w:r>
          </w:p>
          <w:p>
            <w:pPr>
              <w:spacing w:after="80" w:before="40"/>
            </w:pPr>
            <w:r>
              <w:rPr>
                <w:rFonts w:ascii="Calibri" w:cs="Calibri" w:eastAsia="Calibri" w:hAnsi="Calibri"/>
                <w:color w:val="1A1A1A"/>
                <w:sz w:val="21"/>
                <w:szCs w:val="21"/>
              </w:rPr>
              <w:t xml:space="preserve">Above 25% → 10 pts  |  15–25% → 7 pts  |  10–15% → 4 pts  |  Below 10% → 0 pts</w:t>
            </w:r>
          </w:p>
          <w:p>
            <w:pPr>
              <w:spacing w:after="80" w:before="40"/>
            </w:pPr>
            <w:r>
              <w:rPr>
                <w:rFonts w:ascii="Calibri" w:cs="Calibri" w:eastAsia="Calibri" w:hAnsi="Calibri"/>
                <w:color w:val="1A1A1A"/>
                <w:sz w:val="21"/>
                <w:szCs w:val="21"/>
              </w:rPr>
              <w:t xml:space="preserve">The trend (whether ROE is rising or falling) is not captured anywhere in the scoring model.</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Fetch ROE from the last 4 quarters (it’s available in the quarterly balance sheet already being pulled).</w:t>
            </w:r>
          </w:p>
          <w:p>
            <w:pPr>
              <w:spacing w:after="80" w:before="40"/>
            </w:pPr>
            <w:r>
              <w:rPr>
                <w:rFonts w:ascii="Calibri" w:cs="Calibri" w:eastAsia="Calibri" w:hAnsi="Calibri"/>
                <w:color w:val="1A1A1A"/>
                <w:sz w:val="21"/>
                <w:szCs w:val="21"/>
              </w:rPr>
              <w:t xml:space="preserve">Calculate direction: compare average of last 2 quarters vs average of prior 2 quarters.</w:t>
            </w:r>
          </w:p>
          <w:p>
            <w:pPr>
              <w:spacing w:after="80" w:before="40"/>
            </w:pPr>
            <w:r>
              <w:rPr>
                <w:rFonts w:ascii="Calibri" w:cs="Calibri" w:eastAsia="Calibri" w:hAnsi="Calibri"/>
                <w:color w:val="1A1A1A"/>
                <w:sz w:val="21"/>
                <w:szCs w:val="21"/>
              </w:rPr>
              <w:t xml:space="preserve">Proposed revised scoring: use the current level bands as the base, then apply a trend modifier:</w:t>
            </w:r>
          </w:p>
          <w:p>
            <w:pPr>
              <w:spacing w:after="80" w:before="40"/>
            </w:pPr>
            <w:r>
              <w:rPr>
                <w:rFonts w:ascii="Calibri" w:cs="Calibri" w:eastAsia="Calibri" w:hAnsi="Calibri"/>
                <w:b/>
                <w:bCs/>
                <w:color w:val="1A1A1A"/>
                <w:sz w:val="21"/>
                <w:szCs w:val="21"/>
              </w:rPr>
              <w:t xml:space="preserve">+2 pts bonus</w:t>
            </w:r>
            <w:r>
              <w:rPr>
                <w:rFonts w:ascii="Calibri" w:cs="Calibri" w:eastAsia="Calibri" w:hAnsi="Calibri"/>
                <w:color w:val="1A1A1A"/>
                <w:sz w:val="21"/>
                <w:szCs w:val="21"/>
              </w:rPr>
              <w:t xml:space="preserve"> if ROE is clearly rising (up &gt;2 percentage points year-over-year)</w:t>
            </w:r>
          </w:p>
          <w:p>
            <w:pPr>
              <w:spacing w:after="80" w:before="40"/>
            </w:pPr>
            <w:r>
              <w:rPr>
                <w:rFonts w:ascii="Calibri" w:cs="Calibri" w:eastAsia="Calibri" w:hAnsi="Calibri"/>
                <w:b/>
                <w:bCs/>
                <w:color w:val="1A1A1A"/>
                <w:sz w:val="21"/>
                <w:szCs w:val="21"/>
              </w:rPr>
              <w:t xml:space="preserve">-2 pts penalty</w:t>
            </w:r>
            <w:r>
              <w:rPr>
                <w:rFonts w:ascii="Calibri" w:cs="Calibri" w:eastAsia="Calibri" w:hAnsi="Calibri"/>
                <w:color w:val="1A1A1A"/>
                <w:sz w:val="21"/>
                <w:szCs w:val="21"/>
              </w:rPr>
              <w:t xml:space="preserve"> if ROE is clearly falling (down &gt;2 percentage points year-over-year)</w:t>
            </w:r>
          </w:p>
          <w:p>
            <w:pPr>
              <w:spacing w:after="80" w:before="40"/>
            </w:pPr>
            <w:r>
              <w:rPr>
                <w:rFonts w:ascii="Calibri" w:cs="Calibri" w:eastAsia="Calibri" w:hAnsi="Calibri"/>
                <w:color w:val="1A1A1A"/>
                <w:sz w:val="21"/>
                <w:szCs w:val="21"/>
              </w:rPr>
              <w:t xml:space="preserve">Cap total ROE score at 10 pts. Minimum 0 pts.</w:t>
            </w:r>
          </w:p>
          <w:p>
            <w:pPr>
              <w:spacing w:after="80" w:before="40"/>
            </w:pPr>
            <w:r>
              <w:rPr>
                <w:rFonts w:ascii="Calibri" w:cs="Calibri" w:eastAsia="Calibri" w:hAnsi="Calibri"/>
                <w:color w:val="1A1A1A"/>
                <w:sz w:val="21"/>
                <w:szCs w:val="21"/>
              </w:rPr>
              <w:t xml:space="preserve">This keeps the 10-point maximum unchanged but rewards improving businesses and flags deteriorating ones.</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A company with ROE 12% and rising is often a better investment than one with ROE 22% and falling. The rising one may be in the early stage of a compounding cycle. The falling one may have peaked.</w:t>
            </w:r>
          </w:p>
          <w:p>
            <w:pPr>
              <w:spacing w:after="80" w:before="40"/>
            </w:pPr>
            <w:r>
              <w:rPr>
                <w:rFonts w:ascii="Calibri" w:cs="Calibri" w:eastAsia="Calibri" w:hAnsi="Calibri"/>
                <w:color w:val="1A1A1A"/>
                <w:sz w:val="21"/>
                <w:szCs w:val="21"/>
              </w:rPr>
              <w:t xml:space="preserve">Your instinct from our conversation was exactly right: direction often matters more than the absolute level, especially at the Nifty 50 level where all companies are already reasonably large.</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Catches businesses entering a quality compounding phase early (rising ROE from 12% to 16% is a powerful signal)</w:t>
            </w:r>
          </w:p>
          <w:p>
            <w:pPr>
              <w:pStyle w:val="ListParagraph"/>
              <w:numPr>
                <w:ilvl w:val="0"/>
                <w:numId w:val="2"/>
              </w:numPr>
              <w:spacing w:after="60" w:before="40"/>
            </w:pPr>
            <w:r>
              <w:rPr>
                <w:rFonts w:ascii="Calibri" w:cs="Calibri" w:eastAsia="Calibri" w:hAnsi="Calibri"/>
                <w:color w:val="1A1A1A"/>
                <w:sz w:val="21"/>
                <w:szCs w:val="21"/>
              </w:rPr>
              <w:t xml:space="preserve">Penalises businesses whose returns on capital are structurally declining even if they look good today</w:t>
            </w:r>
          </w:p>
          <w:p>
            <w:pPr>
              <w:pStyle w:val="ListParagraph"/>
              <w:numPr>
                <w:ilvl w:val="0"/>
                <w:numId w:val="2"/>
              </w:numPr>
              <w:spacing w:after="60" w:before="40"/>
            </w:pPr>
            <w:r>
              <w:rPr>
                <w:rFonts w:ascii="Calibri" w:cs="Calibri" w:eastAsia="Calibri" w:hAnsi="Calibri"/>
                <w:color w:val="1A1A1A"/>
                <w:sz w:val="21"/>
                <w:szCs w:val="21"/>
              </w:rPr>
              <w:t xml:space="preserve">Same 10-point cap — no change to total scoring maximum</w:t>
            </w:r>
          </w:p>
          <w:p>
            <w:pPr>
              <w:pStyle w:val="ListParagraph"/>
              <w:numPr>
                <w:ilvl w:val="0"/>
                <w:numId w:val="2"/>
              </w:numPr>
              <w:spacing w:after="60" w:before="40"/>
            </w:pPr>
            <w:r>
              <w:rPr>
                <w:rFonts w:ascii="Calibri" w:cs="Calibri" w:eastAsia="Calibri" w:hAnsi="Calibri"/>
                <w:color w:val="1A1A1A"/>
                <w:sz w:val="21"/>
                <w:szCs w:val="21"/>
              </w:rPr>
              <w:t xml:space="preserve">Data already fetched — just needs computation added</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ROE can fluctuate quarter to quarter due to seasonal working capital changes — need to use a YoY comparison, not sequential quarters</w:t>
            </w:r>
          </w:p>
          <w:p>
            <w:pPr>
              <w:pStyle w:val="ListParagraph"/>
              <w:numPr>
                <w:ilvl w:val="0"/>
                <w:numId w:val="3"/>
              </w:numPr>
              <w:spacing w:after="60" w:before="40"/>
            </w:pPr>
            <w:r>
              <w:rPr>
                <w:rFonts w:ascii="Calibri" w:cs="Calibri" w:eastAsia="Calibri" w:hAnsi="Calibri"/>
                <w:color w:val="1A1A1A"/>
                <w:sz w:val="21"/>
                <w:szCs w:val="21"/>
              </w:rPr>
              <w:t xml:space="preserve">A company buying back shares will mechanically increase ROE (less equity in denominator) even if underlying profitability is flat — trend can mislead for buyback-heavy companies</w:t>
            </w:r>
          </w:p>
          <w:p>
            <w:pPr>
              <w:pStyle w:val="ListParagraph"/>
              <w:numPr>
                <w:ilvl w:val="0"/>
                <w:numId w:val="3"/>
              </w:numPr>
              <w:spacing w:after="60" w:before="40"/>
            </w:pPr>
            <w:r>
              <w:rPr>
                <w:rFonts w:ascii="Calibri" w:cs="Calibri" w:eastAsia="Calibri" w:hAnsi="Calibri"/>
                <w:color w:val="1A1A1A"/>
                <w:sz w:val="21"/>
                <w:szCs w:val="21"/>
              </w:rPr>
              <w:t xml:space="preserve">Adds complexity to the scoring explanation on the Scoring Model tab</w:t>
            </w:r>
          </w:p>
        </w:tc>
      </w:tr>
    </w:tbl>
    <w:p>
      <w:pPr>
        <w:spacing w:after="280" w:before="0"/>
      </w:pP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5  </w:t>
            </w:r>
            <w:r>
              <w:rPr>
                <w:rFonts w:ascii="Arial" w:cs="Arial" w:eastAsia="Arial" w:hAnsi="Arial"/>
                <w:b/>
                <w:bCs/>
                <w:color w:val="FFFFFF"/>
                <w:sz w:val="22"/>
                <w:szCs w:val="22"/>
              </w:rPr>
              <w:t xml:space="preserve">Add FCF Per Share as a Display Field (Not Scored Yet)</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Free Cash Flow is not computed, not stored in nifty_data.json, and not shown anywhere on the dashboard.</w:t>
            </w:r>
          </w:p>
          <w:p>
            <w:pPr>
              <w:spacing w:after="80" w:before="40"/>
            </w:pPr>
            <w:r>
              <w:rPr>
                <w:rFonts w:ascii="Calibri" w:cs="Calibri" w:eastAsia="Calibri" w:hAnsi="Calibri"/>
                <w:color w:val="1A1A1A"/>
                <w:sz w:val="21"/>
                <w:szCs w:val="21"/>
              </w:rPr>
              <w:t xml:space="preserve">The EPS Consistency metric (5 pts, CV calculation) is the only “earnings quality” signal in the model.</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In fetch_data.py: compute Free Cash Flow = Operating Cash Flow − Capital Expenditure (both available from Yahoo Finance cash flow statement).</w:t>
            </w:r>
          </w:p>
          <w:p>
            <w:pPr>
              <w:spacing w:after="80" w:before="40"/>
            </w:pPr>
            <w:r>
              <w:rPr>
                <w:rFonts w:ascii="Calibri" w:cs="Calibri" w:eastAsia="Calibri" w:hAnsi="Calibri"/>
                <w:color w:val="1A1A1A"/>
                <w:sz w:val="21"/>
                <w:szCs w:val="21"/>
              </w:rPr>
              <w:t xml:space="preserve">Calculate FCF per share = FCF ÷ Shares Outstanding. Calculate FCF Yield = FCF per share ÷ Current Price × 100.</w:t>
            </w:r>
          </w:p>
          <w:p>
            <w:pPr>
              <w:spacing w:after="80" w:before="40"/>
            </w:pPr>
            <w:r>
              <w:rPr>
                <w:rFonts w:ascii="Calibri" w:cs="Calibri" w:eastAsia="Calibri" w:hAnsi="Calibri"/>
                <w:color w:val="1A1A1A"/>
                <w:sz w:val="21"/>
                <w:szCs w:val="21"/>
              </w:rPr>
              <w:t xml:space="preserve">Add to nifty_data.json: fcf_per_share, fcf_yield_pct, free_cashflow_cr (total FCF in crores).</w:t>
            </w:r>
          </w:p>
          <w:p>
            <w:pPr>
              <w:spacing w:after="80" w:before="40"/>
            </w:pPr>
            <w:r>
              <w:rPr>
                <w:rFonts w:ascii="Calibri" w:cs="Calibri" w:eastAsia="Calibri" w:hAnsi="Calibri"/>
                <w:color w:val="1A1A1A"/>
                <w:sz w:val="21"/>
                <w:szCs w:val="21"/>
              </w:rPr>
              <w:t xml:space="preserve">Display in the expanded row under Key Metrics — alongside existing metrics like Beta and 52W High/Low.</w:t>
            </w:r>
          </w:p>
          <w:p>
            <w:pPr>
              <w:spacing w:after="80" w:before="40"/>
            </w:pPr>
            <w:r>
              <w:rPr>
                <w:rFonts w:ascii="Calibri" w:cs="Calibri" w:eastAsia="Calibri" w:hAnsi="Calibri"/>
                <w:b/>
                <w:bCs/>
                <w:color w:val="1A1A1A"/>
                <w:sz w:val="21"/>
                <w:szCs w:val="21"/>
              </w:rPr>
              <w:t xml:space="preserve">Do NOT score it yet.</w:t>
            </w:r>
            <w:r>
              <w:rPr>
                <w:rFonts w:ascii="Calibri" w:cs="Calibri" w:eastAsia="Calibri" w:hAnsi="Calibri"/>
                <w:color w:val="1A1A1A"/>
                <w:sz w:val="21"/>
                <w:szCs w:val="21"/>
              </w:rPr>
              <w:t xml:space="preserve"> Display only, for 1–2 quarters. Once you have a feel for the numbers and their reliability, decide whether to score it and what to replace.</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EPS can be influenced by accounting choices (depreciation methods, revenue recognition timing). Free Cash Flow cannot — it is literally: did more cash come in than go out, after paying for the upkeep and growth of the business?</w:t>
            </w:r>
          </w:p>
          <w:p>
            <w:pPr>
              <w:spacing w:after="80" w:before="40"/>
            </w:pPr>
            <w:r>
              <w:rPr>
                <w:rFonts w:ascii="Calibri" w:cs="Calibri" w:eastAsia="Calibri" w:hAnsi="Calibri"/>
                <w:color w:val="1A1A1A"/>
                <w:sz w:val="21"/>
                <w:szCs w:val="21"/>
              </w:rPr>
              <w:t xml:space="preserve">A company showing strong EPS but negative FCF is a warning sign: it is reporting profits but not actually generating cash. This happens frequently in capital-intensive industries and in companies with aggressive revenue recognition.</w:t>
            </w:r>
          </w:p>
          <w:p>
            <w:pPr>
              <w:spacing w:after="80" w:before="40"/>
            </w:pPr>
            <w:r>
              <w:rPr>
                <w:rFonts w:ascii="Calibri" w:cs="Calibri" w:eastAsia="Calibri" w:hAnsi="Calibri"/>
                <w:color w:val="1A1A1A"/>
                <w:sz w:val="21"/>
                <w:szCs w:val="21"/>
              </w:rPr>
              <w:t xml:space="preserve">Adding it as a display field first lets you observe the data quality across 50 stocks before committing to score it.</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FCF is the hardest financial metric to manipulate — adds a genuine quality check</w:t>
            </w:r>
          </w:p>
          <w:p>
            <w:pPr>
              <w:pStyle w:val="ListParagraph"/>
              <w:numPr>
                <w:ilvl w:val="0"/>
                <w:numId w:val="2"/>
              </w:numPr>
              <w:spacing w:after="60" w:before="40"/>
            </w:pPr>
            <w:r>
              <w:rPr>
                <w:rFonts w:ascii="Calibri" w:cs="Calibri" w:eastAsia="Calibri" w:hAnsi="Calibri"/>
                <w:color w:val="1A1A1A"/>
                <w:sz w:val="21"/>
                <w:szCs w:val="21"/>
              </w:rPr>
              <w:t xml:space="preserve">Display-only approach is risk-free: won’t distort rankings while you validate data quality</w:t>
            </w:r>
          </w:p>
          <w:p>
            <w:pPr>
              <w:pStyle w:val="ListParagraph"/>
              <w:numPr>
                <w:ilvl w:val="0"/>
                <w:numId w:val="2"/>
              </w:numPr>
              <w:spacing w:after="60" w:before="40"/>
            </w:pPr>
            <w:r>
              <w:rPr>
                <w:rFonts w:ascii="Calibri" w:cs="Calibri" w:eastAsia="Calibri" w:hAnsi="Calibri"/>
                <w:color w:val="1A1A1A"/>
                <w:sz w:val="21"/>
                <w:szCs w:val="21"/>
              </w:rPr>
              <w:t xml:space="preserve">Negative FCF stocks get a mental flag before you invest, even without formal scoring</w:t>
            </w:r>
          </w:p>
          <w:p>
            <w:pPr>
              <w:pStyle w:val="ListParagraph"/>
              <w:numPr>
                <w:ilvl w:val="0"/>
                <w:numId w:val="2"/>
              </w:numPr>
              <w:spacing w:after="60" w:before="40"/>
            </w:pPr>
            <w:r>
              <w:rPr>
                <w:rFonts w:ascii="Calibri" w:cs="Calibri" w:eastAsia="Calibri" w:hAnsi="Calibri"/>
                <w:color w:val="1A1A1A"/>
                <w:sz w:val="21"/>
                <w:szCs w:val="21"/>
              </w:rPr>
              <w:t xml:space="preserve">Lays the groundwork for scoring it in V2 if data quality proves reliable</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Yahoo Finance FCF data for Indian companies is inconsistent — some quarters missing, some clearly erroneous</w:t>
            </w:r>
          </w:p>
          <w:p>
            <w:pPr>
              <w:pStyle w:val="ListParagraph"/>
              <w:numPr>
                <w:ilvl w:val="0"/>
                <w:numId w:val="3"/>
              </w:numPr>
              <w:spacing w:after="60" w:before="40"/>
            </w:pPr>
            <w:r>
              <w:rPr>
                <w:rFonts w:ascii="Calibri" w:cs="Calibri" w:eastAsia="Calibri" w:hAnsi="Calibri"/>
                <w:color w:val="1A1A1A"/>
                <w:sz w:val="21"/>
                <w:szCs w:val="21"/>
              </w:rPr>
              <w:t xml:space="preserve">Capital-intensive companies (JSW Steel, Tata Motors, NTPC) will always show low/negative FCF during expansion phases but are not worse businesses — context is required</w:t>
            </w:r>
          </w:p>
          <w:p>
            <w:pPr>
              <w:pStyle w:val="ListParagraph"/>
              <w:numPr>
                <w:ilvl w:val="0"/>
                <w:numId w:val="3"/>
              </w:numPr>
              <w:spacing w:after="60" w:before="40"/>
            </w:pPr>
            <w:r>
              <w:rPr>
                <w:rFonts w:ascii="Calibri" w:cs="Calibri" w:eastAsia="Calibri" w:hAnsi="Calibri"/>
                <w:color w:val="1A1A1A"/>
                <w:sz w:val="21"/>
                <w:szCs w:val="21"/>
              </w:rPr>
              <w:t xml:space="preserve">Without scoring, no ranking impact — purely informational for now</w:t>
            </w:r>
          </w:p>
        </w:tc>
      </w:tr>
    </w:tbl>
    <w:p>
      <w:pPr>
        <w:spacing w:after="280" w:before="0"/>
      </w:pP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6  </w:t>
            </w:r>
            <w:r>
              <w:rPr>
                <w:rFonts w:ascii="Arial" w:cs="Arial" w:eastAsia="Arial" w:hAnsi="Arial"/>
                <w:b/>
                <w:bCs/>
                <w:color w:val="FFFFFF"/>
                <w:sz w:val="22"/>
                <w:szCs w:val="22"/>
              </w:rPr>
              <w:t xml:space="preserve">Replace D/E-Only Scoring with D/E + Interest Coverage Ratio (Non-Banks)</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Debt to Equity scoring for non-banking stocks: D/E &lt; 0.5 → 10 pts, 0.5–1.0 → 7 pts, 1.0–2.0 → 4 pts, above 2.0 → 0 pts.</w:t>
            </w:r>
          </w:p>
          <w:p>
            <w:pPr>
              <w:spacing w:after="80" w:before="40"/>
            </w:pPr>
            <w:r>
              <w:rPr>
                <w:rFonts w:ascii="Calibri" w:cs="Calibri" w:eastAsia="Calibri" w:hAnsi="Calibri"/>
                <w:color w:val="1A1A1A"/>
                <w:sz w:val="21"/>
                <w:szCs w:val="21"/>
              </w:rPr>
              <w:t xml:space="preserve">D/E tells you how much debt exists. It says nothing about whether the company can service that debt from its current earnings.</w:t>
            </w:r>
          </w:p>
          <w:p>
            <w:pPr>
              <w:spacing w:after="80" w:before="40"/>
            </w:pPr>
            <w:r>
              <w:rPr>
                <w:rFonts w:ascii="Calibri" w:cs="Calibri" w:eastAsia="Calibri" w:hAnsi="Calibri"/>
                <w:color w:val="1A1A1A"/>
                <w:sz w:val="21"/>
                <w:szCs w:val="21"/>
              </w:rPr>
              <w:t xml:space="preserve">Interest Coverage Ratio (ICR) = Operating Profit ÷ Annual Interest Expense. This metric is not currently computed or used.</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For non-banking stocks only, replace the pure D/E score with a two-layer check:</w:t>
            </w:r>
          </w:p>
          <w:p>
            <w:pPr>
              <w:spacing w:after="80" w:before="40"/>
            </w:pPr>
            <w:r>
              <w:rPr>
                <w:rFonts w:ascii="Calibri" w:cs="Calibri" w:eastAsia="Calibri" w:hAnsi="Calibri"/>
                <w:b/>
                <w:bCs/>
                <w:color w:val="1A1A1A"/>
                <w:sz w:val="21"/>
                <w:szCs w:val="21"/>
              </w:rPr>
              <w:t xml:space="preserve">Layer 1 (hard gate):</w:t>
            </w:r>
            <w:r>
              <w:rPr>
                <w:rFonts w:ascii="Calibri" w:cs="Calibri" w:eastAsia="Calibri" w:hAnsi="Calibri"/>
                <w:color w:val="1A1A1A"/>
                <w:sz w:val="21"/>
                <w:szCs w:val="21"/>
              </w:rPr>
              <w:t xml:space="preserve"> If D/E &gt; 2.0 → 0 pts regardless of ICR.</w:t>
            </w:r>
          </w:p>
          <w:p>
            <w:pPr>
              <w:spacing w:after="80" w:before="40"/>
            </w:pPr>
            <w:r>
              <w:rPr>
                <w:rFonts w:ascii="Calibri" w:cs="Calibri" w:eastAsia="Calibri" w:hAnsi="Calibri"/>
                <w:b/>
                <w:bCs/>
                <w:color w:val="1A1A1A"/>
                <w:sz w:val="21"/>
                <w:szCs w:val="21"/>
              </w:rPr>
              <w:t xml:space="preserve">Layer 2 (differentiation within 0–2.0 D/E range):</w:t>
            </w:r>
            <w:r>
              <w:rPr>
                <w:rFonts w:ascii="Calibri" w:cs="Calibri" w:eastAsia="Calibri" w:hAnsi="Calibri"/>
                <w:color w:val="1A1A1A"/>
                <w:sz w:val="21"/>
                <w:szCs w:val="21"/>
              </w:rPr>
              <w:t xml:space="preserve"> Use ICR to allocate the 10 points:</w:t>
            </w:r>
          </w:p>
          <w:p>
            <w:pPr>
              <w:spacing w:after="80" w:before="40"/>
            </w:pPr>
            <w:r>
              <w:rPr>
                <w:rFonts w:ascii="Calibri" w:cs="Calibri" w:eastAsia="Calibri" w:hAnsi="Calibri"/>
                <w:color w:val="1A1A1A"/>
                <w:sz w:val="21"/>
                <w:szCs w:val="21"/>
              </w:rPr>
              <w:t xml:space="preserve">ICR &gt; 5.0 (very comfortably serviced) → 10 pts</w:t>
            </w:r>
          </w:p>
          <w:p>
            <w:pPr>
              <w:spacing w:after="80" w:before="40"/>
            </w:pPr>
            <w:r>
              <w:rPr>
                <w:rFonts w:ascii="Calibri" w:cs="Calibri" w:eastAsia="Calibri" w:hAnsi="Calibri"/>
                <w:color w:val="1A1A1A"/>
                <w:sz w:val="21"/>
                <w:szCs w:val="21"/>
              </w:rPr>
              <w:t xml:space="preserve">ICR 3.0–5.0 → 7 pts</w:t>
            </w:r>
          </w:p>
          <w:p>
            <w:pPr>
              <w:spacing w:after="80" w:before="40"/>
            </w:pPr>
            <w:r>
              <w:rPr>
                <w:rFonts w:ascii="Calibri" w:cs="Calibri" w:eastAsia="Calibri" w:hAnsi="Calibri"/>
                <w:color w:val="1A1A1A"/>
                <w:sz w:val="21"/>
                <w:szCs w:val="21"/>
              </w:rPr>
              <w:t xml:space="preserve">ICR 1.5–3.0 → 4 pts</w:t>
            </w:r>
          </w:p>
          <w:p>
            <w:pPr>
              <w:spacing w:after="80" w:before="40"/>
            </w:pPr>
            <w:r>
              <w:rPr>
                <w:rFonts w:ascii="Calibri" w:cs="Calibri" w:eastAsia="Calibri" w:hAnsi="Calibri"/>
                <w:color w:val="1A1A1A"/>
                <w:sz w:val="21"/>
                <w:szCs w:val="21"/>
              </w:rPr>
              <w:t xml:space="preserve">ICR &lt; 1.5 (earnings barely covering interest) → 0 pts</w:t>
            </w:r>
          </w:p>
          <w:p>
            <w:pPr>
              <w:spacing w:after="80" w:before="40"/>
            </w:pPr>
            <w:r>
              <w:rPr>
                <w:rFonts w:ascii="Calibri" w:cs="Calibri" w:eastAsia="Calibri" w:hAnsi="Calibri"/>
                <w:color w:val="1A1A1A"/>
                <w:sz w:val="21"/>
                <w:szCs w:val="21"/>
              </w:rPr>
              <w:t xml:space="preserve">Total points for this metric remains 10. Banking stocks remain fully exempt.</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D/E misses a critical case: a company with D/E = 0.8 (which scores 7 pts today) but ICR = 1.2 (earnings barely covering interest payments) is in real financial stress. D/E makes it look fine; ICR reveals the danger.</w:t>
            </w:r>
          </w:p>
          <w:p>
            <w:pPr>
              <w:spacing w:after="80" w:before="40"/>
            </w:pPr>
            <w:r>
              <w:rPr>
                <w:rFonts w:ascii="Calibri" w:cs="Calibri" w:eastAsia="Calibri" w:hAnsi="Calibri"/>
                <w:color w:val="1A1A1A"/>
                <w:sz w:val="21"/>
                <w:szCs w:val="21"/>
              </w:rPr>
              <w:t xml:space="preserve">ICR is the metric banks and credit rating agencies use as the primary debt serviceability test. It directly answers: if business conditions tighten, can this company survive its debt obligations?</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Catches companies with moderate debt but dangerously thin interest coverage — a risk D/E alone misses</w:t>
            </w:r>
          </w:p>
          <w:p>
            <w:pPr>
              <w:pStyle w:val="ListParagraph"/>
              <w:numPr>
                <w:ilvl w:val="0"/>
                <w:numId w:val="2"/>
              </w:numPr>
              <w:spacing w:after="60" w:before="40"/>
            </w:pPr>
            <w:r>
              <w:rPr>
                <w:rFonts w:ascii="Calibri" w:cs="Calibri" w:eastAsia="Calibri" w:hAnsi="Calibri"/>
                <w:color w:val="1A1A1A"/>
                <w:sz w:val="21"/>
                <w:szCs w:val="21"/>
              </w:rPr>
              <w:t xml:space="preserve">Same 10-point maximum — no change to total score structure</w:t>
            </w:r>
          </w:p>
          <w:p>
            <w:pPr>
              <w:pStyle w:val="ListParagraph"/>
              <w:numPr>
                <w:ilvl w:val="0"/>
                <w:numId w:val="2"/>
              </w:numPr>
              <w:spacing w:after="60" w:before="40"/>
            </w:pPr>
            <w:r>
              <w:rPr>
                <w:rFonts w:ascii="Calibri" w:cs="Calibri" w:eastAsia="Calibri" w:hAnsi="Calibri"/>
                <w:color w:val="1A1A1A"/>
                <w:sz w:val="21"/>
                <w:szCs w:val="21"/>
              </w:rPr>
              <w:t xml:space="preserve">Interest expense data is available in Yahoo Finance income statement (already fetched)</w:t>
            </w:r>
          </w:p>
          <w:p>
            <w:pPr>
              <w:pStyle w:val="ListParagraph"/>
              <w:numPr>
                <w:ilvl w:val="0"/>
                <w:numId w:val="2"/>
              </w:numPr>
              <w:spacing w:after="60" w:before="40"/>
            </w:pPr>
            <w:r>
              <w:rPr>
                <w:rFonts w:ascii="Calibri" w:cs="Calibri" w:eastAsia="Calibri" w:hAnsi="Calibri"/>
                <w:color w:val="1A1A1A"/>
                <w:sz w:val="21"/>
                <w:szCs w:val="21"/>
              </w:rPr>
              <w:t xml:space="preserve">Aligns with how credit analysts actually assess debt risk</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ICR fluctuates with earnings cycle — a company in a tough year may show low ICR temporarily without being structurally stressed</w:t>
            </w:r>
          </w:p>
          <w:p>
            <w:pPr>
              <w:pStyle w:val="ListParagraph"/>
              <w:numPr>
                <w:ilvl w:val="0"/>
                <w:numId w:val="3"/>
              </w:numPr>
              <w:spacing w:after="60" w:before="40"/>
            </w:pPr>
            <w:r>
              <w:rPr>
                <w:rFonts w:ascii="Calibri" w:cs="Calibri" w:eastAsia="Calibri" w:hAnsi="Calibri"/>
                <w:color w:val="1A1A1A"/>
                <w:sz w:val="21"/>
                <w:szCs w:val="21"/>
              </w:rPr>
              <w:t xml:space="preserve">Zero-debt companies have undefined ICR (division by zero) — need special handling: if interest expense = 0, award full 10 pts automatically</w:t>
            </w:r>
          </w:p>
          <w:p>
            <w:pPr>
              <w:pStyle w:val="ListParagraph"/>
              <w:numPr>
                <w:ilvl w:val="0"/>
                <w:numId w:val="3"/>
              </w:numPr>
              <w:spacing w:after="60" w:before="40"/>
            </w:pPr>
            <w:r>
              <w:rPr>
                <w:rFonts w:ascii="Calibri" w:cs="Calibri" w:eastAsia="Calibri" w:hAnsi="Calibri"/>
                <w:color w:val="1A1A1A"/>
                <w:sz w:val="21"/>
                <w:szCs w:val="21"/>
              </w:rPr>
              <w:t xml:space="preserve">Adds complexity to the Scoring Model tab explanation</w:t>
            </w:r>
          </w:p>
        </w:tc>
      </w:tr>
    </w:tbl>
    <w:p>
      <w:pPr>
        <w:spacing w:after="280" w:before="0"/>
      </w:pP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7  </w:t>
            </w:r>
            <w:r>
              <w:rPr>
                <w:rFonts w:ascii="Arial" w:cs="Arial" w:eastAsia="Arial" w:hAnsi="Arial"/>
                <w:b/>
                <w:bCs/>
                <w:color w:val="FFFFFF"/>
                <w:sz w:val="22"/>
                <w:szCs w:val="22"/>
              </w:rPr>
              <w:t xml:space="preserve">Add Bank-Specific Metrics for the 10 Points Banks Don’t Get Scored On</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Banking stocks (HDFC Bank, ICICI Bank, Kotak, Axis, SBI, IndusInd, Bandhan, Federal, IDFC First, AU Small Finance) are exempt from D/E scoring.</w:t>
            </w:r>
          </w:p>
          <w:p>
            <w:pPr>
              <w:spacing w:after="80" w:before="40"/>
            </w:pPr>
            <w:r>
              <w:rPr>
                <w:rFonts w:ascii="Calibri" w:cs="Calibri" w:eastAsia="Calibri" w:hAnsi="Calibri"/>
                <w:color w:val="1A1A1A"/>
                <w:sz w:val="21"/>
                <w:szCs w:val="21"/>
              </w:rPr>
              <w:t xml:space="preserve">This means banks can score a maximum of 90 out of 100. The 10 points simply do not apply to them.</w:t>
            </w:r>
          </w:p>
          <w:p>
            <w:pPr>
              <w:spacing w:after="80" w:before="40"/>
            </w:pPr>
            <w:r>
              <w:rPr>
                <w:rFonts w:ascii="Calibri" w:cs="Calibri" w:eastAsia="Calibri" w:hAnsi="Calibri"/>
                <w:color w:val="1A1A1A"/>
                <w:sz w:val="21"/>
                <w:szCs w:val="21"/>
              </w:rPr>
              <w:t xml:space="preserve">No replacement metric exists. Banks’ financial health is not assessed in any way for those 10 points.</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Add bank-specific scoring for the 10 points, using two banking metrics:</w:t>
            </w:r>
          </w:p>
          <w:p>
            <w:pPr>
              <w:spacing w:after="80" w:before="40"/>
            </w:pPr>
            <w:r>
              <w:rPr>
                <w:rFonts w:ascii="Calibri" w:cs="Calibri" w:eastAsia="Calibri" w:hAnsi="Calibri"/>
                <w:b/>
                <w:bCs/>
                <w:color w:val="1A1A1A"/>
                <w:sz w:val="21"/>
                <w:szCs w:val="21"/>
              </w:rPr>
              <w:t xml:space="preserve">Net Interest Margin (NIM) trend — 5 pts:</w:t>
            </w:r>
            <w:r>
              <w:rPr>
                <w:rFonts w:ascii="Calibri" w:cs="Calibri" w:eastAsia="Calibri" w:hAnsi="Calibri"/>
                <w:color w:val="1A1A1A"/>
                <w:sz w:val="21"/>
                <w:szCs w:val="21"/>
              </w:rPr>
              <w:t xml:space="preserve"> NIM = (Interest Income − Interest Expense) ÷ Earning Assets. Trend over 4 quarters: Expanding → 5 pts, Flat → 3 pts, Contracting → 0 pts.</w:t>
            </w:r>
          </w:p>
          <w:p>
            <w:pPr>
              <w:spacing w:after="80" w:before="40"/>
            </w:pPr>
            <w:r>
              <w:rPr>
                <w:rFonts w:ascii="Calibri" w:cs="Calibri" w:eastAsia="Calibri" w:hAnsi="Calibri"/>
                <w:b/>
                <w:bCs/>
                <w:color w:val="1A1A1A"/>
                <w:sz w:val="21"/>
                <w:szCs w:val="21"/>
              </w:rPr>
              <w:t xml:space="preserve">GNPA (Gross Non-Performing Assets) trend — 5 pts:</w:t>
            </w:r>
            <w:r>
              <w:rPr>
                <w:rFonts w:ascii="Calibri" w:cs="Calibri" w:eastAsia="Calibri" w:hAnsi="Calibri"/>
                <w:color w:val="1A1A1A"/>
                <w:sz w:val="21"/>
                <w:szCs w:val="21"/>
              </w:rPr>
              <w:t xml:space="preserve"> GNPA % = bad loans as % of total loans. Declining GNPA → 5 pts (improving loan quality), Rising GNPA → 0 pts (deteriorating).</w:t>
            </w:r>
          </w:p>
          <w:p>
            <w:pPr>
              <w:spacing w:after="80" w:before="40"/>
            </w:pPr>
            <w:r>
              <w:rPr>
                <w:rFonts w:ascii="Calibri" w:cs="Calibri" w:eastAsia="Calibri" w:hAnsi="Calibri"/>
                <w:color w:val="1A1A1A"/>
                <w:sz w:val="21"/>
                <w:szCs w:val="21"/>
              </w:rPr>
              <w:t xml:space="preserve">Both metrics are available from quarterly results filings (BSE/NSE). However, Yahoo Finance does not provide them reliably — this may require manual quarterly input or a secondary data source.</w:t>
            </w:r>
          </w:p>
          <w:p>
            <w:pPr>
              <w:spacing w:after="80" w:before="40"/>
            </w:pPr>
            <w:r>
              <w:rPr>
                <w:rFonts w:ascii="Calibri" w:cs="Calibri" w:eastAsia="Calibri" w:hAnsi="Calibri"/>
                <w:b/>
                <w:bCs/>
                <w:color w:val="1A1A1A"/>
                <w:sz w:val="21"/>
                <w:szCs w:val="21"/>
              </w:rPr>
              <w:t xml:space="preserve">Implementation note:</w:t>
            </w:r>
            <w:r>
              <w:rPr>
                <w:rFonts w:ascii="Calibri" w:cs="Calibri" w:eastAsia="Calibri" w:hAnsi="Calibri"/>
                <w:color w:val="1A1A1A"/>
                <w:sz w:val="21"/>
                <w:szCs w:val="21"/>
              </w:rPr>
              <w:t xml:space="preserve"> Build the display fields first. Score them only after you have 2 quarters of reliable data.</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Banks’ financial health is driven by entirely different factors from industrial companies. NIM tells you whether the core lending spread is healthy. GNPA tells you whether the loan book is deteriorating. A bank with expanding NIM and declining NPAs is a fundamentally strong bank — exactly what the 10 missing points should capture.</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Restores a full 100-point scoring range for banking stocks</w:t>
            </w:r>
          </w:p>
          <w:p>
            <w:pPr>
              <w:pStyle w:val="ListParagraph"/>
              <w:numPr>
                <w:ilvl w:val="0"/>
                <w:numId w:val="2"/>
              </w:numPr>
              <w:spacing w:after="60" w:before="40"/>
            </w:pPr>
            <w:r>
              <w:rPr>
                <w:rFonts w:ascii="Calibri" w:cs="Calibri" w:eastAsia="Calibri" w:hAnsi="Calibri"/>
                <w:color w:val="1A1A1A"/>
                <w:sz w:val="21"/>
                <w:szCs w:val="21"/>
              </w:rPr>
              <w:t xml:space="preserve">NIM and GNPA are the two metrics bank analysts focus on most — industry-standard signals</w:t>
            </w:r>
          </w:p>
          <w:p>
            <w:pPr>
              <w:pStyle w:val="ListParagraph"/>
              <w:numPr>
                <w:ilvl w:val="0"/>
                <w:numId w:val="2"/>
              </w:numPr>
              <w:spacing w:after="60" w:before="40"/>
            </w:pPr>
            <w:r>
              <w:rPr>
                <w:rFonts w:ascii="Calibri" w:cs="Calibri" w:eastAsia="Calibri" w:hAnsi="Calibri"/>
                <w:color w:val="1A1A1A"/>
                <w:sz w:val="21"/>
                <w:szCs w:val="21"/>
              </w:rPr>
              <w:t xml:space="preserve">Makes comparisons between bank stocks much more meaningful</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Yahoo Finance does not consistently provide NIM or GNPA for Indian banks — may require manual data entry quarterly from BSE filing PDFs</w:t>
            </w:r>
          </w:p>
          <w:p>
            <w:pPr>
              <w:pStyle w:val="ListParagraph"/>
              <w:numPr>
                <w:ilvl w:val="0"/>
                <w:numId w:val="3"/>
              </w:numPr>
              <w:spacing w:after="60" w:before="40"/>
            </w:pPr>
            <w:r>
              <w:rPr>
                <w:rFonts w:ascii="Calibri" w:cs="Calibri" w:eastAsia="Calibri" w:hAnsi="Calibri"/>
                <w:color w:val="1A1A1A"/>
                <w:sz w:val="21"/>
                <w:szCs w:val="21"/>
              </w:rPr>
              <w:t xml:space="preserve">Adds significant data maintenance overhead if done manually</w:t>
            </w:r>
          </w:p>
          <w:p>
            <w:pPr>
              <w:pStyle w:val="ListParagraph"/>
              <w:numPr>
                <w:ilvl w:val="0"/>
                <w:numId w:val="3"/>
              </w:numPr>
              <w:spacing w:after="60" w:before="40"/>
            </w:pPr>
            <w:r>
              <w:rPr>
                <w:rFonts w:ascii="Calibri" w:cs="Calibri" w:eastAsia="Calibri" w:hAnsi="Calibri"/>
                <w:color w:val="1A1A1A"/>
                <w:sz w:val="21"/>
                <w:szCs w:val="21"/>
              </w:rPr>
              <w:t xml:space="preserve">Should not be built until a reliable data source is confirmed</w:t>
            </w:r>
          </w:p>
        </w:tc>
      </w:tr>
    </w:tbl>
    <w:p>
      <w:pPr>
        <w:spacing w:after="280" w:before="0"/>
      </w:pPr>
    </w:p>
    <w:p>
      <w:pPr>
        <w:spacing w:after="280" w:before="0"/>
      </w:pPr>
    </w:p>
    <w:p>
      <w:pPr>
        <w:pageBreakBefore/>
      </w:pPr>
    </w:p>
    <w:p>
      <w:pPr>
        <w:pStyle w:val="Heading1"/>
        <w:spacing w:after="140" w:before="360"/>
      </w:pPr>
      <w:r>
        <w:rPr>
          <w:rFonts w:ascii="Arial" w:cs="Arial" w:eastAsia="Arial" w:hAnsi="Arial"/>
          <w:b/>
          <w:bCs/>
          <w:color w:val="C0450A"/>
          <w:sz w:val="34"/>
          <w:szCs w:val="34"/>
        </w:rPr>
        <w:t xml:space="preserve">Section C — Future Tabs (New capabilities)</w:t>
      </w:r>
    </w:p>
    <w:p>
      <w:pPr>
        <w:spacing w:after="160" w:before="0"/>
      </w:pPr>
      <w:r>
        <w:rPr>
          <w:rFonts w:ascii="Calibri" w:cs="Calibri" w:eastAsia="Calibri" w:hAnsi="Calibri"/>
          <w:color w:val="1A1A1A"/>
          <w:sz w:val="22"/>
          <w:szCs w:val="22"/>
        </w:rPr>
        <w:t xml:space="preserve">These are net-new tabs on the dashboard — not changes to existing scoring. Build after the core model is stable.</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8  </w:t>
            </w:r>
            <w:r>
              <w:rPr>
                <w:rFonts w:ascii="Arial" w:cs="Arial" w:eastAsia="Arial" w:hAnsi="Arial"/>
                <w:b/>
                <w:bCs/>
                <w:color w:val="FFFFFF"/>
                <w:sz w:val="22"/>
                <w:szCs w:val="22"/>
              </w:rPr>
              <w:t xml:space="preserve">Technical Analysis Reference Tab</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No technical analysis of any kind is displayed or computed. The dashboard only shows fundamental data and momentum relative returns.</w:t>
            </w:r>
          </w:p>
          <w:p>
            <w:pPr>
              <w:spacing w:after="80" w:before="40"/>
            </w:pPr>
            <w:r>
              <w:rPr>
                <w:rFonts w:ascii="Calibri" w:cs="Calibri" w:eastAsia="Calibri" w:hAnsi="Calibri"/>
                <w:color w:val="1A1A1A"/>
                <w:sz w:val="21"/>
                <w:szCs w:val="21"/>
              </w:rPr>
              <w:t xml:space="preserve">There is no visual indication of whether a stock is above or below its moving averages, or whether it is in overbought/oversold territory.</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Add a new “Technical” tab showing, for each stock:</w:t>
            </w:r>
          </w:p>
          <w:p>
            <w:pPr>
              <w:spacing w:after="80" w:before="40"/>
            </w:pPr>
            <w:r>
              <w:rPr>
                <w:rFonts w:ascii="Calibri" w:cs="Calibri" w:eastAsia="Calibri" w:hAnsi="Calibri"/>
                <w:b/>
                <w:bCs/>
                <w:color w:val="1A1A1A"/>
                <w:sz w:val="21"/>
                <w:szCs w:val="21"/>
              </w:rPr>
              <w:t xml:space="preserve">50-day and 200-day Moving Averages</w:t>
            </w:r>
            <w:r>
              <w:rPr>
                <w:rFonts w:ascii="Calibri" w:cs="Calibri" w:eastAsia="Calibri" w:hAnsi="Calibri"/>
                <w:color w:val="1A1A1A"/>
                <w:sz w:val="21"/>
                <w:szCs w:val="21"/>
              </w:rPr>
              <w:t xml:space="preserve"> vs current price (above = bullish, below = bearish)</w:t>
            </w:r>
          </w:p>
          <w:p>
            <w:pPr>
              <w:spacing w:after="80" w:before="40"/>
            </w:pPr>
            <w:r>
              <w:rPr>
                <w:rFonts w:ascii="Calibri" w:cs="Calibri" w:eastAsia="Calibri" w:hAnsi="Calibri"/>
                <w:b/>
                <w:bCs/>
                <w:color w:val="1A1A1A"/>
                <w:sz w:val="21"/>
                <w:szCs w:val="21"/>
              </w:rPr>
              <w:t xml:space="preserve">RSI (14-day)</w:t>
            </w:r>
            <w:r>
              <w:rPr>
                <w:rFonts w:ascii="Calibri" w:cs="Calibri" w:eastAsia="Calibri" w:hAnsi="Calibri"/>
                <w:color w:val="1A1A1A"/>
                <w:sz w:val="21"/>
                <w:szCs w:val="21"/>
              </w:rPr>
              <w:t xml:space="preserve"> — Relative Strength Index. Below 30 = oversold (potential entry). Above 70 = overbought (caution).</w:t>
            </w:r>
          </w:p>
          <w:p>
            <w:pPr>
              <w:spacing w:after="80" w:before="40"/>
            </w:pPr>
            <w:r>
              <w:rPr>
                <w:rFonts w:ascii="Calibri" w:cs="Calibri" w:eastAsia="Calibri" w:hAnsi="Calibri"/>
                <w:b/>
                <w:bCs/>
                <w:color w:val="1A1A1A"/>
                <w:sz w:val="21"/>
                <w:szCs w:val="21"/>
              </w:rPr>
              <w:t xml:space="preserve">52-week high/low position</w:t>
            </w:r>
            <w:r>
              <w:rPr>
                <w:rFonts w:ascii="Calibri" w:cs="Calibri" w:eastAsia="Calibri" w:hAnsi="Calibri"/>
                <w:color w:val="1A1A1A"/>
                <w:sz w:val="21"/>
                <w:szCs w:val="21"/>
              </w:rPr>
              <w:t xml:space="preserve"> — where current price sits within the annual range</w:t>
            </w:r>
          </w:p>
          <w:p>
            <w:pPr>
              <w:spacing w:after="80" w:before="40"/>
            </w:pPr>
            <w:r>
              <w:rPr>
                <w:rFonts w:ascii="Calibri" w:cs="Calibri" w:eastAsia="Calibri" w:hAnsi="Calibri"/>
                <w:color w:val="1A1A1A"/>
                <w:sz w:val="21"/>
                <w:szCs w:val="21"/>
              </w:rPr>
              <w:t xml:space="preserve">All price data is already being downloaded in fetch_data.py. This tab only requires computing these metrics from existing data and rendering them in a new tab.</w:t>
            </w:r>
          </w:p>
          <w:p>
            <w:pPr>
              <w:spacing w:after="80" w:before="40"/>
            </w:pPr>
            <w:r>
              <w:rPr>
                <w:rFonts w:ascii="Calibri" w:cs="Calibri" w:eastAsia="Calibri" w:hAnsi="Calibri"/>
                <w:b/>
                <w:bCs/>
                <w:color w:val="1A1A1A"/>
                <w:sz w:val="21"/>
                <w:szCs w:val="21"/>
              </w:rPr>
              <w:t xml:space="preserve">This tab does NOT affect scores.</w:t>
            </w:r>
            <w:r>
              <w:rPr>
                <w:rFonts w:ascii="Calibri" w:cs="Calibri" w:eastAsia="Calibri" w:hAnsi="Calibri"/>
                <w:color w:val="1A1A1A"/>
                <w:sz w:val="21"/>
                <w:szCs w:val="21"/>
              </w:rPr>
              <w:t xml:space="preserve"> It is a timing reference only.</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The scoring model tells you WHAT to buy. Technical analysis helps with WHEN to buy it. If a top-25 stock is in a short-term downtrend (below 50DMA, RSI declining), waiting 2–3 weeks before entering often gives a better entry price.</w:t>
            </w:r>
          </w:p>
          <w:p>
            <w:pPr>
              <w:spacing w:after="80" w:before="40"/>
            </w:pPr>
            <w:r>
              <w:rPr>
                <w:rFonts w:ascii="Calibri" w:cs="Calibri" w:eastAsia="Calibri" w:hAnsi="Calibri"/>
                <w:color w:val="1A1A1A"/>
                <w:sz w:val="21"/>
                <w:szCs w:val="21"/>
              </w:rPr>
              <w:t xml:space="preserve">This does not compromise the fundamental model — it adds a practical execution layer.</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No new data needed — all price history already fetched</w:t>
            </w:r>
          </w:p>
          <w:p>
            <w:pPr>
              <w:pStyle w:val="ListParagraph"/>
              <w:numPr>
                <w:ilvl w:val="0"/>
                <w:numId w:val="2"/>
              </w:numPr>
              <w:spacing w:after="60" w:before="40"/>
            </w:pPr>
            <w:r>
              <w:rPr>
                <w:rFonts w:ascii="Calibri" w:cs="Calibri" w:eastAsia="Calibri" w:hAnsi="Calibri"/>
                <w:color w:val="1A1A1A"/>
                <w:sz w:val="21"/>
                <w:szCs w:val="21"/>
              </w:rPr>
              <w:t xml:space="preserve">Helps optimise entry timing within the quarter</w:t>
            </w:r>
          </w:p>
          <w:p>
            <w:pPr>
              <w:pStyle w:val="ListParagraph"/>
              <w:numPr>
                <w:ilvl w:val="0"/>
                <w:numId w:val="2"/>
              </w:numPr>
              <w:spacing w:after="60" w:before="40"/>
            </w:pPr>
            <w:r>
              <w:rPr>
                <w:rFonts w:ascii="Calibri" w:cs="Calibri" w:eastAsia="Calibri" w:hAnsi="Calibri"/>
                <w:color w:val="1A1A1A"/>
                <w:sz w:val="21"/>
                <w:szCs w:val="21"/>
              </w:rPr>
              <w:t xml:space="preserve">RSI oversold signals can flag buying opportunities in fundamentally strong top-25 stocks during market dips</w:t>
            </w:r>
          </w:p>
          <w:p>
            <w:pPr>
              <w:pStyle w:val="ListParagraph"/>
              <w:numPr>
                <w:ilvl w:val="0"/>
                <w:numId w:val="2"/>
              </w:numPr>
              <w:spacing w:after="60" w:before="40"/>
            </w:pPr>
            <w:r>
              <w:rPr>
                <w:rFonts w:ascii="Calibri" w:cs="Calibri" w:eastAsia="Calibri" w:hAnsi="Calibri"/>
                <w:color w:val="1A1A1A"/>
                <w:sz w:val="21"/>
                <w:szCs w:val="21"/>
              </w:rPr>
              <w:t xml:space="preserve">Completely separate from scoring — cannot introduce bias into rankings</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Technical analysis is inherently short-term and can create overtrading if used to make frequent buy/sell decisions</w:t>
            </w:r>
          </w:p>
          <w:p>
            <w:pPr>
              <w:pStyle w:val="ListParagraph"/>
              <w:numPr>
                <w:ilvl w:val="0"/>
                <w:numId w:val="3"/>
              </w:numPr>
              <w:spacing w:after="60" w:before="40"/>
            </w:pPr>
            <w:r>
              <w:rPr>
                <w:rFonts w:ascii="Calibri" w:cs="Calibri" w:eastAsia="Calibri" w:hAnsi="Calibri"/>
                <w:color w:val="1A1A1A"/>
                <w:sz w:val="21"/>
                <w:szCs w:val="21"/>
              </w:rPr>
              <w:t xml:space="preserve">Must be clearly positioned as a timing tool, not an investment signal — risk of confusion</w:t>
            </w:r>
          </w:p>
          <w:p>
            <w:pPr>
              <w:pStyle w:val="ListParagraph"/>
              <w:numPr>
                <w:ilvl w:val="0"/>
                <w:numId w:val="3"/>
              </w:numPr>
              <w:spacing w:after="60" w:before="40"/>
            </w:pPr>
            <w:r>
              <w:rPr>
                <w:rFonts w:ascii="Calibri" w:cs="Calibri" w:eastAsia="Calibri" w:hAnsi="Calibri"/>
                <w:color w:val="1A1A1A"/>
                <w:sz w:val="21"/>
                <w:szCs w:val="21"/>
              </w:rPr>
              <w:t xml:space="preserve">Adds UI complexity and another tab to maintain</w:t>
            </w:r>
          </w:p>
        </w:tc>
      </w:tr>
    </w:tbl>
    <w:p>
      <w:pPr>
        <w:spacing w:after="280" w:before="0"/>
      </w:pP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9  </w:t>
            </w:r>
            <w:r>
              <w:rPr>
                <w:rFonts w:ascii="Arial" w:cs="Arial" w:eastAsia="Arial" w:hAnsi="Arial"/>
                <w:b/>
                <w:bCs/>
                <w:color w:val="FFFFFF"/>
                <w:sz w:val="22"/>
                <w:szCs w:val="22"/>
              </w:rPr>
              <w:t xml:space="preserve">News &amp; Events Tab (Yahoo Finance RSS per Ticker)</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No news or event data is shown anywhere on the dashboard.</w:t>
            </w:r>
          </w:p>
          <w:p>
            <w:pPr>
              <w:spacing w:after="80" w:before="40"/>
            </w:pPr>
            <w:r>
              <w:rPr>
                <w:rFonts w:ascii="Calibri" w:cs="Calibri" w:eastAsia="Calibri" w:hAnsi="Calibri"/>
                <w:color w:val="1A1A1A"/>
                <w:sz w:val="21"/>
                <w:szCs w:val="21"/>
              </w:rPr>
              <w:t xml:space="preserve">The ⚠ forward EPS divergence flag fires when analysts diverge &gt;20%, but there is no direct path to understanding why.</w:t>
            </w:r>
          </w:p>
          <w:p>
            <w:pPr>
              <w:spacing w:after="80" w:before="40"/>
            </w:pPr>
            <w:r>
              <w:rPr>
                <w:rFonts w:ascii="Calibri" w:cs="Calibri" w:eastAsia="Calibri" w:hAnsi="Calibri"/>
                <w:color w:val="1A1A1A"/>
                <w:sz w:val="21"/>
                <w:szCs w:val="21"/>
              </w:rPr>
              <w:t xml:space="preserve">Change 3 (Do Now) adds a single deep-link to Yahoo news. This change goes further and embeds headlines directly.</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Add a “News” tab that shows, for each stock, the 3–5 most recent financially relevant headlines, fetched from Yahoo Finance’s RSS feed.</w:t>
            </w:r>
          </w:p>
          <w:p>
            <w:pPr>
              <w:spacing w:after="80" w:before="40"/>
            </w:pPr>
            <w:r>
              <w:rPr>
                <w:rFonts w:ascii="Calibri" w:cs="Calibri" w:eastAsia="Calibri" w:hAnsi="Calibri"/>
                <w:color w:val="1A1A1A"/>
                <w:sz w:val="21"/>
                <w:szCs w:val="21"/>
              </w:rPr>
              <w:t xml:space="preserve">Yahoo Finance provides a free RSS endpoint per ticker: https://feeds.finance.yahoo.com/rss/2.0/headline?s=TICKER.NS</w:t>
            </w:r>
          </w:p>
          <w:p>
            <w:pPr>
              <w:spacing w:after="80" w:before="40"/>
            </w:pPr>
            <w:r>
              <w:rPr>
                <w:rFonts w:ascii="Calibri" w:cs="Calibri" w:eastAsia="Calibri" w:hAnsi="Calibri"/>
                <w:color w:val="1A1A1A"/>
                <w:sz w:val="21"/>
                <w:szCs w:val="21"/>
              </w:rPr>
              <w:t xml:space="preserve">In fetch_data.py: fetch and parse the RSS for each of the 50 stocks during the daily run. Store the top 3 headlines and their timestamps in nifty_data.json.</w:t>
            </w:r>
          </w:p>
          <w:p>
            <w:pPr>
              <w:spacing w:after="80" w:before="40"/>
            </w:pPr>
            <w:r>
              <w:rPr>
                <w:rFonts w:ascii="Calibri" w:cs="Calibri" w:eastAsia="Calibri" w:hAnsi="Calibri"/>
                <w:color w:val="1A1A1A"/>
                <w:sz w:val="21"/>
                <w:szCs w:val="21"/>
              </w:rPr>
              <w:t xml:space="preserve">Dashboard renders them in a scrollable panel per stock, sorted by recency.</w:t>
            </w:r>
          </w:p>
          <w:p>
            <w:pPr>
              <w:spacing w:after="80" w:before="40"/>
            </w:pPr>
            <w:r>
              <w:rPr>
                <w:rFonts w:ascii="Calibri" w:cs="Calibri" w:eastAsia="Calibri" w:hAnsi="Calibri"/>
                <w:color w:val="1A1A1A"/>
                <w:sz w:val="21"/>
                <w:szCs w:val="21"/>
              </w:rPr>
              <w:t xml:space="preserve">Special highlight: if a stock has the ⚠ divergence flag AND a major news item dated within 14 days — show a combined alert.</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The most common cause of a scoring model giving a false signal is an event that changed the business outlook but hasn’t yet appeared in the financial data: an earnings warning, a regulatory order, a large acquisition, a management scandal.</w:t>
            </w:r>
          </w:p>
          <w:p>
            <w:pPr>
              <w:spacing w:after="80" w:before="40"/>
            </w:pPr>
            <w:r>
              <w:rPr>
                <w:rFonts w:ascii="Calibri" w:cs="Calibri" w:eastAsia="Calibri" w:hAnsi="Calibri"/>
                <w:color w:val="1A1A1A"/>
                <w:sz w:val="21"/>
                <w:szCs w:val="21"/>
              </w:rPr>
              <w:t xml:space="preserve">Headlines don’t require interpretation — you scan 3 headlines per stock in 10 seconds and immediately know if something unusual is happening.</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Brings event awareness directly into the dashboard — no need to search separately</w:t>
            </w:r>
          </w:p>
          <w:p>
            <w:pPr>
              <w:pStyle w:val="ListParagraph"/>
              <w:numPr>
                <w:ilvl w:val="0"/>
                <w:numId w:val="2"/>
              </w:numPr>
              <w:spacing w:after="60" w:before="40"/>
            </w:pPr>
            <w:r>
              <w:rPr>
                <w:rFonts w:ascii="Calibri" w:cs="Calibri" w:eastAsia="Calibri" w:hAnsi="Calibri"/>
                <w:color w:val="1A1A1A"/>
                <w:sz w:val="21"/>
                <w:szCs w:val="21"/>
              </w:rPr>
              <w:t xml:space="preserve">Directly supports the analyst divergence investigation workflow</w:t>
            </w:r>
          </w:p>
          <w:p>
            <w:pPr>
              <w:pStyle w:val="ListParagraph"/>
              <w:numPr>
                <w:ilvl w:val="0"/>
                <w:numId w:val="2"/>
              </w:numPr>
              <w:spacing w:after="60" w:before="40"/>
            </w:pPr>
            <w:r>
              <w:rPr>
                <w:rFonts w:ascii="Calibri" w:cs="Calibri" w:eastAsia="Calibri" w:hAnsi="Calibri"/>
                <w:color w:val="1A1A1A"/>
                <w:sz w:val="21"/>
                <w:szCs w:val="21"/>
              </w:rPr>
              <w:t xml:space="preserve">Yahoo Finance RSS is free, no API key required</w:t>
            </w:r>
          </w:p>
          <w:p>
            <w:pPr>
              <w:pStyle w:val="ListParagraph"/>
              <w:numPr>
                <w:ilvl w:val="0"/>
                <w:numId w:val="2"/>
              </w:numPr>
              <w:spacing w:after="60" w:before="40"/>
            </w:pPr>
            <w:r>
              <w:rPr>
                <w:rFonts w:ascii="Calibri" w:cs="Calibri" w:eastAsia="Calibri" w:hAnsi="Calibri"/>
                <w:color w:val="1A1A1A"/>
                <w:sz w:val="21"/>
                <w:szCs w:val="21"/>
              </w:rPr>
              <w:t xml:space="preserve">Adds maybe 2–3 minutes to the daily fetch runtime (50 RSS calls with brief delays)</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RSS headlines are unfiltered — includes irrelevant articles (listicles, generic market commentary)</w:t>
            </w:r>
          </w:p>
          <w:p>
            <w:pPr>
              <w:pStyle w:val="ListParagraph"/>
              <w:numPr>
                <w:ilvl w:val="0"/>
                <w:numId w:val="3"/>
              </w:numPr>
              <w:spacing w:after="60" w:before="40"/>
            </w:pPr>
            <w:r>
              <w:rPr>
                <w:rFonts w:ascii="Calibri" w:cs="Calibri" w:eastAsia="Calibri" w:hAnsi="Calibri"/>
                <w:color w:val="1A1A1A"/>
                <w:sz w:val="21"/>
                <w:szCs w:val="21"/>
              </w:rPr>
              <w:t xml:space="preserve">Yahoo Finance RSS reliability varies — occasional outages or empty feeds</w:t>
            </w:r>
          </w:p>
          <w:p>
            <w:pPr>
              <w:pStyle w:val="ListParagraph"/>
              <w:numPr>
                <w:ilvl w:val="0"/>
                <w:numId w:val="3"/>
              </w:numPr>
              <w:spacing w:after="60" w:before="40"/>
            </w:pPr>
            <w:r>
              <w:rPr>
                <w:rFonts w:ascii="Calibri" w:cs="Calibri" w:eastAsia="Calibri" w:hAnsi="Calibri"/>
                <w:color w:val="1A1A1A"/>
                <w:sz w:val="21"/>
                <w:szCs w:val="21"/>
              </w:rPr>
              <w:t xml:space="preserve">Headlines do not indicate whether news is positive or negative without reading</w:t>
            </w:r>
          </w:p>
          <w:p>
            <w:pPr>
              <w:pStyle w:val="ListParagraph"/>
              <w:numPr>
                <w:ilvl w:val="0"/>
                <w:numId w:val="3"/>
              </w:numPr>
              <w:spacing w:after="60" w:before="40"/>
            </w:pPr>
            <w:r>
              <w:rPr>
                <w:rFonts w:ascii="Calibri" w:cs="Calibri" w:eastAsia="Calibri" w:hAnsi="Calibri"/>
                <w:color w:val="1A1A1A"/>
                <w:sz w:val="21"/>
                <w:szCs w:val="21"/>
              </w:rPr>
              <w:t xml:space="preserve">Adds non-trivial complexity to fetch_data.py and dashboard rendering</w:t>
            </w:r>
          </w:p>
        </w:tc>
      </w:tr>
    </w:tbl>
    <w:p>
      <w:pPr>
        <w:spacing w:after="280" w:before="0"/>
      </w:pP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9360"/>
            <w:gridSpan w:val="2"/>
            <w:tcBorders>
              <w:top w:val="single" w:color="1B3A5C" w:sz="1"/>
              <w:left w:val="single" w:color="1B3A5C" w:sz="1"/>
              <w:bottom w:val="single" w:color="1B3A5C" w:sz="1"/>
              <w:right w:val="single" w:color="1B3A5C" w:sz="1"/>
            </w:tcBorders>
            <w:shd w:fill="1B3A5C" w:val="clear"/>
            <w:tcMar>
              <w:top w:type="dxa" w:w="100"/>
              <w:left w:type="dxa" w:w="160"/>
              <w:bottom w:type="dxa" w:w="100"/>
              <w:right w:type="dxa" w:w="160"/>
            </w:tcMar>
          </w:tcPr>
          <w:p>
            <w:r>
              <w:rPr>
                <w:rFonts w:ascii="Arial" w:cs="Arial" w:eastAsia="Arial" w:hAnsi="Arial"/>
                <w:b/>
                <w:bCs/>
                <w:color w:val="AADDFF"/>
                <w:sz w:val="22"/>
                <w:szCs w:val="22"/>
              </w:rPr>
              <w:t xml:space="preserve">Change 10  </w:t>
            </w:r>
            <w:r>
              <w:rPr>
                <w:rFonts w:ascii="Arial" w:cs="Arial" w:eastAsia="Arial" w:hAnsi="Arial"/>
                <w:b/>
                <w:bCs/>
                <w:color w:val="FFFFFF"/>
                <w:sz w:val="22"/>
                <w:szCs w:val="22"/>
              </w:rPr>
              <w:t xml:space="preserve">ESG / Regulatory Policy Reference Tab</w:t>
            </w:r>
          </w:p>
        </w:tc>
      </w:tr>
      <w:tr>
        <w:tc>
          <w:tcPr>
            <w:tcW w:type="dxa" w:w="1800"/>
            <w:tcBorders>
              <w:top w:val="single" w:color="CCCCCC" w:sz="1"/>
              <w:left w:val="single" w:color="CCCCCC" w:sz="1"/>
              <w:bottom w:val="single" w:color="CCCCCC" w:sz="1"/>
              <w:right w:val="single" w:color="CCCCCC" w:sz="1"/>
            </w:tcBorders>
            <w:shd w:fill="2C6E9E" w:val="clear"/>
            <w:tcMar>
              <w:top w:type="dxa" w:w="80"/>
              <w:left w:type="dxa" w:w="140"/>
              <w:bottom w:type="dxa" w:w="80"/>
              <w:right w:type="dxa" w:w="100"/>
            </w:tcMar>
            <w:vAlign w:val="top"/>
          </w:tcPr>
          <w:p>
            <w:r>
              <w:rPr>
                <w:rFonts w:ascii="Arial" w:cs="Arial" w:eastAsia="Arial" w:hAnsi="Arial"/>
                <w:b/>
                <w:bCs/>
                <w:color w:val="FFFFFF"/>
                <w:sz w:val="19"/>
                <w:szCs w:val="19"/>
              </w:rPr>
              <w:t xml:space="preserve">CURRENTLY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No ESG, regulatory, or policy data exists anywhere in the dashboard.</w:t>
            </w:r>
          </w:p>
          <w:p>
            <w:pPr>
              <w:spacing w:after="80" w:before="40"/>
            </w:pPr>
            <w:r>
              <w:rPr>
                <w:rFonts w:ascii="Calibri" w:cs="Calibri" w:eastAsia="Calibri" w:hAnsi="Calibri"/>
                <w:color w:val="1A1A1A"/>
                <w:sz w:val="21"/>
                <w:szCs w:val="21"/>
              </w:rPr>
              <w:t xml:space="preserve">Sector-level regulatory risks and tailwinds that are well known (PLI schemes, RBI guidelines, import duties, emissions targets) are not captured or displayed.</w:t>
            </w:r>
          </w:p>
        </w:tc>
      </w:tr>
      <w:tr>
        <w:tc>
          <w:tcPr>
            <w:tcW w:type="dxa" w:w="1800"/>
            <w:tcBorders>
              <w:top w:val="single" w:color="CCCCCC" w:sz="1"/>
              <w:left w:val="single" w:color="CCCCCC" w:sz="1"/>
              <w:bottom w:val="single" w:color="CCCCCC" w:sz="1"/>
              <w:right w:val="single" w:color="CCCCCC" w:sz="1"/>
            </w:tcBorders>
            <w:shd w:fill="1B6B3A" w:val="clear"/>
            <w:tcMar>
              <w:top w:type="dxa" w:w="80"/>
              <w:left w:type="dxa" w:w="140"/>
              <w:bottom w:type="dxa" w:w="80"/>
              <w:right w:type="dxa" w:w="100"/>
            </w:tcMar>
            <w:vAlign w:val="top"/>
          </w:tcPr>
          <w:p>
            <w:r>
              <w:rPr>
                <w:rFonts w:ascii="Arial" w:cs="Arial" w:eastAsia="Arial" w:hAnsi="Arial"/>
                <w:b/>
                <w:bCs/>
                <w:color w:val="FFFFFF"/>
                <w:sz w:val="19"/>
                <w:szCs w:val="19"/>
              </w:rPr>
              <w:t xml:space="preserve">CHANGE TO</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Add a static “Policy &amp; ESG” reference tab — manually curated, updated quarterly.</w:t>
            </w:r>
          </w:p>
          <w:p>
            <w:pPr>
              <w:spacing w:after="80" w:before="40"/>
            </w:pPr>
            <w:r>
              <w:rPr>
                <w:rFonts w:ascii="Calibri" w:cs="Calibri" w:eastAsia="Calibri" w:hAnsi="Calibri"/>
                <w:color w:val="1A1A1A"/>
                <w:sz w:val="21"/>
                <w:szCs w:val="21"/>
              </w:rPr>
              <w:t xml:space="preserve">For each of the ~10 sectors in the Nifty 50, maintain a short structured entry covering:</w:t>
            </w:r>
          </w:p>
          <w:p>
            <w:pPr>
              <w:spacing w:after="80" w:before="40"/>
            </w:pPr>
            <w:r>
              <w:rPr>
                <w:rFonts w:ascii="Calibri" w:cs="Calibri" w:eastAsia="Calibri" w:hAnsi="Calibri"/>
                <w:b/>
                <w:bCs/>
                <w:color w:val="1A1A1A"/>
                <w:sz w:val="21"/>
                <w:szCs w:val="21"/>
              </w:rPr>
              <w:t xml:space="preserve">Regulatory Tailwind:</w:t>
            </w:r>
            <w:r>
              <w:rPr>
                <w:rFonts w:ascii="Calibri" w:cs="Calibri" w:eastAsia="Calibri" w:hAnsi="Calibri"/>
                <w:color w:val="1A1A1A"/>
                <w:sz w:val="21"/>
                <w:szCs w:val="21"/>
              </w:rPr>
              <w:t xml:space="preserve"> Government schemes, tax benefits, or policy support favouring the sector</w:t>
            </w:r>
          </w:p>
          <w:p>
            <w:pPr>
              <w:spacing w:after="80" w:before="40"/>
            </w:pPr>
            <w:r>
              <w:rPr>
                <w:rFonts w:ascii="Calibri" w:cs="Calibri" w:eastAsia="Calibri" w:hAnsi="Calibri"/>
                <w:b/>
                <w:bCs/>
                <w:color w:val="1A1A1A"/>
                <w:sz w:val="21"/>
                <w:szCs w:val="21"/>
              </w:rPr>
              <w:t xml:space="preserve">Regulatory Risk:</w:t>
            </w:r>
            <w:r>
              <w:rPr>
                <w:rFonts w:ascii="Calibri" w:cs="Calibri" w:eastAsia="Calibri" w:hAnsi="Calibri"/>
                <w:color w:val="1A1A1A"/>
                <w:sz w:val="21"/>
                <w:szCs w:val="21"/>
              </w:rPr>
              <w:t xml:space="preserve"> Pending regulation, price controls, compliance burden, or political exposure</w:t>
            </w:r>
          </w:p>
          <w:p>
            <w:pPr>
              <w:spacing w:after="80" w:before="40"/>
            </w:pPr>
            <w:r>
              <w:rPr>
                <w:rFonts w:ascii="Calibri" w:cs="Calibri" w:eastAsia="Calibri" w:hAnsi="Calibri"/>
                <w:b/>
                <w:bCs/>
                <w:color w:val="1A1A1A"/>
                <w:sz w:val="21"/>
                <w:szCs w:val="21"/>
              </w:rPr>
              <w:t xml:space="preserve">ESG Headline:</w:t>
            </w:r>
            <w:r>
              <w:rPr>
                <w:rFonts w:ascii="Calibri" w:cs="Calibri" w:eastAsia="Calibri" w:hAnsi="Calibri"/>
                <w:color w:val="1A1A1A"/>
                <w:sz w:val="21"/>
                <w:szCs w:val="21"/>
              </w:rPr>
              <w:t xml:space="preserve"> One line on the sector’s primary ESG characteristic (e.g., energy transition for Oil &amp; Gas, carbon target for Metals)</w:t>
            </w:r>
          </w:p>
          <w:p>
            <w:pPr>
              <w:spacing w:after="80" w:before="40"/>
            </w:pPr>
            <w:r>
              <w:rPr>
                <w:rFonts w:ascii="Calibri" w:cs="Calibri" w:eastAsia="Calibri" w:hAnsi="Calibri"/>
                <w:color w:val="1A1A1A"/>
                <w:sz w:val="21"/>
                <w:szCs w:val="21"/>
              </w:rPr>
              <w:t xml:space="preserve">This tab is NOT automated — it is a reference document you update once per quarter before rebalancing. Think of it as your pre-rebalance briefing note.</w:t>
            </w:r>
          </w:p>
        </w:tc>
      </w:tr>
      <w:tr>
        <w:tc>
          <w:tcPr>
            <w:tcW w:type="dxa" w:w="1800"/>
            <w:tcBorders>
              <w:top w:val="single" w:color="CCCCCC" w:sz="1"/>
              <w:left w:val="single" w:color="CCCCCC" w:sz="1"/>
              <w:bottom w:val="single" w:color="CCCCCC" w:sz="1"/>
              <w:right w:val="single" w:color="CCCCCC" w:sz="1"/>
            </w:tcBorders>
            <w:shd w:fill="7B4F00" w:val="clear"/>
            <w:tcMar>
              <w:top w:type="dxa" w:w="80"/>
              <w:left w:type="dxa" w:w="140"/>
              <w:bottom w:type="dxa" w:w="80"/>
              <w:right w:type="dxa" w:w="100"/>
            </w:tcMar>
            <w:vAlign w:val="top"/>
          </w:tcPr>
          <w:p>
            <w:r>
              <w:rPr>
                <w:rFonts w:ascii="Arial" w:cs="Arial" w:eastAsia="Arial" w:hAnsi="Arial"/>
                <w:b/>
                <w:bCs/>
                <w:color w:val="FFFFFF"/>
                <w:sz w:val="19"/>
                <w:szCs w:val="19"/>
              </w:rPr>
              <w:t xml:space="preserve">WHY</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80" w:before="40"/>
            </w:pPr>
            <w:r>
              <w:rPr>
                <w:rFonts w:ascii="Calibri" w:cs="Calibri" w:eastAsia="Calibri" w:hAnsi="Calibri"/>
                <w:color w:val="1A1A1A"/>
                <w:sz w:val="21"/>
                <w:szCs w:val="21"/>
              </w:rPr>
              <w:t xml:space="preserve">A company can score 72/100 on the quantitative model and still be a poor investment if a major regulatory change is about to hit its sector. This tab gives you that context.</w:t>
            </w:r>
          </w:p>
          <w:p>
            <w:pPr>
              <w:spacing w:after="80" w:before="40"/>
            </w:pPr>
            <w:r>
              <w:rPr>
                <w:rFonts w:ascii="Calibri" w:cs="Calibri" w:eastAsia="Calibri" w:hAnsi="Calibri"/>
                <w:color w:val="1A1A1A"/>
                <w:sz w:val="21"/>
                <w:szCs w:val="21"/>
              </w:rPr>
              <w:t xml:space="preserve">ESG scoring for Indian companies is unreliable as automated data — but your own curated sector-level note is fully reliable because you wrote it.</w:t>
            </w:r>
          </w:p>
        </w:tc>
      </w:tr>
      <w:tr>
        <w:tc>
          <w:tcPr>
            <w:tcW w:type="dxa" w:w="1800"/>
            <w:tcBorders>
              <w:top w:val="single" w:color="CCCCCC" w:sz="1"/>
              <w:left w:val="single" w:color="CCCCCC" w:sz="1"/>
              <w:bottom w:val="single" w:color="CCCCCC" w:sz="1"/>
              <w:right w:val="single" w:color="CCCCCC" w:sz="1"/>
            </w:tcBorders>
            <w:shd w:fill="444444" w:val="clear"/>
            <w:tcMar>
              <w:top w:type="dxa" w:w="80"/>
              <w:left w:type="dxa" w:w="140"/>
              <w:bottom w:type="dxa" w:w="80"/>
              <w:right w:type="dxa" w:w="100"/>
            </w:tcMar>
            <w:vAlign w:val="top"/>
          </w:tcPr>
          <w:p>
            <w:r>
              <w:rPr>
                <w:rFonts w:ascii="Arial" w:cs="Arial" w:eastAsia="Arial" w:hAnsi="Arial"/>
                <w:b/>
                <w:bCs/>
                <w:color w:val="FFFFFF"/>
                <w:sz w:val="19"/>
                <w:szCs w:val="19"/>
              </w:rPr>
              <w:t xml:space="preserve">BENEFITS &amp;
LIMITATIONS</w:t>
            </w:r>
          </w:p>
        </w:tc>
        <w:tc>
          <w:tcPr>
            <w:tcW w:type="dxa" w:w="7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pPr>
              <w:spacing w:after="60" w:before="0"/>
            </w:pPr>
            <w:r>
              <w:rPr>
                <w:rFonts w:ascii="Arial" w:cs="Arial" w:eastAsia="Arial" w:hAnsi="Arial"/>
                <w:b/>
                <w:bCs/>
                <w:color w:val="145A32"/>
                <w:sz w:val="20"/>
                <w:szCs w:val="20"/>
              </w:rPr>
              <w:t xml:space="preserve">Benefits</w:t>
            </w:r>
          </w:p>
          <w:p>
            <w:pPr>
              <w:pStyle w:val="ListParagraph"/>
              <w:numPr>
                <w:ilvl w:val="0"/>
                <w:numId w:val="2"/>
              </w:numPr>
              <w:spacing w:after="60" w:before="40"/>
            </w:pPr>
            <w:r>
              <w:rPr>
                <w:rFonts w:ascii="Calibri" w:cs="Calibri" w:eastAsia="Calibri" w:hAnsi="Calibri"/>
                <w:color w:val="1A1A1A"/>
                <w:sz w:val="21"/>
                <w:szCs w:val="21"/>
              </w:rPr>
              <w:t xml:space="preserve">Adds qualitative sector context that no automated model can capture</w:t>
            </w:r>
          </w:p>
          <w:p>
            <w:pPr>
              <w:pStyle w:val="ListParagraph"/>
              <w:numPr>
                <w:ilvl w:val="0"/>
                <w:numId w:val="2"/>
              </w:numPr>
              <w:spacing w:after="60" w:before="40"/>
            </w:pPr>
            <w:r>
              <w:rPr>
                <w:rFonts w:ascii="Calibri" w:cs="Calibri" w:eastAsia="Calibri" w:hAnsi="Calibri"/>
                <w:color w:val="1A1A1A"/>
                <w:sz w:val="21"/>
                <w:szCs w:val="21"/>
              </w:rPr>
              <w:t xml:space="preserve">Prevents buying into a high-scoring stock in a sector facing imminent regulatory headwind</w:t>
            </w:r>
          </w:p>
          <w:p>
            <w:pPr>
              <w:pStyle w:val="ListParagraph"/>
              <w:numPr>
                <w:ilvl w:val="0"/>
                <w:numId w:val="2"/>
              </w:numPr>
              <w:spacing w:after="60" w:before="40"/>
            </w:pPr>
            <w:r>
              <w:rPr>
                <w:rFonts w:ascii="Calibri" w:cs="Calibri" w:eastAsia="Calibri" w:hAnsi="Calibri"/>
                <w:color w:val="1A1A1A"/>
                <w:sz w:val="21"/>
                <w:szCs w:val="21"/>
              </w:rPr>
              <w:t xml:space="preserve">Fully under your control — no data dependency, no automation risk</w:t>
            </w:r>
          </w:p>
          <w:p>
            <w:pPr>
              <w:pStyle w:val="ListParagraph"/>
              <w:numPr>
                <w:ilvl w:val="0"/>
                <w:numId w:val="2"/>
              </w:numPr>
              <w:spacing w:after="60" w:before="40"/>
            </w:pPr>
            <w:r>
              <w:rPr>
                <w:rFonts w:ascii="Calibri" w:cs="Calibri" w:eastAsia="Calibri" w:hAnsi="Calibri"/>
                <w:color w:val="1A1A1A"/>
                <w:sz w:val="21"/>
                <w:szCs w:val="21"/>
              </w:rPr>
              <w:t xml:space="preserve">Quarterly update takes 30–45 minutes of reading regulatory news</w:t>
            </w:r>
          </w:p>
          <w:p>
            <w:pPr>
              <w:spacing w:after="60" w:before="120"/>
            </w:pPr>
            <w:r>
              <w:rPr>
                <w:rFonts w:ascii="Arial" w:cs="Arial" w:eastAsia="Arial" w:hAnsi="Arial"/>
                <w:b/>
                <w:bCs/>
                <w:color w:val="6B1A1A"/>
                <w:sz w:val="20"/>
                <w:szCs w:val="20"/>
              </w:rPr>
              <w:t xml:space="preserve">Limitations</w:t>
            </w:r>
          </w:p>
          <w:p>
            <w:pPr>
              <w:pStyle w:val="ListParagraph"/>
              <w:numPr>
                <w:ilvl w:val="0"/>
                <w:numId w:val="3"/>
              </w:numPr>
              <w:spacing w:after="60" w:before="40"/>
            </w:pPr>
            <w:r>
              <w:rPr>
                <w:rFonts w:ascii="Calibri" w:cs="Calibri" w:eastAsia="Calibri" w:hAnsi="Calibri"/>
                <w:color w:val="1A1A1A"/>
                <w:sz w:val="21"/>
                <w:szCs w:val="21"/>
              </w:rPr>
              <w:t xml:space="preserve">Manual — becomes stale if you don’t update it each quarter</w:t>
            </w:r>
          </w:p>
          <w:p>
            <w:pPr>
              <w:pStyle w:val="ListParagraph"/>
              <w:numPr>
                <w:ilvl w:val="0"/>
                <w:numId w:val="3"/>
              </w:numPr>
              <w:spacing w:after="60" w:before="40"/>
            </w:pPr>
            <w:r>
              <w:rPr>
                <w:rFonts w:ascii="Calibri" w:cs="Calibri" w:eastAsia="Calibri" w:hAnsi="Calibri"/>
                <w:color w:val="1A1A1A"/>
                <w:sz w:val="21"/>
                <w:szCs w:val="21"/>
              </w:rPr>
              <w:t xml:space="preserve">Sector-level, not stock-level — won’t flag company-specific ESG issues</w:t>
            </w:r>
          </w:p>
          <w:p>
            <w:pPr>
              <w:pStyle w:val="ListParagraph"/>
              <w:numPr>
                <w:ilvl w:val="0"/>
                <w:numId w:val="3"/>
              </w:numPr>
              <w:spacing w:after="60" w:before="40"/>
            </w:pPr>
            <w:r>
              <w:rPr>
                <w:rFonts w:ascii="Calibri" w:cs="Calibri" w:eastAsia="Calibri" w:hAnsi="Calibri"/>
                <w:color w:val="1A1A1A"/>
                <w:sz w:val="21"/>
                <w:szCs w:val="21"/>
              </w:rPr>
              <w:t xml:space="preserve">No scoring impact — informational only, relies on your judgment to act on it</w:t>
            </w:r>
          </w:p>
        </w:tc>
      </w:tr>
    </w:tbl>
    <w:p>
      <w:pPr>
        <w:spacing w:after="280" w:before="0"/>
      </w:pPr>
    </w:p>
    <w:p>
      <w:pPr>
        <w:spacing w:after="280" w:before="0"/>
      </w:pPr>
    </w:p>
    <w:p>
      <w:pPr>
        <w:pageBreakBefore/>
      </w:pPr>
    </w:p>
    <w:p>
      <w:pPr>
        <w:pStyle w:val="Heading1"/>
        <w:spacing w:after="140" w:before="360"/>
      </w:pPr>
      <w:r>
        <w:rPr>
          <w:rFonts w:ascii="Arial" w:cs="Arial" w:eastAsia="Arial" w:hAnsi="Arial"/>
          <w:b/>
          <w:bCs/>
          <w:color w:val="C0450A"/>
          <w:sz w:val="34"/>
          <w:szCs w:val="34"/>
        </w:rPr>
        <w:t xml:space="preserve">Section D — EPS Clean Data: The Real Problem and Real Solutions</w:t>
      </w:r>
    </w:p>
    <w:p>
      <w:pPr>
        <w:spacing w:after="160" w:before="0"/>
      </w:pPr>
      <w:r>
        <w:rPr>
          <w:rFonts w:ascii="Calibri" w:cs="Calibri" w:eastAsia="Calibri" w:hAnsi="Calibri"/>
          <w:color w:val="1A1A1A"/>
          <w:sz w:val="22"/>
          <w:szCs w:val="22"/>
        </w:rPr>
        <w:t xml:space="preserve">This deserves its own section because it is the most fundamental data quality issue in the model.</w:t>
      </w:r>
    </w:p>
    <w:p>
      <w:pPr>
        <w:spacing w:after="280" w:before="0"/>
      </w:pPr>
    </w:p>
    <w:p>
      <w:pPr>
        <w:pStyle w:val="Heading2"/>
        <w:spacing w:after="100" w:before="280"/>
      </w:pPr>
      <w:r>
        <w:rPr>
          <w:rFonts w:ascii="Arial" w:cs="Arial" w:eastAsia="Arial" w:hAnsi="Arial"/>
          <w:b/>
          <w:bCs/>
          <w:color w:val="1B3A5C"/>
          <w:sz w:val="26"/>
          <w:szCs w:val="26"/>
        </w:rPr>
        <w:t xml:space="preserve">What the Problem Actually Is</w:t>
      </w:r>
    </w:p>
    <w:p>
      <w:pPr>
        <w:spacing w:after="160" w:before="0"/>
      </w:pPr>
      <w:r>
        <w:rPr>
          <w:rFonts w:ascii="Calibri" w:cs="Calibri" w:eastAsia="Calibri" w:hAnsi="Calibri"/>
          <w:color w:val="1A1A1A"/>
          <w:sz w:val="22"/>
          <w:szCs w:val="22"/>
        </w:rPr>
        <w:t xml:space="preserve">Yahoo Finance does not consistently publish </w:t>
      </w:r>
      <w:r>
        <w:rPr>
          <w:rFonts w:ascii="Calibri" w:cs="Calibri" w:eastAsia="Calibri" w:hAnsi="Calibri"/>
          <w:b/>
          <w:bCs/>
          <w:color w:val="1A1A1A"/>
          <w:sz w:val="22"/>
          <w:szCs w:val="22"/>
        </w:rPr>
        <w:t xml:space="preserve">Total Unusual Items</w:t>
      </w:r>
      <w:r>
        <w:rPr>
          <w:rFonts w:ascii="Calibri" w:cs="Calibri" w:eastAsia="Calibri" w:hAnsi="Calibri"/>
          <w:color w:val="1A1A1A"/>
          <w:sz w:val="22"/>
          <w:szCs w:val="22"/>
        </w:rPr>
        <w:t xml:space="preserve"> (exceptional items) for all Indian companies across all quarters. For some stocks, this field is simply absent from their quarterly income statement. The fetch_data.py code already looks for it, handles its absence gracefully, and flags the stock PARTIAL or UNVERIFIED — but the underlying gap remains: we are potentially scoring a stock on dirty EPS without knowing it.</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4A017" w:sz="6"/>
              <w:left w:val="single" w:color="D4A017" w:sz="24"/>
              <w:bottom w:val="single" w:color="D4A017" w:sz="6"/>
              <w:right w:val="none"/>
            </w:tcBorders>
            <w:shd w:fill="FFF8E7" w:val="clear"/>
            <w:tcMar>
              <w:top w:type="dxa" w:w="100"/>
              <w:left w:type="dxa" w:w="180"/>
              <w:bottom w:type="dxa" w:w="100"/>
              <w:right w:type="dxa" w:w="160"/>
            </w:tcMar>
          </w:tcPr>
          <w:p>
            <w:r>
              <w:rPr>
                <w:rFonts w:ascii="Calibri" w:cs="Calibri" w:eastAsia="Calibri" w:hAnsi="Calibri"/>
                <w:i/>
                <w:iCs/>
                <w:color w:val="3D2B00"/>
                <w:sz w:val="21"/>
                <w:szCs w:val="21"/>
              </w:rPr>
              <w:t xml:space="preserve">Example of what we might be missing: A company books a ₹600 crore gain from selling a piece of land. This inflates net income by ₹450 crore after tax. If Yahoo Finance doesn't publish this as an exceptional item, our adjusted EPS = reported EPS = inflated. The stock gets a high EPS growth score. You buy it. Next year the gain disappears and EPS "drops" sharply. The model gave you a false BUY signal.</w:t>
            </w:r>
          </w:p>
        </w:tc>
      </w:tr>
    </w:tbl>
    <w:p>
      <w:pPr>
        <w:spacing w:after="280" w:before="0"/>
      </w:pPr>
    </w:p>
    <w:p>
      <w:pPr>
        <w:pStyle w:val="Heading2"/>
        <w:spacing w:after="100" w:before="280"/>
      </w:pPr>
      <w:r>
        <w:rPr>
          <w:rFonts w:ascii="Arial" w:cs="Arial" w:eastAsia="Arial" w:hAnsi="Arial"/>
          <w:b/>
          <w:bCs/>
          <w:color w:val="1B3A5C"/>
          <w:sz w:val="26"/>
          <w:szCs w:val="26"/>
        </w:rPr>
        <w:t xml:space="preserve">Option 1: Accept the Current Limitation (What We Do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Aspect</w:t>
            </w:r>
          </w:p>
        </w:tc>
        <w:tc>
          <w:tcPr>
            <w:tcW w:type="dxa" w:w="6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Details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What it means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PARTIAL and UNVERIFIED stocks have potentially dirty EPS. The model scores them anyway, with the flag as a warning.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When it’s acceptable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For PARTIAL stocks: one adjustment was applied. The risk is halved. For most large-cap Nifty 50 companies, exceptional items are infrequent.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When it’s dangerous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For UNVERIFIED stocks: zero adjustment. If exceptional items exist and weren’t stripped, the EPS-based scores are unreliable.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Action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After Change 1 is implemented (showing which specific adjustment is missing), manually check UNVERIFIED stocks before any investment decision.</w:t>
            </w:r>
          </w:p>
        </w:tc>
      </w:tr>
    </w:tbl>
    <w:p>
      <w:pPr>
        <w:spacing w:after="280" w:before="0"/>
      </w:pPr>
    </w:p>
    <w:p>
      <w:pPr>
        <w:pStyle w:val="Heading2"/>
        <w:spacing w:after="100" w:before="280"/>
      </w:pPr>
      <w:r>
        <w:rPr>
          <w:rFonts w:ascii="Arial" w:cs="Arial" w:eastAsia="Arial" w:hAnsi="Arial"/>
          <w:b/>
          <w:bCs/>
          <w:color w:val="1B3A5C"/>
          <w:sz w:val="26"/>
          <w:szCs w:val="26"/>
        </w:rPr>
        <w:t xml:space="preserve">Option 2: Apply an EPS Discount Rule for UNVERIFIED Stocks</w:t>
      </w:r>
    </w:p>
    <w:p>
      <w:pPr>
        <w:spacing w:after="160" w:before="0"/>
      </w:pPr>
      <w:r>
        <w:rPr>
          <w:rFonts w:ascii="Calibri" w:cs="Calibri" w:eastAsia="Calibri" w:hAnsi="Calibri"/>
          <w:color w:val="1A1A1A"/>
          <w:sz w:val="22"/>
          <w:szCs w:val="22"/>
        </w:rPr>
        <w:t xml:space="preserve">A pragmatic scoring fix — no new data source needed.</w:t>
      </w:r>
    </w:p>
    <w:p>
      <w:pPr>
        <w:spacing w:after="280" w:before="0"/>
      </w:pPr>
    </w:p>
    <w:p>
      <w:pPr>
        <w:spacing w:after="160" w:before="0"/>
      </w:pPr>
      <w:r>
        <w:rPr>
          <w:rFonts w:ascii="Calibri" w:cs="Calibri" w:eastAsia="Calibri" w:hAnsi="Calibri"/>
          <w:color w:val="1A1A1A"/>
          <w:sz w:val="22"/>
          <w:szCs w:val="22"/>
        </w:rPr>
        <w:t xml:space="preserve">In the scoring model, if a stock is UNVERIFIED, reduce the Fundamental block score by 20% as a quality penalty. This doesn’t fix the data but it prevents UNVERIFIED stocks from ranking artificially high due to potentially inflated EPS.</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Pros vs Cons</w:t>
            </w:r>
          </w:p>
        </w:tc>
        <w:tc>
          <w:tcPr>
            <w:tcW w:type="dxa" w:w="6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Pro: No new data source needed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Simple change to apply_scores() in fetch_data.py</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Pro: Prevents UNVERIFIED stocks from leading the BUY 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Addresses the false confidence risk</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Con: Arbitrary penalty size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20% is a judgment call, not derived from data</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Con: Could unfairly penalise genuinely clean companies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Some UNVERIFIED stocks are clean — Yahoo just lacks the data field</w:t>
            </w:r>
          </w:p>
        </w:tc>
      </w:tr>
    </w:tbl>
    <w:p>
      <w:pPr>
        <w:spacing w:after="280" w:before="0"/>
      </w:pPr>
    </w:p>
    <w:p>
      <w:pPr>
        <w:pStyle w:val="Heading2"/>
        <w:spacing w:after="100" w:before="280"/>
      </w:pPr>
      <w:r>
        <w:rPr>
          <w:rFonts w:ascii="Arial" w:cs="Arial" w:eastAsia="Arial" w:hAnsi="Arial"/>
          <w:b/>
          <w:bCs/>
          <w:color w:val="1B3A5C"/>
          <w:sz w:val="26"/>
          <w:szCs w:val="26"/>
        </w:rPr>
        <w:t xml:space="preserve">Option 3: Cross-Check With Screener.in (Free, Manual)</w:t>
      </w:r>
    </w:p>
    <w:p>
      <w:pPr>
        <w:spacing w:after="160" w:before="0"/>
      </w:pPr>
      <w:r>
        <w:rPr>
          <w:rFonts w:ascii="Calibri" w:cs="Calibri" w:eastAsia="Calibri" w:hAnsi="Calibri"/>
          <w:color w:val="1A1A1A"/>
          <w:sz w:val="22"/>
          <w:szCs w:val="22"/>
        </w:rPr>
        <w:t xml:space="preserve">Screener.in is an Indian financial data platform that aggregates NSE/BSE filings directly. It has better coverage of exceptional items for Indian companies than Yahoo Finance.</w:t>
      </w:r>
    </w:p>
    <w:p>
      <w:pPr>
        <w:spacing w:after="280" w:before="0"/>
      </w:pPr>
    </w:p>
    <w:p>
      <w:pPr>
        <w:spacing w:after="160" w:before="0"/>
      </w:pPr>
      <w:r>
        <w:rPr>
          <w:rFonts w:ascii="Calibri" w:cs="Calibri" w:eastAsia="Calibri" w:hAnsi="Calibri"/>
          <w:color w:val="1A1A1A"/>
          <w:sz w:val="22"/>
          <w:szCs w:val="22"/>
        </w:rPr>
        <w:t xml:space="preserve">The workflow: once per quarter, for every UNVERIFIED or PARTIAL stock in your top 25, go to screener.in, look up the quarterly P&amp;L, and manually verify whether an exceptional item exists. If it does, note the value and check whether our EPS figure looks reasonable.</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Pros vs Cons</w:t>
            </w:r>
          </w:p>
        </w:tc>
        <w:tc>
          <w:tcPr>
            <w:tcW w:type="dxa" w:w="6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Pro: Free, no API required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Screener.in is publicly accessible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Pro: Direct NSE filing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More reliable than Yahoo for Indian-specific line items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Con: Manual effort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~5–10 minutes per stock, 4x per year for quarterly rebalancing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Con: Not automated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Cannot appear in the dashboard without an API</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Best use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Spot-check your top 10 holdings each quarter before rebalancing</w:t>
            </w:r>
          </w:p>
        </w:tc>
      </w:tr>
    </w:tbl>
    <w:p>
      <w:pPr>
        <w:spacing w:after="280" w:before="0"/>
      </w:pPr>
    </w:p>
    <w:p>
      <w:pPr>
        <w:pStyle w:val="Heading2"/>
        <w:spacing w:after="100" w:before="280"/>
      </w:pPr>
      <w:r>
        <w:rPr>
          <w:rFonts w:ascii="Arial" w:cs="Arial" w:eastAsia="Arial" w:hAnsi="Arial"/>
          <w:b/>
          <w:bCs/>
          <w:color w:val="1B3A5C"/>
          <w:sz w:val="26"/>
          <w:szCs w:val="26"/>
        </w:rPr>
        <w:t xml:space="preserve">Option 4: Integrate Screener.in API or Trendlyne (Paid, Automated)</w:t>
      </w:r>
    </w:p>
    <w:p>
      <w:pPr>
        <w:spacing w:after="160" w:before="0"/>
      </w:pPr>
      <w:r>
        <w:rPr>
          <w:rFonts w:ascii="Calibri" w:cs="Calibri" w:eastAsia="Calibri" w:hAnsi="Calibri"/>
          <w:color w:val="1A1A1A"/>
          <w:sz w:val="22"/>
          <w:szCs w:val="22"/>
        </w:rPr>
        <w:t xml:space="preserve">For a fully automated clean EPS solution, you need a dedicated Indian financial data provider:</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Provider</w:t>
            </w:r>
          </w:p>
        </w:tc>
        <w:tc>
          <w:tcPr>
            <w:tcW w:type="dxa" w:w="6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Details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Screener.in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Has an undocumented/limited API. Community-built wrappers exist on GitHub. Free tier may be sufficient.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Trendlyne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Indian financial data API with structured quarterly filing data. Paid. ~₹5,000–10,000 per year for individual use tier.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Tijori Finance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Newer Indian data API with cleaner exceptional item fields. Pricing varies.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NSE direct filing scrape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XBRL filings are publicly available from NSE but require XML parsing of each company’s quarterly submission — significant engineering effort.</w:t>
            </w:r>
          </w:p>
        </w:tc>
      </w:tr>
    </w:tbl>
    <w:p>
      <w:pPr>
        <w:spacing w:after="280" w:before="0"/>
      </w:pPr>
    </w:p>
    <w:p>
      <w:pPr>
        <w:spacing w:after="160" w:before="0"/>
      </w:pPr>
      <w:r>
        <w:rPr>
          <w:rFonts w:ascii="Calibri" w:cs="Calibri" w:eastAsia="Calibri" w:hAnsi="Calibri"/>
          <w:color w:val="1A1A1A"/>
          <w:sz w:val="22"/>
          <w:szCs w:val="22"/>
        </w:rPr>
        <w:t xml:space="preserve">Recommendation: do not integrate a paid data source now. Run the model for 2–3 quarters. If UNVERIFIED stocks consistently appear in your top 25 and you find large discrepancies when you spot-check them manually on Screener.in, then the case for a paid integration is justified by real evidence rather than theoretical risk.</w:t>
      </w:r>
    </w:p>
    <w:p>
      <w:pPr>
        <w:spacing w:after="280" w:before="0"/>
      </w:pPr>
    </w:p>
    <w:p>
      <w:pPr>
        <w:pStyle w:val="Heading2"/>
        <w:spacing w:after="100" w:before="280"/>
      </w:pPr>
      <w:r>
        <w:rPr>
          <w:rFonts w:ascii="Arial" w:cs="Arial" w:eastAsia="Arial" w:hAnsi="Arial"/>
          <w:b/>
          <w:bCs/>
          <w:color w:val="1B3A5C"/>
          <w:sz w:val="26"/>
          <w:szCs w:val="26"/>
        </w:rPr>
        <w:t xml:space="preserve">Summary: What to Do About EPS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Action</w:t>
            </w:r>
          </w:p>
        </w:tc>
        <w:tc>
          <w:tcPr>
            <w:tcW w:type="dxa" w:w="61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00"/>
            </w:tcMar>
          </w:tcPr>
          <w:p>
            <w:r>
              <w:rPr>
                <w:rFonts w:ascii="Calibri" w:cs="Calibri" w:eastAsia="Calibri" w:hAnsi="Calibri"/>
                <w:b/>
                <w:bCs/>
                <w:color w:val="FFFFFF"/>
                <w:sz w:val="21"/>
                <w:szCs w:val="21"/>
              </w:rPr>
              <w:t xml:space="preserve">When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Implement Change 1: show which specific adjustment is missing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Do Now (15 min)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Manually spot-check UNVERIFIED top-25 stocks on Screener.in each quarter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Start immediately after Change 1</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Apply 20% Fundamental score discount for UNVERIFIED stocks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Next Quarter — after observing the data for one quarter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Evaluate Screener.in API or Trendlyne integration</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00"/>
            </w:tcMar>
          </w:tcPr>
          <w:p>
            <w:r>
              <w:rPr>
                <w:rFonts w:ascii="Calibri" w:cs="Calibri" w:eastAsia="Calibri" w:hAnsi="Calibri"/>
                <w:b w:val="false"/>
                <w:bCs w:val="false"/>
                <w:color w:val="1A1A1A"/>
                <w:sz w:val="21"/>
                <w:szCs w:val="21"/>
              </w:rPr>
              <w:t xml:space="preserve">After 6 months of running the model live</w:t>
            </w:r>
          </w:p>
        </w:tc>
      </w:tr>
    </w:tbl>
    <w:p>
      <w:pPr>
        <w:spacing w:after="280" w:before="0"/>
      </w:pPr>
    </w:p>
    <w:p>
      <w:pPr>
        <w:spacing w:after="280" w:before="0"/>
      </w:pPr>
    </w:p>
    <w:p>
      <w:pPr>
        <w:pageBreakBefore/>
      </w:pPr>
    </w:p>
    <w:p>
      <w:pPr>
        <w:pStyle w:val="Heading1"/>
        <w:spacing w:after="140" w:before="360"/>
      </w:pPr>
      <w:r>
        <w:rPr>
          <w:rFonts w:ascii="Arial" w:cs="Arial" w:eastAsia="Arial" w:hAnsi="Arial"/>
          <w:b/>
          <w:bCs/>
          <w:color w:val="C0450A"/>
          <w:sz w:val="34"/>
          <w:szCs w:val="34"/>
        </w:rPr>
        <w:t xml:space="preserve">Summary: All 10 Changes at a Glance</w:t>
      </w:r>
    </w:p>
    <w:p>
      <w:pPr>
        <w:spacing w:after="2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400"/>
        <w:gridCol w:w="1560"/>
        <w:gridCol w:w="1560"/>
        <w:gridCol w:w="2360"/>
      </w:tblGrid>
      <w:tr>
        <w:tc>
          <w:tcPr>
            <w:tcW w:type="dxa" w:w="48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19"/>
                <w:szCs w:val="19"/>
              </w:rPr>
              <w:t xml:space="preserve">#</w:t>
            </w:r>
          </w:p>
        </w:tc>
        <w:tc>
          <w:tcPr>
            <w:tcW w:type="dxa" w:w="340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19"/>
                <w:szCs w:val="19"/>
              </w:rPr>
              <w:t xml:space="preserve">Change</w:t>
            </w:r>
          </w:p>
        </w:tc>
        <w:tc>
          <w:tcPr>
            <w:tcW w:type="dxa" w:w="156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19"/>
                <w:szCs w:val="19"/>
              </w:rPr>
              <w:t xml:space="preserve">Effort</w:t>
            </w:r>
          </w:p>
        </w:tc>
        <w:tc>
          <w:tcPr>
            <w:tcW w:type="dxa" w:w="156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19"/>
                <w:szCs w:val="19"/>
              </w:rPr>
              <w:t xml:space="preserve">Priority</w:t>
            </w:r>
          </w:p>
        </w:tc>
        <w:tc>
          <w:tcPr>
            <w:tcW w:type="dxa" w:w="2360"/>
            <w:tcBorders>
              <w:top w:val="single" w:color="1B3A5C" w:sz="1"/>
              <w:left w:val="single" w:color="1B3A5C" w:sz="1"/>
              <w:bottom w:val="single" w:color="1B3A5C" w:sz="1"/>
              <w:right w:val="single" w:color="1B3A5C" w:sz="1"/>
            </w:tcBorders>
            <w:shd w:fill="1B3A5C" w:val="clear"/>
            <w:tcMar>
              <w:top w:type="dxa" w:w="80"/>
              <w:left w:type="dxa" w:w="120"/>
              <w:bottom w:type="dxa" w:w="80"/>
              <w:right w:type="dxa" w:w="80"/>
            </w:tcMar>
          </w:tcPr>
          <w:p>
            <w:r>
              <w:rPr>
                <w:rFonts w:ascii="Arial" w:cs="Arial" w:eastAsia="Arial" w:hAnsi="Arial"/>
                <w:b/>
                <w:bCs/>
                <w:color w:val="FFFFFF"/>
                <w:sz w:val="19"/>
                <w:szCs w:val="19"/>
              </w:rPr>
              <w:t xml:space="preserve">Impact</w:t>
            </w:r>
          </w:p>
        </w:tc>
      </w:tr>
      <w:tr>
        <w:tc>
          <w:tcPr>
            <w:tcW w:type="dxa" w:w="48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b/>
                <w:bCs/>
                <w:color w:val="C0450A"/>
                <w:sz w:val="20"/>
                <w:szCs w:val="20"/>
              </w:rPr>
              <w:t xml:space="preserve">1</w:t>
            </w:r>
          </w:p>
        </w:tc>
        <w:tc>
          <w:tcPr>
            <w:tcW w:type="dxa" w:w="3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EPS: show which adjustment missing</w:t>
            </w:r>
          </w:p>
        </w:tc>
        <w:tc>
          <w:tcPr>
            <w:tcW w:type="dxa" w:w="15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555555"/>
                <w:sz w:val="20"/>
                <w:szCs w:val="20"/>
              </w:rPr>
              <w:t xml:space="preserve">15 min</w:t>
            </w:r>
          </w:p>
        </w:tc>
        <w:tc>
          <w:tcPr>
            <w:tcW w:type="dxa" w:w="1560"/>
            <w:tcBorders>
              <w:top w:val="single" w:color="CCCCCC" w:sz="1"/>
              <w:left w:val="single" w:color="CCCCCC" w:sz="1"/>
              <w:bottom w:val="single" w:color="CCCCCC" w:sz="1"/>
              <w:right w:val="single" w:color="CCCCCC" w:sz="1"/>
            </w:tcBorders>
            <w:shd w:fill="E8F5E9" w:val="clear"/>
            <w:tcMar>
              <w:top w:type="dxa" w:w="70"/>
              <w:left w:type="dxa" w:w="100"/>
              <w:bottom w:type="dxa" w:w="70"/>
              <w:right w:type="dxa" w:w="80"/>
            </w:tcMar>
          </w:tcPr>
          <w:p>
            <w:r>
              <w:rPr>
                <w:rFonts w:ascii="Calibri" w:cs="Calibri" w:eastAsia="Calibri" w:hAnsi="Calibri"/>
                <w:b/>
                <w:bCs/>
                <w:color w:val="145A32"/>
                <w:sz w:val="20"/>
                <w:szCs w:val="20"/>
              </w:rPr>
              <w:t xml:space="preserve">Do Now</w:t>
            </w:r>
          </w:p>
        </w:tc>
        <w:tc>
          <w:tcPr>
            <w:tcW w:type="dxa" w:w="23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333333"/>
                <w:sz w:val="20"/>
                <w:szCs w:val="20"/>
              </w:rPr>
              <w:t xml:space="preserve">Visibility into data gaps</w:t>
            </w:r>
          </w:p>
        </w:tc>
      </w:tr>
      <w:tr>
        <w:tc>
          <w:tcPr>
            <w:tcW w:type="dxa" w:w="48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b/>
                <w:bCs/>
                <w:color w:val="C0450A"/>
                <w:sz w:val="20"/>
                <w:szCs w:val="20"/>
              </w:rPr>
              <w:t xml:space="preserve">2</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Replace 1M → 12M momentum</w:t>
            </w:r>
          </w:p>
        </w:tc>
        <w:tc>
          <w:tcPr>
            <w:tcW w:type="dxa" w:w="1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555555"/>
                <w:sz w:val="20"/>
                <w:szCs w:val="20"/>
              </w:rPr>
              <w:t xml:space="preserve">1 hr</w:t>
            </w:r>
          </w:p>
        </w:tc>
        <w:tc>
          <w:tcPr>
            <w:tcW w:type="dxa" w:w="1560"/>
            <w:tcBorders>
              <w:top w:val="single" w:color="CCCCCC" w:sz="1"/>
              <w:left w:val="single" w:color="CCCCCC" w:sz="1"/>
              <w:bottom w:val="single" w:color="CCCCCC" w:sz="1"/>
              <w:right w:val="single" w:color="CCCCCC" w:sz="1"/>
            </w:tcBorders>
            <w:shd w:fill="E8F5E9" w:val="clear"/>
            <w:tcMar>
              <w:top w:type="dxa" w:w="70"/>
              <w:left w:type="dxa" w:w="100"/>
              <w:bottom w:type="dxa" w:w="70"/>
              <w:right w:type="dxa" w:w="80"/>
            </w:tcMar>
          </w:tcPr>
          <w:p>
            <w:r>
              <w:rPr>
                <w:rFonts w:ascii="Calibri" w:cs="Calibri" w:eastAsia="Calibri" w:hAnsi="Calibri"/>
                <w:b/>
                <w:bCs/>
                <w:color w:val="145A32"/>
                <w:sz w:val="20"/>
                <w:szCs w:val="20"/>
              </w:rPr>
              <w:t xml:space="preserve">Do Now</w:t>
            </w:r>
          </w:p>
        </w:tc>
        <w:tc>
          <w:tcPr>
            <w:tcW w:type="dxa" w:w="23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333333"/>
                <w:sz w:val="20"/>
                <w:szCs w:val="20"/>
              </w:rPr>
              <w:t xml:space="preserve">Stronger academic signal</w:t>
            </w:r>
          </w:p>
        </w:tc>
      </w:tr>
      <w:tr>
        <w:tc>
          <w:tcPr>
            <w:tcW w:type="dxa" w:w="48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b/>
                <w:bCs/>
                <w:color w:val="C0450A"/>
                <w:sz w:val="20"/>
                <w:szCs w:val="20"/>
              </w:rPr>
              <w:t xml:space="preserve">3</w:t>
            </w:r>
          </w:p>
        </w:tc>
        <w:tc>
          <w:tcPr>
            <w:tcW w:type="dxa" w:w="3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Divergence flag → Yahoo news link</w:t>
            </w:r>
          </w:p>
        </w:tc>
        <w:tc>
          <w:tcPr>
            <w:tcW w:type="dxa" w:w="15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555555"/>
                <w:sz w:val="20"/>
                <w:szCs w:val="20"/>
              </w:rPr>
              <w:t xml:space="preserve">15 min</w:t>
            </w:r>
          </w:p>
        </w:tc>
        <w:tc>
          <w:tcPr>
            <w:tcW w:type="dxa" w:w="1560"/>
            <w:tcBorders>
              <w:top w:val="single" w:color="CCCCCC" w:sz="1"/>
              <w:left w:val="single" w:color="CCCCCC" w:sz="1"/>
              <w:bottom w:val="single" w:color="CCCCCC" w:sz="1"/>
              <w:right w:val="single" w:color="CCCCCC" w:sz="1"/>
            </w:tcBorders>
            <w:shd w:fill="E8F5E9" w:val="clear"/>
            <w:tcMar>
              <w:top w:type="dxa" w:w="70"/>
              <w:left w:type="dxa" w:w="100"/>
              <w:bottom w:type="dxa" w:w="70"/>
              <w:right w:type="dxa" w:w="80"/>
            </w:tcMar>
          </w:tcPr>
          <w:p>
            <w:r>
              <w:rPr>
                <w:rFonts w:ascii="Calibri" w:cs="Calibri" w:eastAsia="Calibri" w:hAnsi="Calibri"/>
                <w:b/>
                <w:bCs/>
                <w:color w:val="145A32"/>
                <w:sz w:val="20"/>
                <w:szCs w:val="20"/>
              </w:rPr>
              <w:t xml:space="preserve">Do Now</w:t>
            </w:r>
          </w:p>
        </w:tc>
        <w:tc>
          <w:tcPr>
            <w:tcW w:type="dxa" w:w="23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333333"/>
                <w:sz w:val="20"/>
                <w:szCs w:val="20"/>
              </w:rPr>
              <w:t xml:space="preserve">Faster investigation path</w:t>
            </w:r>
          </w:p>
        </w:tc>
      </w:tr>
      <w:tr>
        <w:tc>
          <w:tcPr>
            <w:tcW w:type="dxa" w:w="48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b/>
                <w:bCs/>
                <w:color w:val="C0450A"/>
                <w:sz w:val="20"/>
                <w:szCs w:val="20"/>
              </w:rPr>
              <w:t xml:space="preserve">4</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ROE trend modifier in scoring</w:t>
            </w:r>
          </w:p>
        </w:tc>
        <w:tc>
          <w:tcPr>
            <w:tcW w:type="dxa" w:w="1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555555"/>
                <w:sz w:val="20"/>
                <w:szCs w:val="20"/>
              </w:rPr>
              <w:t xml:space="preserve">2–3 hrs</w:t>
            </w:r>
          </w:p>
        </w:tc>
        <w:tc>
          <w:tcPr>
            <w:tcW w:type="dxa" w:w="1560"/>
            <w:tcBorders>
              <w:top w:val="single" w:color="CCCCCC" w:sz="1"/>
              <w:left w:val="single" w:color="CCCCCC" w:sz="1"/>
              <w:bottom w:val="single" w:color="CCCCCC" w:sz="1"/>
              <w:right w:val="single" w:color="CCCCCC" w:sz="1"/>
            </w:tcBorders>
            <w:shd w:fill="FFF8E7" w:val="clear"/>
            <w:tcMar>
              <w:top w:type="dxa" w:w="70"/>
              <w:left w:type="dxa" w:w="100"/>
              <w:bottom w:type="dxa" w:w="70"/>
              <w:right w:type="dxa" w:w="80"/>
            </w:tcMar>
          </w:tcPr>
          <w:p>
            <w:r>
              <w:rPr>
                <w:rFonts w:ascii="Calibri" w:cs="Calibri" w:eastAsia="Calibri" w:hAnsi="Calibri"/>
                <w:b/>
                <w:bCs/>
                <w:color w:val="8B6000"/>
                <w:sz w:val="20"/>
                <w:szCs w:val="20"/>
              </w:rPr>
              <w:t xml:space="preserve">Next Quarter</w:t>
            </w:r>
          </w:p>
        </w:tc>
        <w:tc>
          <w:tcPr>
            <w:tcW w:type="dxa" w:w="23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333333"/>
                <w:sz w:val="20"/>
                <w:szCs w:val="20"/>
              </w:rPr>
              <w:t xml:space="preserve">Catches rising/falling quality</w:t>
            </w:r>
          </w:p>
        </w:tc>
      </w:tr>
      <w:tr>
        <w:tc>
          <w:tcPr>
            <w:tcW w:type="dxa" w:w="48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b/>
                <w:bCs/>
                <w:color w:val="C0450A"/>
                <w:sz w:val="20"/>
                <w:szCs w:val="20"/>
              </w:rPr>
              <w:t xml:space="preserve">5</w:t>
            </w:r>
          </w:p>
        </w:tc>
        <w:tc>
          <w:tcPr>
            <w:tcW w:type="dxa" w:w="3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FCF display field (not scored)</w:t>
            </w:r>
          </w:p>
        </w:tc>
        <w:tc>
          <w:tcPr>
            <w:tcW w:type="dxa" w:w="15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555555"/>
                <w:sz w:val="20"/>
                <w:szCs w:val="20"/>
              </w:rPr>
              <w:t xml:space="preserve">2 hrs</w:t>
            </w:r>
          </w:p>
        </w:tc>
        <w:tc>
          <w:tcPr>
            <w:tcW w:type="dxa" w:w="1560"/>
            <w:tcBorders>
              <w:top w:val="single" w:color="CCCCCC" w:sz="1"/>
              <w:left w:val="single" w:color="CCCCCC" w:sz="1"/>
              <w:bottom w:val="single" w:color="CCCCCC" w:sz="1"/>
              <w:right w:val="single" w:color="CCCCCC" w:sz="1"/>
            </w:tcBorders>
            <w:shd w:fill="FFF8E7" w:val="clear"/>
            <w:tcMar>
              <w:top w:type="dxa" w:w="70"/>
              <w:left w:type="dxa" w:w="100"/>
              <w:bottom w:type="dxa" w:w="70"/>
              <w:right w:type="dxa" w:w="80"/>
            </w:tcMar>
          </w:tcPr>
          <w:p>
            <w:r>
              <w:rPr>
                <w:rFonts w:ascii="Calibri" w:cs="Calibri" w:eastAsia="Calibri" w:hAnsi="Calibri"/>
                <w:b/>
                <w:bCs/>
                <w:color w:val="8B6000"/>
                <w:sz w:val="20"/>
                <w:szCs w:val="20"/>
              </w:rPr>
              <w:t xml:space="preserve">Next Quarter</w:t>
            </w:r>
          </w:p>
        </w:tc>
        <w:tc>
          <w:tcPr>
            <w:tcW w:type="dxa" w:w="23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333333"/>
                <w:sz w:val="20"/>
                <w:szCs w:val="20"/>
              </w:rPr>
              <w:t xml:space="preserve">Earnings quality check</w:t>
            </w:r>
          </w:p>
        </w:tc>
      </w:tr>
      <w:tr>
        <w:tc>
          <w:tcPr>
            <w:tcW w:type="dxa" w:w="48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b/>
                <w:bCs/>
                <w:color w:val="C0450A"/>
                <w:sz w:val="20"/>
                <w:szCs w:val="20"/>
              </w:rPr>
              <w:t xml:space="preserve">6</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D/E + ICR combined scoring</w:t>
            </w:r>
          </w:p>
        </w:tc>
        <w:tc>
          <w:tcPr>
            <w:tcW w:type="dxa" w:w="1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555555"/>
                <w:sz w:val="20"/>
                <w:szCs w:val="20"/>
              </w:rPr>
              <w:t xml:space="preserve">2–3 hrs</w:t>
            </w:r>
          </w:p>
        </w:tc>
        <w:tc>
          <w:tcPr>
            <w:tcW w:type="dxa" w:w="1560"/>
            <w:tcBorders>
              <w:top w:val="single" w:color="CCCCCC" w:sz="1"/>
              <w:left w:val="single" w:color="CCCCCC" w:sz="1"/>
              <w:bottom w:val="single" w:color="CCCCCC" w:sz="1"/>
              <w:right w:val="single" w:color="CCCCCC" w:sz="1"/>
            </w:tcBorders>
            <w:shd w:fill="FFF8E7" w:val="clear"/>
            <w:tcMar>
              <w:top w:type="dxa" w:w="70"/>
              <w:left w:type="dxa" w:w="100"/>
              <w:bottom w:type="dxa" w:w="70"/>
              <w:right w:type="dxa" w:w="80"/>
            </w:tcMar>
          </w:tcPr>
          <w:p>
            <w:r>
              <w:rPr>
                <w:rFonts w:ascii="Calibri" w:cs="Calibri" w:eastAsia="Calibri" w:hAnsi="Calibri"/>
                <w:b/>
                <w:bCs/>
                <w:color w:val="8B6000"/>
                <w:sz w:val="20"/>
                <w:szCs w:val="20"/>
              </w:rPr>
              <w:t xml:space="preserve">Next Quarter</w:t>
            </w:r>
          </w:p>
        </w:tc>
        <w:tc>
          <w:tcPr>
            <w:tcW w:type="dxa" w:w="23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333333"/>
                <w:sz w:val="20"/>
                <w:szCs w:val="20"/>
              </w:rPr>
              <w:t xml:space="preserve">Better debt risk detection</w:t>
            </w:r>
          </w:p>
        </w:tc>
      </w:tr>
      <w:tr>
        <w:tc>
          <w:tcPr>
            <w:tcW w:type="dxa" w:w="48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b/>
                <w:bCs/>
                <w:color w:val="C0450A"/>
                <w:sz w:val="20"/>
                <w:szCs w:val="20"/>
              </w:rPr>
              <w:t xml:space="preserve">7</w:t>
            </w:r>
          </w:p>
        </w:tc>
        <w:tc>
          <w:tcPr>
            <w:tcW w:type="dxa" w:w="3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Bank metrics: NIM + GNPA</w:t>
            </w:r>
          </w:p>
        </w:tc>
        <w:tc>
          <w:tcPr>
            <w:tcW w:type="dxa" w:w="15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555555"/>
                <w:sz w:val="20"/>
                <w:szCs w:val="20"/>
              </w:rPr>
              <w:t xml:space="preserve">3–4 hrs</w:t>
            </w:r>
          </w:p>
        </w:tc>
        <w:tc>
          <w:tcPr>
            <w:tcW w:type="dxa" w:w="1560"/>
            <w:tcBorders>
              <w:top w:val="single" w:color="CCCCCC" w:sz="1"/>
              <w:left w:val="single" w:color="CCCCCC" w:sz="1"/>
              <w:bottom w:val="single" w:color="CCCCCC" w:sz="1"/>
              <w:right w:val="single" w:color="CCCCCC" w:sz="1"/>
            </w:tcBorders>
            <w:shd w:fill="FFF8E7" w:val="clear"/>
            <w:tcMar>
              <w:top w:type="dxa" w:w="70"/>
              <w:left w:type="dxa" w:w="100"/>
              <w:bottom w:type="dxa" w:w="70"/>
              <w:right w:type="dxa" w:w="80"/>
            </w:tcMar>
          </w:tcPr>
          <w:p>
            <w:r>
              <w:rPr>
                <w:rFonts w:ascii="Calibri" w:cs="Calibri" w:eastAsia="Calibri" w:hAnsi="Calibri"/>
                <w:b/>
                <w:bCs/>
                <w:color w:val="8B6000"/>
                <w:sz w:val="20"/>
                <w:szCs w:val="20"/>
              </w:rPr>
              <w:t xml:space="preserve">Next Quarter</w:t>
            </w:r>
          </w:p>
        </w:tc>
        <w:tc>
          <w:tcPr>
            <w:tcW w:type="dxa" w:w="23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333333"/>
                <w:sz w:val="20"/>
                <w:szCs w:val="20"/>
              </w:rPr>
              <w:t xml:space="preserve">Full 100 pts for banks</w:t>
            </w:r>
          </w:p>
        </w:tc>
      </w:tr>
      <w:tr>
        <w:tc>
          <w:tcPr>
            <w:tcW w:type="dxa" w:w="48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b/>
                <w:bCs/>
                <w:color w:val="C0450A"/>
                <w:sz w:val="20"/>
                <w:szCs w:val="20"/>
              </w:rPr>
              <w:t xml:space="preserve">8</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Technical analysis tab</w:t>
            </w:r>
          </w:p>
        </w:tc>
        <w:tc>
          <w:tcPr>
            <w:tcW w:type="dxa" w:w="1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555555"/>
                <w:sz w:val="20"/>
                <w:szCs w:val="20"/>
              </w:rPr>
              <w:t xml:space="preserve">4–6 hrs</w:t>
            </w:r>
          </w:p>
        </w:tc>
        <w:tc>
          <w:tcPr>
            <w:tcW w:type="dxa" w:w="1560"/>
            <w:tcBorders>
              <w:top w:val="single" w:color="CCCCCC" w:sz="1"/>
              <w:left w:val="single" w:color="CCCCCC" w:sz="1"/>
              <w:bottom w:val="single" w:color="CCCCCC" w:sz="1"/>
              <w:right w:val="single" w:color="CCCCCC" w:sz="1"/>
            </w:tcBorders>
            <w:shd w:fill="F0F0FF" w:val="clear"/>
            <w:tcMar>
              <w:top w:type="dxa" w:w="70"/>
              <w:left w:type="dxa" w:w="100"/>
              <w:bottom w:type="dxa" w:w="70"/>
              <w:right w:type="dxa" w:w="80"/>
            </w:tcMar>
          </w:tcPr>
          <w:p>
            <w:r>
              <w:rPr>
                <w:rFonts w:ascii="Calibri" w:cs="Calibri" w:eastAsia="Calibri" w:hAnsi="Calibri"/>
                <w:b/>
                <w:bCs/>
                <w:color w:val="444488"/>
                <w:sz w:val="20"/>
                <w:szCs w:val="20"/>
              </w:rPr>
              <w:t xml:space="preserve">Future</w:t>
            </w:r>
          </w:p>
        </w:tc>
        <w:tc>
          <w:tcPr>
            <w:tcW w:type="dxa" w:w="23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333333"/>
                <w:sz w:val="20"/>
                <w:szCs w:val="20"/>
              </w:rPr>
              <w:t xml:space="preserve">Entry timing reference</w:t>
            </w:r>
          </w:p>
        </w:tc>
      </w:tr>
      <w:tr>
        <w:tc>
          <w:tcPr>
            <w:tcW w:type="dxa" w:w="48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b/>
                <w:bCs/>
                <w:color w:val="C0450A"/>
                <w:sz w:val="20"/>
                <w:szCs w:val="20"/>
              </w:rPr>
              <w:t xml:space="preserve">9</w:t>
            </w:r>
          </w:p>
        </w:tc>
        <w:tc>
          <w:tcPr>
            <w:tcW w:type="dxa" w:w="3400"/>
            <w:tcBorders>
              <w:top w:val="single" w:color="CCCCCC" w:sz="1"/>
              <w:left w:val="single" w:color="CCCCCC" w:sz="1"/>
              <w:bottom w:val="single" w:color="CCCCCC" w:sz="1"/>
              <w:right w:val="single" w:color="CCCCCC" w:sz="1"/>
            </w:tcBorders>
            <w:shd w:fill="F5F5F5" w:val="clear"/>
            <w:tcMar>
              <w:top w:type="dxa" w:w="70"/>
              <w:left w:type="dxa" w:w="120"/>
              <w:bottom w:type="dxa" w:w="70"/>
              <w:right w:type="dxa" w:w="80"/>
            </w:tcMar>
          </w:tcPr>
          <w:p>
            <w:r>
              <w:rPr>
                <w:rFonts w:ascii="Calibri" w:cs="Calibri" w:eastAsia="Calibri" w:hAnsi="Calibri"/>
                <w:color w:val="1A1A1A"/>
                <w:sz w:val="20"/>
                <w:szCs w:val="20"/>
              </w:rPr>
              <w:t xml:space="preserve">News &amp; Events tab</w:t>
            </w:r>
          </w:p>
        </w:tc>
        <w:tc>
          <w:tcPr>
            <w:tcW w:type="dxa" w:w="15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555555"/>
                <w:sz w:val="20"/>
                <w:szCs w:val="20"/>
              </w:rPr>
              <w:t xml:space="preserve">4–6 hrs</w:t>
            </w:r>
          </w:p>
        </w:tc>
        <w:tc>
          <w:tcPr>
            <w:tcW w:type="dxa" w:w="1560"/>
            <w:tcBorders>
              <w:top w:val="single" w:color="CCCCCC" w:sz="1"/>
              <w:left w:val="single" w:color="CCCCCC" w:sz="1"/>
              <w:bottom w:val="single" w:color="CCCCCC" w:sz="1"/>
              <w:right w:val="single" w:color="CCCCCC" w:sz="1"/>
            </w:tcBorders>
            <w:shd w:fill="F0F0FF" w:val="clear"/>
            <w:tcMar>
              <w:top w:type="dxa" w:w="70"/>
              <w:left w:type="dxa" w:w="100"/>
              <w:bottom w:type="dxa" w:w="70"/>
              <w:right w:type="dxa" w:w="80"/>
            </w:tcMar>
          </w:tcPr>
          <w:p>
            <w:r>
              <w:rPr>
                <w:rFonts w:ascii="Calibri" w:cs="Calibri" w:eastAsia="Calibri" w:hAnsi="Calibri"/>
                <w:b/>
                <w:bCs/>
                <w:color w:val="444488"/>
                <w:sz w:val="20"/>
                <w:szCs w:val="20"/>
              </w:rPr>
              <w:t xml:space="preserve">Future</w:t>
            </w:r>
          </w:p>
        </w:tc>
        <w:tc>
          <w:tcPr>
            <w:tcW w:type="dxa" w:w="2360"/>
            <w:tcBorders>
              <w:top w:val="single" w:color="CCCCCC" w:sz="1"/>
              <w:left w:val="single" w:color="CCCCCC" w:sz="1"/>
              <w:bottom w:val="single" w:color="CCCCCC" w:sz="1"/>
              <w:right w:val="single" w:color="CCCCCC" w:sz="1"/>
            </w:tcBorders>
            <w:shd w:fill="F5F5F5" w:val="clear"/>
            <w:tcMar>
              <w:top w:type="dxa" w:w="70"/>
              <w:left w:type="dxa" w:w="100"/>
              <w:bottom w:type="dxa" w:w="70"/>
              <w:right w:type="dxa" w:w="80"/>
            </w:tcMar>
          </w:tcPr>
          <w:p>
            <w:r>
              <w:rPr>
                <w:rFonts w:ascii="Calibri" w:cs="Calibri" w:eastAsia="Calibri" w:hAnsi="Calibri"/>
                <w:color w:val="333333"/>
                <w:sz w:val="20"/>
                <w:szCs w:val="20"/>
              </w:rPr>
              <w:t xml:space="preserve">Event awareness</w:t>
            </w:r>
          </w:p>
        </w:tc>
      </w:tr>
      <w:tr>
        <w:tc>
          <w:tcPr>
            <w:tcW w:type="dxa" w:w="48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b/>
                <w:bCs/>
                <w:color w:val="C0450A"/>
                <w:sz w:val="20"/>
                <w:szCs w:val="20"/>
              </w:rPr>
              <w:t xml:space="preserve">10</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80"/>
            </w:tcMar>
          </w:tcPr>
          <w:p>
            <w:r>
              <w:rPr>
                <w:rFonts w:ascii="Calibri" w:cs="Calibri" w:eastAsia="Calibri" w:hAnsi="Calibri"/>
                <w:color w:val="1A1A1A"/>
                <w:sz w:val="20"/>
                <w:szCs w:val="20"/>
              </w:rPr>
              <w:t xml:space="preserve">ESG / Policy reference tab</w:t>
            </w:r>
          </w:p>
        </w:tc>
        <w:tc>
          <w:tcPr>
            <w:tcW w:type="dxa" w:w="15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555555"/>
                <w:sz w:val="20"/>
                <w:szCs w:val="20"/>
              </w:rPr>
              <w:t xml:space="preserve">2 hrs build + 30min/qtr</w:t>
            </w:r>
          </w:p>
        </w:tc>
        <w:tc>
          <w:tcPr>
            <w:tcW w:type="dxa" w:w="1560"/>
            <w:tcBorders>
              <w:top w:val="single" w:color="CCCCCC" w:sz="1"/>
              <w:left w:val="single" w:color="CCCCCC" w:sz="1"/>
              <w:bottom w:val="single" w:color="CCCCCC" w:sz="1"/>
              <w:right w:val="single" w:color="CCCCCC" w:sz="1"/>
            </w:tcBorders>
            <w:shd w:fill="F0F0FF" w:val="clear"/>
            <w:tcMar>
              <w:top w:type="dxa" w:w="70"/>
              <w:left w:type="dxa" w:w="100"/>
              <w:bottom w:type="dxa" w:w="70"/>
              <w:right w:type="dxa" w:w="80"/>
            </w:tcMar>
          </w:tcPr>
          <w:p>
            <w:r>
              <w:rPr>
                <w:rFonts w:ascii="Calibri" w:cs="Calibri" w:eastAsia="Calibri" w:hAnsi="Calibri"/>
                <w:b/>
                <w:bCs/>
                <w:color w:val="444488"/>
                <w:sz w:val="20"/>
                <w:szCs w:val="20"/>
              </w:rPr>
              <w:t xml:space="preserve">Future</w:t>
            </w:r>
          </w:p>
        </w:tc>
        <w:tc>
          <w:tcPr>
            <w:tcW w:type="dxa" w:w="2360"/>
            <w:tcBorders>
              <w:top w:val="single" w:color="CCCCCC" w:sz="1"/>
              <w:left w:val="single" w:color="CCCCCC" w:sz="1"/>
              <w:bottom w:val="single" w:color="CCCCCC" w:sz="1"/>
              <w:right w:val="single" w:color="CCCCCC" w:sz="1"/>
            </w:tcBorders>
            <w:shd w:fill="FFFFFF" w:val="clear"/>
            <w:tcMar>
              <w:top w:type="dxa" w:w="70"/>
              <w:left w:type="dxa" w:w="100"/>
              <w:bottom w:type="dxa" w:w="70"/>
              <w:right w:type="dxa" w:w="80"/>
            </w:tcMar>
          </w:tcPr>
          <w:p>
            <w:r>
              <w:rPr>
                <w:rFonts w:ascii="Calibri" w:cs="Calibri" w:eastAsia="Calibri" w:hAnsi="Calibri"/>
                <w:color w:val="333333"/>
                <w:sz w:val="20"/>
                <w:szCs w:val="20"/>
              </w:rPr>
              <w:t xml:space="preserve">Regulatory context</w:t>
            </w:r>
          </w:p>
        </w:tc>
      </w:tr>
    </w:tbl>
    <w:p>
      <w:pPr>
        <w:spacing w:after="280" w:before="0"/>
      </w:pPr>
    </w:p>
    <w:p>
      <w:pPr>
        <w:spacing w:after="160" w:before="0"/>
      </w:pPr>
      <w:r>
        <w:rPr>
          <w:rFonts w:ascii="Calibri" w:cs="Calibri" w:eastAsia="Calibri" w:hAnsi="Calibri"/>
          <w:b/>
          <w:bCs/>
          <w:color w:val="1A1A1A"/>
          <w:sz w:val="22"/>
          <w:szCs w:val="22"/>
        </w:rPr>
        <w:t xml:space="preserve">EPS Clean Data path: </w:t>
      </w:r>
      <w:r>
        <w:rPr>
          <w:rFonts w:ascii="Calibri" w:cs="Calibri" w:eastAsia="Calibri" w:hAnsi="Calibri"/>
          <w:color w:val="1A1A1A"/>
          <w:sz w:val="22"/>
          <w:szCs w:val="22"/>
        </w:rPr>
        <w:t xml:space="preserve">Change 1 now → Manual Screener.in spot-checks quarterly → 20% UNVERIFIED penalty after one quarter → evaluate Screener API after 6 months.</w:t>
      </w:r>
    </w:p>
    <w:p>
      <w:pPr>
        <w:spacing w:after="280" w:before="0"/>
      </w:pPr>
    </w:p>
    <w:p>
      <w:pPr>
        <w:spacing w:after="280" w:before="0"/>
      </w:pPr>
    </w:p>
    <w:p>
      <w:pPr>
        <w:spacing w:after="0" w:before="400"/>
        <w:jc w:val="center"/>
      </w:pPr>
      <w:r>
        <w:rPr>
          <w:rFonts w:ascii="Arial" w:cs="Arial" w:eastAsia="Arial" w:hAnsi="Arial"/>
          <w:i/>
          <w:iCs/>
          <w:color w:val="AAAAAA"/>
          <w:sz w:val="20"/>
          <w:szCs w:val="20"/>
        </w:rPr>
        <w:t xml:space="preserve">— End of Change Log —</w:t>
      </w:r>
    </w:p>
    <w:p>
      <w:pPr>
        <w:jc w:val="center"/>
      </w:pPr>
      <w:r>
        <w:rPr>
          <w:rFonts w:ascii="Arial" w:cs="Arial" w:eastAsia="Arial" w:hAnsi="Arial"/>
          <w:color w:val="CCCCCC"/>
          <w:sz w:val="18"/>
          <w:szCs w:val="18"/>
        </w:rPr>
        <w:t xml:space="preserve">naushimathur.github.io/Nifty-Dashboard  |  Built April 2026</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spacing w:after="0" w:before="100"/>
      <w:jc w:val="center"/>
    </w:pPr>
    <w:r>
      <w:rPr>
        <w:rFonts w:ascii="Arial" w:cs="Arial" w:eastAsia="Arial" w:hAnsi="Arial"/>
        <w:color w:val="AAAAAA"/>
        <w:sz w:val="18"/>
        <w:szCs w:val="18"/>
      </w:rPr>
      <w:t xml:space="preserve">Page </w:t>
    </w:r>
    <w:r>
      <w:rPr>
        <w:rFonts w:ascii="Arial" w:cs="Arial" w:eastAsia="Arial" w:hAnsi="Arial"/>
        <w:color w:val="AAAAAA"/>
        <w:sz w:val="18"/>
        <w:szCs w:val="18"/>
      </w:rPr>
      <w:fldChar w:fldCharType="begin"/>
      <w:instrText xml:space="preserve">PAGE</w:instrText>
      <w:fldChar w:fldCharType="separate"/>
      <w:fldChar w:fldCharType="end"/>
    </w:r>
    <w:r>
      <w:rPr>
        <w:rFonts w:ascii="Arial" w:cs="Arial" w:eastAsia="Arial" w:hAnsi="Arial"/>
        <w:color w:val="CCCCCC"/>
        <w:sz w:val="18"/>
        <w:szCs w:val="18"/>
      </w:rPr>
      <w:t xml:space="preserve">  |  Personal investment research only — not financial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6"/>
      </w:pBdr>
      <w:spacing w:after="120" w:before="0"/>
    </w:pPr>
    <w:r>
      <w:rPr>
        <w:rFonts w:ascii="Arial" w:cs="Arial" w:eastAsia="Arial" w:hAnsi="Arial"/>
        <w:color w:val="888888"/>
        <w:sz w:val="18"/>
        <w:szCs w:val="18"/>
      </w:rPr>
      <w:t xml:space="preserve">Nifty 50 Dashboard — Change Log &amp; Roadmap</w:t>
    </w:r>
    <w:r>
      <w:rPr>
        <w:rFonts w:ascii="Arial" w:cs="Arial" w:eastAsia="Arial" w:hAnsi="Arial"/>
        <w:color w:val="BBBBBB"/>
        <w:sz w:val="18"/>
        <w:szCs w:val="18"/>
      </w:rPr>
      <w:t xml:space="preserve">  |  Naushi Mathur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540" w:hanging="320"/>
      </w:pPr>
      <w:rPr>
        <w:color w:val="1B6B3A"/>
      </w:rPr>
    </w:lvl>
  </w:abstractNum>
  <w:abstractNum w:abstractNumId="5" w15:restartNumberingAfterBreak="0">
    <w:multiLevelType w:val="hybridMultilevel"/>
    <w:lvl w:ilvl="0" w15:tentative="1">
      <w:start w:val="1"/>
      <w:numFmt w:val="bullet"/>
      <w:lvlText w:val="⚠"/>
      <w:lvlJc w:val="left"/>
      <w:pPr>
        <w:ind w:left="540" w:hanging="320"/>
      </w:pPr>
      <w:rPr>
        <w:color w:val="9B2020"/>
      </w:r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C0450A"/>
      <w:sz w:val="34"/>
      <w:szCs w:val="34"/>
    </w:rPr>
  </w:style>
  <w:style w:type="paragraph" w:styleId="Heading2">
    <w:name w:val="Heading 2"/>
    <w:basedOn w:val="Normal"/>
    <w:next w:val="Normal"/>
    <w:qFormat/>
    <w:pPr>
      <w:spacing w:after="100" w:before="280"/>
      <w:outlineLvl w:val="1"/>
    </w:pPr>
    <w:rPr>
      <w:rFonts w:ascii="Arial" w:cs="Arial" w:eastAsia="Arial" w:hAnsi="Arial"/>
      <w:b/>
      <w:bCs/>
      <w:color w:val="1B3A5C"/>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449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2026-04-25T08:14:08.379Z</dcterms:created>
  <dcterms:modified xsi:type="dcterms:W3CDTF">2026-04-25T08:14:08.408Z</dcterms:modified>
</cp:coreProperties>
</file>

<file path=docProps/custom.xml><?xml version="1.0" encoding="utf-8"?>
<Properties xmlns="http://schemas.openxmlformats.org/officeDocument/2006/custom-properties" xmlns:vt="http://schemas.openxmlformats.org/officeDocument/2006/docPropsVTypes"/>
</file>