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0CD78" w14:textId="77777777" w:rsidR="00A017F4" w:rsidRDefault="00000000">
      <w:pPr>
        <w:spacing w:before="2400" w:after="80"/>
        <w:jc w:val="center"/>
      </w:pPr>
      <w:r>
        <w:rPr>
          <w:rFonts w:ascii="Arial" w:eastAsia="Arial" w:hAnsi="Arial" w:cs="Arial"/>
          <w:b/>
          <w:bCs/>
          <w:color w:val="E05A00"/>
          <w:sz w:val="72"/>
          <w:szCs w:val="72"/>
        </w:rPr>
        <w:t>NIFTY 50 DASHBOARD</w:t>
      </w:r>
    </w:p>
    <w:p w14:paraId="32B7400C" w14:textId="77777777" w:rsidR="00A017F4" w:rsidRDefault="00000000">
      <w:pPr>
        <w:spacing w:after="80"/>
        <w:jc w:val="center"/>
      </w:pPr>
      <w:r>
        <w:rPr>
          <w:rFonts w:ascii="Arial" w:eastAsia="Arial" w:hAnsi="Arial" w:cs="Arial"/>
          <w:color w:val="2C3E50"/>
          <w:sz w:val="44"/>
          <w:szCs w:val="44"/>
        </w:rPr>
        <w:t>My Model, Explained Simply</w:t>
      </w:r>
    </w:p>
    <w:p w14:paraId="3B20E2D4" w14:textId="77777777" w:rsidR="00A017F4" w:rsidRDefault="00000000">
      <w:pPr>
        <w:spacing w:before="40" w:after="40"/>
        <w:jc w:val="center"/>
      </w:pPr>
      <w:r>
        <w:rPr>
          <w:rFonts w:ascii="Arial" w:eastAsia="Arial" w:hAnsi="Arial" w:cs="Arial"/>
          <w:color w:val="DDDDDD"/>
          <w:sz w:val="28"/>
          <w:szCs w:val="28"/>
        </w:rPr>
        <w:t>___________________________</w:t>
      </w:r>
    </w:p>
    <w:p w14:paraId="77AAAA04" w14:textId="77777777" w:rsidR="00A017F4" w:rsidRDefault="00000000">
      <w:pPr>
        <w:spacing w:before="60" w:after="1800"/>
        <w:jc w:val="center"/>
      </w:pPr>
      <w:r>
        <w:rPr>
          <w:i/>
          <w:iCs/>
          <w:color w:val="555555"/>
          <w:sz w:val="24"/>
          <w:szCs w:val="24"/>
        </w:rPr>
        <w:t>What it does, how it works, what every number means, and how to think like a fund manager</w:t>
      </w:r>
    </w:p>
    <w:p w14:paraId="694954D6" w14:textId="77777777" w:rsidR="00A017F4" w:rsidRDefault="00000000">
      <w:pPr>
        <w:spacing w:after="80"/>
        <w:jc w:val="center"/>
      </w:pPr>
      <w:proofErr w:type="spellStart"/>
      <w:r>
        <w:rPr>
          <w:rFonts w:ascii="Arial" w:eastAsia="Arial" w:hAnsi="Arial" w:cs="Arial"/>
          <w:color w:val="888888"/>
        </w:rPr>
        <w:t>Naushi</w:t>
      </w:r>
      <w:proofErr w:type="spellEnd"/>
      <w:r>
        <w:rPr>
          <w:rFonts w:ascii="Arial" w:eastAsia="Arial" w:hAnsi="Arial" w:cs="Arial"/>
          <w:color w:val="888888"/>
        </w:rPr>
        <w:t xml:space="preserve"> Mathur   |   April 2026</w:t>
      </w:r>
    </w:p>
    <w:p w14:paraId="3D487979" w14:textId="77777777" w:rsidR="00A017F4" w:rsidRDefault="00000000">
      <w:pPr>
        <w:jc w:val="center"/>
      </w:pPr>
      <w:r>
        <w:rPr>
          <w:i/>
          <w:iCs/>
          <w:color w:val="AAAAAA"/>
          <w:sz w:val="18"/>
          <w:szCs w:val="18"/>
        </w:rPr>
        <w:t>Personal investment research. Not financial advice.</w:t>
      </w:r>
    </w:p>
    <w:p w14:paraId="2068E7BB" w14:textId="77777777" w:rsidR="00A017F4" w:rsidRDefault="00A017F4">
      <w:pPr>
        <w:pageBreakBefore/>
      </w:pPr>
    </w:p>
    <w:p w14:paraId="738EC36D" w14:textId="77777777" w:rsidR="00A017F4" w:rsidRDefault="00000000">
      <w:pPr>
        <w:pStyle w:val="Heading1"/>
      </w:pPr>
      <w:r>
        <w:t>1. The Big Idea — Why Does This Dashboard Exist?</w:t>
      </w:r>
    </w:p>
    <w:p w14:paraId="46EC2C46" w14:textId="77777777" w:rsidR="00A017F4" w:rsidRDefault="00000000">
      <w:pPr>
        <w:spacing w:after="160"/>
      </w:pPr>
      <w:r>
        <w:rPr>
          <w:color w:val="1A1A1A"/>
        </w:rPr>
        <w:t>The Nifty 50 is India’s most watched stock market index. It holds the 50 largest listed companies on the NSE — names like Reliance, TCS, HDFC Bank, Infosys.</w:t>
      </w:r>
    </w:p>
    <w:p w14:paraId="6D6B670C" w14:textId="77777777" w:rsidR="00A017F4" w:rsidRDefault="00000000">
      <w:pPr>
        <w:spacing w:after="160"/>
      </w:pPr>
      <w:r>
        <w:rPr>
          <w:color w:val="1A1A1A"/>
        </w:rPr>
        <w:t xml:space="preserve"> </w:t>
      </w:r>
    </w:p>
    <w:p w14:paraId="4C5D2D99" w14:textId="77777777" w:rsidR="00A017F4" w:rsidRDefault="00000000">
      <w:pPr>
        <w:spacing w:after="160"/>
      </w:pPr>
      <w:r>
        <w:rPr>
          <w:color w:val="1A1A1A"/>
        </w:rPr>
        <w:t xml:space="preserve">When people say “the market went up 1% today,” they’re usually talking about the Nifty 50. If you simply bought all 50 stocks in equal proportion and did nothing, you’d earn what the index earns. That’s called </w:t>
      </w:r>
      <w:r>
        <w:rPr>
          <w:b/>
          <w:bCs/>
          <w:color w:val="1A1A1A"/>
        </w:rPr>
        <w:t>index investing</w:t>
      </w:r>
      <w:r>
        <w:rPr>
          <w:color w:val="1A1A1A"/>
        </w:rPr>
        <w:t>.</w:t>
      </w:r>
    </w:p>
    <w:p w14:paraId="2DAB1256" w14:textId="77777777" w:rsidR="00A017F4" w:rsidRDefault="00000000">
      <w:pPr>
        <w:spacing w:after="160"/>
      </w:pPr>
      <w:r>
        <w:rPr>
          <w:color w:val="1A1A1A"/>
        </w:rPr>
        <w:t xml:space="preserve"> </w:t>
      </w:r>
    </w:p>
    <w:p w14:paraId="16EB3939" w14:textId="77777777" w:rsidR="00A017F4" w:rsidRDefault="00000000">
      <w:pPr>
        <w:spacing w:after="160"/>
      </w:pPr>
      <w:r>
        <w:rPr>
          <w:b/>
          <w:bCs/>
          <w:color w:val="1A1A1A"/>
        </w:rPr>
        <w:t xml:space="preserve">The question this dashboard tries to answer is: </w:t>
      </w:r>
      <w:r>
        <w:rPr>
          <w:color w:val="1A1A1A"/>
        </w:rPr>
        <w:t>Can I do better than just holding all 50?</w:t>
      </w:r>
    </w:p>
    <w:p w14:paraId="58FEFA3A" w14:textId="77777777" w:rsidR="00A017F4" w:rsidRDefault="00000000">
      <w:pPr>
        <w:spacing w:after="160"/>
      </w:pPr>
      <w:r>
        <w:rPr>
          <w:color w:val="1A1A1A"/>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17F4" w14:paraId="48771180" w14:textId="77777777">
        <w:tblPrEx>
          <w:tblCellMar>
            <w:top w:w="0" w:type="dxa"/>
            <w:bottom w:w="0" w:type="dxa"/>
          </w:tblCellMar>
        </w:tblPrEx>
        <w:tc>
          <w:tcPr>
            <w:tcW w:w="9360" w:type="dxa"/>
            <w:tcBorders>
              <w:top w:val="single" w:sz="12" w:space="0" w:color="E6A817"/>
              <w:left w:val="single" w:sz="24" w:space="0" w:color="E6A817"/>
              <w:bottom w:val="single" w:sz="12" w:space="0" w:color="E6A817"/>
            </w:tcBorders>
            <w:shd w:val="clear" w:color="auto" w:fill="FFF3CD"/>
            <w:tcMar>
              <w:top w:w="120" w:type="dxa"/>
              <w:left w:w="160" w:type="dxa"/>
              <w:bottom w:w="120" w:type="dxa"/>
              <w:right w:w="160" w:type="dxa"/>
            </w:tcMar>
          </w:tcPr>
          <w:p w14:paraId="48D25797" w14:textId="77777777" w:rsidR="00A017F4" w:rsidRDefault="00000000">
            <w:r>
              <w:rPr>
                <w:i/>
                <w:iCs/>
                <w:color w:val="3D2B00"/>
                <w:sz w:val="21"/>
                <w:szCs w:val="21"/>
              </w:rPr>
              <w:t>Analogy: Imagine a cricket team. The Nifty 50 is like picking all 11 players every match regardless of form, fitness, or the pitch conditions. Our dashboard asks: what if you only fielded your best 5 batsmen and best 4 bowlers — the ones who are most likely to perform this season based on real data?</w:t>
            </w:r>
          </w:p>
        </w:tc>
      </w:tr>
    </w:tbl>
    <w:p w14:paraId="1AE72695" w14:textId="77777777" w:rsidR="00A017F4" w:rsidRDefault="00000000">
      <w:pPr>
        <w:spacing w:after="160"/>
      </w:pPr>
      <w:r>
        <w:rPr>
          <w:color w:val="1A1A1A"/>
        </w:rPr>
        <w:t xml:space="preserve"> </w:t>
      </w:r>
    </w:p>
    <w:p w14:paraId="30BFD5C1" w14:textId="77777777" w:rsidR="00A017F4" w:rsidRDefault="00000000">
      <w:pPr>
        <w:spacing w:after="160"/>
      </w:pPr>
      <w:r>
        <w:rPr>
          <w:color w:val="1A1A1A"/>
        </w:rPr>
        <w:t xml:space="preserve">The hypothesis is: </w:t>
      </w:r>
      <w:r>
        <w:rPr>
          <w:b/>
          <w:bCs/>
          <w:color w:val="1A1A1A"/>
        </w:rPr>
        <w:t>not all 50 stocks are equally worth holding at any given time.</w:t>
      </w:r>
      <w:r>
        <w:rPr>
          <w:color w:val="1A1A1A"/>
        </w:rPr>
        <w:t xml:space="preserve"> Some are fundamentally stronger, undervalued by the market, and gaining momentum. Concentrate into those 25. Ignore the rest.</w:t>
      </w:r>
    </w:p>
    <w:p w14:paraId="4A782CB9" w14:textId="77777777" w:rsidR="00A017F4" w:rsidRDefault="00000000">
      <w:pPr>
        <w:spacing w:after="160"/>
      </w:pPr>
      <w:r>
        <w:rPr>
          <w:color w:val="1A1A1A"/>
        </w:rPr>
        <w:t xml:space="preserve"> </w:t>
      </w:r>
    </w:p>
    <w:p w14:paraId="7F58865A" w14:textId="77777777" w:rsidR="00A017F4" w:rsidRDefault="00000000">
      <w:pPr>
        <w:spacing w:after="160"/>
      </w:pPr>
      <w:r>
        <w:rPr>
          <w:color w:val="1A1A1A"/>
        </w:rPr>
        <w:t>The dashboard:</w:t>
      </w:r>
      <w:r>
        <w:rPr>
          <w:b/>
          <w:bCs/>
          <w:color w:val="1A1A1A"/>
        </w:rPr>
        <w:t xml:space="preserve"> scores every stock out of 100 points</w:t>
      </w:r>
      <w:r>
        <w:rPr>
          <w:color w:val="1A1A1A"/>
        </w:rPr>
        <w:t>, ranks them, and tells you the top 25 (Buy) vs bottom 25 (Avoid).</w:t>
      </w:r>
    </w:p>
    <w:p w14:paraId="0227200A" w14:textId="77777777" w:rsidR="00A017F4" w:rsidRDefault="00A017F4">
      <w:pPr>
        <w:pBdr>
          <w:bottom w:val="single" w:sz="4" w:space="1" w:color="DDDDDD"/>
        </w:pBdr>
        <w:spacing w:before="200" w:after="200"/>
      </w:pPr>
    </w:p>
    <w:p w14:paraId="3204BE21" w14:textId="77777777" w:rsidR="00A017F4" w:rsidRDefault="00000000">
      <w:pPr>
        <w:pStyle w:val="Heading1"/>
      </w:pPr>
      <w:r>
        <w:t>2. The Scoring Model — 100 Points, Three Questions</w:t>
      </w:r>
    </w:p>
    <w:p w14:paraId="7AFECF0E" w14:textId="77777777" w:rsidR="00A017F4" w:rsidRDefault="00000000">
      <w:pPr>
        <w:spacing w:after="160"/>
      </w:pPr>
      <w:r>
        <w:rPr>
          <w:color w:val="1A1A1A"/>
        </w:rPr>
        <w:t>Every stock gets a score out of 100. The score answers three questions:</w:t>
      </w:r>
    </w:p>
    <w:p w14:paraId="1C5A3F7A" w14:textId="77777777" w:rsidR="00A017F4" w:rsidRDefault="00000000">
      <w:pPr>
        <w:spacing w:after="160"/>
      </w:pPr>
      <w:r>
        <w:rPr>
          <w:color w:val="1A1A1A"/>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1680"/>
        <w:gridCol w:w="1680"/>
      </w:tblGrid>
      <w:tr w:rsidR="00A017F4" w14:paraId="34FB1C62" w14:textId="77777777">
        <w:tblPrEx>
          <w:tblCellMar>
            <w:top w:w="0" w:type="dxa"/>
            <w:bottom w:w="0" w:type="dxa"/>
          </w:tblCellMar>
        </w:tblPrEx>
        <w:tc>
          <w:tcPr>
            <w:tcW w:w="2800" w:type="dxa"/>
            <w:tcBorders>
              <w:top w:val="single" w:sz="1" w:space="0" w:color="444444"/>
              <w:left w:val="single" w:sz="1" w:space="0" w:color="444444"/>
              <w:bottom w:val="single" w:sz="1" w:space="0" w:color="444444"/>
              <w:right w:val="single" w:sz="1" w:space="0" w:color="444444"/>
            </w:tcBorders>
            <w:shd w:val="clear" w:color="auto" w:fill="2C3E50"/>
            <w:tcMar>
              <w:top w:w="80" w:type="dxa"/>
              <w:left w:w="120" w:type="dxa"/>
              <w:bottom w:w="80" w:type="dxa"/>
              <w:right w:w="120" w:type="dxa"/>
            </w:tcMar>
          </w:tcPr>
          <w:p w14:paraId="4D41FAAB" w14:textId="77777777" w:rsidR="00A017F4" w:rsidRDefault="00000000">
            <w:r>
              <w:rPr>
                <w:rFonts w:ascii="Arial" w:eastAsia="Arial" w:hAnsi="Arial" w:cs="Arial"/>
                <w:b/>
                <w:bCs/>
                <w:color w:val="FFFFFF"/>
                <w:sz w:val="20"/>
                <w:szCs w:val="20"/>
              </w:rPr>
              <w:t>Block</w:t>
            </w:r>
          </w:p>
        </w:tc>
        <w:tc>
          <w:tcPr>
            <w:tcW w:w="3200" w:type="dxa"/>
            <w:tcBorders>
              <w:top w:val="single" w:sz="1" w:space="0" w:color="444444"/>
              <w:left w:val="single" w:sz="1" w:space="0" w:color="444444"/>
              <w:bottom w:val="single" w:sz="1" w:space="0" w:color="444444"/>
              <w:right w:val="single" w:sz="1" w:space="0" w:color="444444"/>
            </w:tcBorders>
            <w:shd w:val="clear" w:color="auto" w:fill="2C3E50"/>
            <w:tcMar>
              <w:top w:w="80" w:type="dxa"/>
              <w:left w:w="120" w:type="dxa"/>
              <w:bottom w:w="80" w:type="dxa"/>
              <w:right w:w="120" w:type="dxa"/>
            </w:tcMar>
          </w:tcPr>
          <w:p w14:paraId="773A59AB" w14:textId="77777777" w:rsidR="00A017F4" w:rsidRDefault="00000000">
            <w:r>
              <w:rPr>
                <w:rFonts w:ascii="Arial" w:eastAsia="Arial" w:hAnsi="Arial" w:cs="Arial"/>
                <w:b/>
                <w:bCs/>
                <w:color w:val="FFFFFF"/>
                <w:sz w:val="20"/>
                <w:szCs w:val="20"/>
              </w:rPr>
              <w:t>Question It Answers</w:t>
            </w:r>
          </w:p>
        </w:tc>
        <w:tc>
          <w:tcPr>
            <w:tcW w:w="1680" w:type="dxa"/>
            <w:tcBorders>
              <w:top w:val="single" w:sz="1" w:space="0" w:color="444444"/>
              <w:left w:val="single" w:sz="1" w:space="0" w:color="444444"/>
              <w:bottom w:val="single" w:sz="1" w:space="0" w:color="444444"/>
              <w:right w:val="single" w:sz="1" w:space="0" w:color="444444"/>
            </w:tcBorders>
            <w:shd w:val="clear" w:color="auto" w:fill="2C3E50"/>
            <w:tcMar>
              <w:top w:w="80" w:type="dxa"/>
              <w:left w:w="120" w:type="dxa"/>
              <w:bottom w:w="80" w:type="dxa"/>
              <w:right w:w="120" w:type="dxa"/>
            </w:tcMar>
          </w:tcPr>
          <w:p w14:paraId="148EF660" w14:textId="77777777" w:rsidR="00A017F4" w:rsidRDefault="00000000">
            <w:r>
              <w:rPr>
                <w:rFonts w:ascii="Arial" w:eastAsia="Arial" w:hAnsi="Arial" w:cs="Arial"/>
                <w:b/>
                <w:bCs/>
                <w:color w:val="FFFFFF"/>
                <w:sz w:val="20"/>
                <w:szCs w:val="20"/>
              </w:rPr>
              <w:t>Max Points</w:t>
            </w:r>
          </w:p>
        </w:tc>
        <w:tc>
          <w:tcPr>
            <w:tcW w:w="1680" w:type="dxa"/>
            <w:tcBorders>
              <w:top w:val="single" w:sz="1" w:space="0" w:color="444444"/>
              <w:left w:val="single" w:sz="1" w:space="0" w:color="444444"/>
              <w:bottom w:val="single" w:sz="1" w:space="0" w:color="444444"/>
              <w:right w:val="single" w:sz="1" w:space="0" w:color="444444"/>
            </w:tcBorders>
            <w:shd w:val="clear" w:color="auto" w:fill="2C3E50"/>
            <w:tcMar>
              <w:top w:w="80" w:type="dxa"/>
              <w:left w:w="120" w:type="dxa"/>
              <w:bottom w:w="80" w:type="dxa"/>
              <w:right w:w="120" w:type="dxa"/>
            </w:tcMar>
          </w:tcPr>
          <w:p w14:paraId="4B8E8117" w14:textId="77777777" w:rsidR="00A017F4" w:rsidRDefault="00000000">
            <w:r>
              <w:rPr>
                <w:rFonts w:ascii="Arial" w:eastAsia="Arial" w:hAnsi="Arial" w:cs="Arial"/>
                <w:b/>
                <w:bCs/>
                <w:color w:val="FFFFFF"/>
                <w:sz w:val="20"/>
                <w:szCs w:val="20"/>
              </w:rPr>
              <w:t>Why This Weight?</w:t>
            </w:r>
          </w:p>
        </w:tc>
      </w:tr>
      <w:tr w:rsidR="00A017F4" w14:paraId="31CF1F4B" w14:textId="77777777">
        <w:tblPrEx>
          <w:tblCellMar>
            <w:top w:w="0" w:type="dxa"/>
            <w:bottom w:w="0" w:type="dxa"/>
          </w:tblCellMar>
        </w:tblPrEx>
        <w:tc>
          <w:tcPr>
            <w:tcW w:w="28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207CAAF4" w14:textId="77777777" w:rsidR="00A017F4" w:rsidRDefault="00000000">
            <w:r>
              <w:rPr>
                <w:color w:val="1A1A1A"/>
                <w:sz w:val="21"/>
                <w:szCs w:val="21"/>
              </w:rPr>
              <w:t>Fundamental Quality</w:t>
            </w:r>
          </w:p>
        </w:tc>
        <w:tc>
          <w:tcPr>
            <w:tcW w:w="32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69B713D3" w14:textId="77777777" w:rsidR="00A017F4" w:rsidRDefault="00000000">
            <w:r>
              <w:rPr>
                <w:color w:val="1A1A1A"/>
                <w:sz w:val="21"/>
                <w:szCs w:val="21"/>
              </w:rPr>
              <w:t>Is this a genuinely good business?</w:t>
            </w:r>
          </w:p>
        </w:tc>
        <w:tc>
          <w:tcPr>
            <w:tcW w:w="168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2F8086E8" w14:textId="77777777" w:rsidR="00A017F4" w:rsidRDefault="00000000">
            <w:r>
              <w:rPr>
                <w:color w:val="1A1A1A"/>
                <w:sz w:val="21"/>
                <w:szCs w:val="21"/>
              </w:rPr>
              <w:t>50 pts</w:t>
            </w:r>
          </w:p>
        </w:tc>
        <w:tc>
          <w:tcPr>
            <w:tcW w:w="168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70C4326B" w14:textId="77777777" w:rsidR="00A017F4" w:rsidRDefault="00000000">
            <w:r>
              <w:rPr>
                <w:color w:val="1A1A1A"/>
                <w:sz w:val="21"/>
                <w:szCs w:val="21"/>
              </w:rPr>
              <w:t>Most important — the engine of long-term returns</w:t>
            </w:r>
          </w:p>
        </w:tc>
      </w:tr>
      <w:tr w:rsidR="00A017F4" w14:paraId="6752DD71" w14:textId="77777777">
        <w:tblPrEx>
          <w:tblCellMar>
            <w:top w:w="0" w:type="dxa"/>
            <w:bottom w:w="0" w:type="dxa"/>
          </w:tblCellMar>
        </w:tblPrEx>
        <w:tc>
          <w:tcPr>
            <w:tcW w:w="28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71F053CA" w14:textId="77777777" w:rsidR="00A017F4" w:rsidRDefault="00000000">
            <w:r>
              <w:rPr>
                <w:color w:val="1A1A1A"/>
                <w:sz w:val="21"/>
                <w:szCs w:val="21"/>
              </w:rPr>
              <w:lastRenderedPageBreak/>
              <w:t>Valuation</w:t>
            </w:r>
          </w:p>
        </w:tc>
        <w:tc>
          <w:tcPr>
            <w:tcW w:w="32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2BCB5A87" w14:textId="77777777" w:rsidR="00A017F4" w:rsidRDefault="00000000">
            <w:r>
              <w:rPr>
                <w:color w:val="1A1A1A"/>
                <w:sz w:val="21"/>
                <w:szCs w:val="21"/>
              </w:rPr>
              <w:t>Am I paying a fair price for it?</w:t>
            </w:r>
          </w:p>
        </w:tc>
        <w:tc>
          <w:tcPr>
            <w:tcW w:w="168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335CC77C" w14:textId="77777777" w:rsidR="00A017F4" w:rsidRDefault="00000000">
            <w:r>
              <w:rPr>
                <w:color w:val="1A1A1A"/>
                <w:sz w:val="21"/>
                <w:szCs w:val="21"/>
              </w:rPr>
              <w:t>20 pts</w:t>
            </w:r>
          </w:p>
        </w:tc>
        <w:tc>
          <w:tcPr>
            <w:tcW w:w="168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095D9CBE" w14:textId="77777777" w:rsidR="00A017F4" w:rsidRDefault="00000000">
            <w:r>
              <w:rPr>
                <w:color w:val="1A1A1A"/>
                <w:sz w:val="21"/>
                <w:szCs w:val="21"/>
              </w:rPr>
              <w:t>Even good businesses can be overpriced</w:t>
            </w:r>
          </w:p>
        </w:tc>
      </w:tr>
      <w:tr w:rsidR="00A017F4" w14:paraId="1BB00D39" w14:textId="77777777">
        <w:tblPrEx>
          <w:tblCellMar>
            <w:top w:w="0" w:type="dxa"/>
            <w:bottom w:w="0" w:type="dxa"/>
          </w:tblCellMar>
        </w:tblPrEx>
        <w:tc>
          <w:tcPr>
            <w:tcW w:w="28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71062FA2" w14:textId="77777777" w:rsidR="00A017F4" w:rsidRDefault="00000000">
            <w:r>
              <w:rPr>
                <w:color w:val="1A1A1A"/>
                <w:sz w:val="21"/>
                <w:szCs w:val="21"/>
              </w:rPr>
              <w:t>Momentum</w:t>
            </w:r>
          </w:p>
        </w:tc>
        <w:tc>
          <w:tcPr>
            <w:tcW w:w="32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155E5629" w14:textId="77777777" w:rsidR="00A017F4" w:rsidRDefault="00000000">
            <w:r>
              <w:rPr>
                <w:color w:val="1A1A1A"/>
                <w:sz w:val="21"/>
                <w:szCs w:val="21"/>
              </w:rPr>
              <w:t>Is the market already agreeing with us?</w:t>
            </w:r>
          </w:p>
        </w:tc>
        <w:tc>
          <w:tcPr>
            <w:tcW w:w="168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5F1C238E" w14:textId="77777777" w:rsidR="00A017F4" w:rsidRDefault="00000000">
            <w:r>
              <w:rPr>
                <w:color w:val="1A1A1A"/>
                <w:sz w:val="21"/>
                <w:szCs w:val="21"/>
              </w:rPr>
              <w:t>30 pts</w:t>
            </w:r>
          </w:p>
        </w:tc>
        <w:tc>
          <w:tcPr>
            <w:tcW w:w="168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558CF56C" w14:textId="77777777" w:rsidR="00A017F4" w:rsidRDefault="00000000">
            <w:r>
              <w:rPr>
                <w:color w:val="1A1A1A"/>
                <w:sz w:val="21"/>
                <w:szCs w:val="21"/>
              </w:rPr>
              <w:t>Timing — ride trends that are already confirmed</w:t>
            </w:r>
          </w:p>
        </w:tc>
      </w:tr>
    </w:tbl>
    <w:p w14:paraId="4BF80724" w14:textId="77777777" w:rsidR="00A017F4" w:rsidRDefault="00000000">
      <w:pPr>
        <w:spacing w:after="160"/>
      </w:pPr>
      <w:r>
        <w:rPr>
          <w:color w:val="1A1A1A"/>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17F4" w14:paraId="24AA6E7D" w14:textId="77777777">
        <w:tblPrEx>
          <w:tblCellMar>
            <w:top w:w="0" w:type="dxa"/>
            <w:bottom w:w="0" w:type="dxa"/>
          </w:tblCellMar>
        </w:tblPrEx>
        <w:tc>
          <w:tcPr>
            <w:tcW w:w="9360" w:type="dxa"/>
            <w:tcBorders>
              <w:top w:val="single" w:sz="12" w:space="0" w:color="E6A817"/>
              <w:left w:val="single" w:sz="24" w:space="0" w:color="E6A817"/>
              <w:bottom w:val="single" w:sz="12" w:space="0" w:color="E6A817"/>
            </w:tcBorders>
            <w:shd w:val="clear" w:color="auto" w:fill="FFF3CD"/>
            <w:tcMar>
              <w:top w:w="120" w:type="dxa"/>
              <w:left w:w="160" w:type="dxa"/>
              <w:bottom w:w="120" w:type="dxa"/>
              <w:right w:w="160" w:type="dxa"/>
            </w:tcMar>
          </w:tcPr>
          <w:p w14:paraId="0536DC34" w14:textId="77777777" w:rsidR="00A017F4" w:rsidRDefault="00000000">
            <w:r>
              <w:rPr>
                <w:i/>
                <w:iCs/>
                <w:color w:val="3D2B00"/>
                <w:sz w:val="21"/>
                <w:szCs w:val="21"/>
              </w:rPr>
              <w:t>Analogy: Think of buying a flat. Fundamental Quality = is this a well-built flat in a good area? Valuation = is the asking price fair for what I’m getting? Momentum = are prices in this neighbourhood already rising, or is it stagnant?</w:t>
            </w:r>
          </w:p>
        </w:tc>
      </w:tr>
    </w:tbl>
    <w:p w14:paraId="395D82B5" w14:textId="77777777" w:rsidR="00A017F4" w:rsidRDefault="00000000">
      <w:pPr>
        <w:spacing w:after="160"/>
      </w:pPr>
      <w:r>
        <w:rPr>
          <w:color w:val="1A1A1A"/>
        </w:rPr>
        <w:t xml:space="preserve"> </w:t>
      </w:r>
    </w:p>
    <w:p w14:paraId="536C36AA" w14:textId="77777777" w:rsidR="00A017F4" w:rsidRDefault="00000000">
      <w:pPr>
        <w:spacing w:after="160"/>
      </w:pPr>
      <w:r>
        <w:rPr>
          <w:color w:val="1A1A1A"/>
        </w:rPr>
        <w:t>You only buy when all three look good. A great flat at a ridiculous price is a bad deal. A cheap flat in a location nobody wants to move to is also a bad deal.</w:t>
      </w:r>
    </w:p>
    <w:p w14:paraId="7979FA96" w14:textId="77777777" w:rsidR="00A017F4" w:rsidRDefault="00A017F4">
      <w:pPr>
        <w:pageBreakBefore/>
      </w:pPr>
    </w:p>
    <w:p w14:paraId="578F3CBC" w14:textId="77777777" w:rsidR="00A017F4" w:rsidRDefault="00000000">
      <w:pPr>
        <w:pStyle w:val="Heading2"/>
      </w:pPr>
      <w:r>
        <w:t>Block 1 — Fundamental Quality (50 points)</w:t>
      </w:r>
    </w:p>
    <w:p w14:paraId="2D19D609" w14:textId="77777777" w:rsidR="00A017F4" w:rsidRDefault="00000000">
      <w:pPr>
        <w:spacing w:after="160"/>
      </w:pPr>
      <w:r>
        <w:rPr>
          <w:color w:val="1A1A1A"/>
        </w:rPr>
        <w:t xml:space="preserve">This is half the total score because it asks the most important question: </w:t>
      </w:r>
      <w:r>
        <w:rPr>
          <w:b/>
          <w:bCs/>
          <w:color w:val="1A1A1A"/>
        </w:rPr>
        <w:t>is this a genuinely good business?</w:t>
      </w:r>
      <w:r>
        <w:rPr>
          <w:color w:val="1A1A1A"/>
        </w:rPr>
        <w:t xml:space="preserve"> Five metrics contribute.</w:t>
      </w:r>
    </w:p>
    <w:p w14:paraId="5334D3A9" w14:textId="77777777" w:rsidR="00A017F4" w:rsidRDefault="00000000">
      <w:pPr>
        <w:spacing w:after="160"/>
      </w:pPr>
      <w:r>
        <w:rPr>
          <w:color w:val="1A1A1A"/>
        </w:rPr>
        <w:t xml:space="preserve"> </w:t>
      </w:r>
    </w:p>
    <w:p w14:paraId="2CA8E3AC" w14:textId="77777777" w:rsidR="00A017F4" w:rsidRDefault="00000000">
      <w:pPr>
        <w:pStyle w:val="Heading3"/>
      </w:pPr>
      <w:r>
        <w:t>1a. EPS Growth — 15 points</w:t>
      </w:r>
    </w:p>
    <w:p w14:paraId="6632F8D3" w14:textId="77777777" w:rsidR="00A017F4" w:rsidRDefault="00000000">
      <w:pPr>
        <w:spacing w:after="160"/>
      </w:pPr>
      <w:r>
        <w:rPr>
          <w:b/>
          <w:bCs/>
          <w:color w:val="1A1A1A"/>
        </w:rPr>
        <w:t>EPS = Earnings Per Share.</w:t>
      </w:r>
      <w:r>
        <w:rPr>
          <w:color w:val="1A1A1A"/>
        </w:rPr>
        <w:t xml:space="preserve"> This is the profit the company made, divided by how many shares exist. It’s the single most watched number in investing.</w:t>
      </w:r>
    </w:p>
    <w:p w14:paraId="4C80B176" w14:textId="77777777" w:rsidR="00A017F4" w:rsidRDefault="00000000">
      <w:pPr>
        <w:spacing w:after="160"/>
      </w:pPr>
      <w:r>
        <w:rPr>
          <w:color w:val="1A1A1A"/>
        </w:rPr>
        <w:t xml:space="preserve"> </w:t>
      </w:r>
    </w:p>
    <w:p w14:paraId="0024CA8C" w14:textId="77777777" w:rsidR="00A017F4" w:rsidRDefault="00000000">
      <w:pPr>
        <w:spacing w:after="160"/>
      </w:pPr>
      <w:r>
        <w:rPr>
          <w:color w:val="1A1A1A"/>
        </w:rPr>
        <w:t>If a company has 1 crore shares and made ₹10 crore profit, its EPS = ₹10.</w:t>
      </w:r>
    </w:p>
    <w:p w14:paraId="1E7B05B3" w14:textId="77777777" w:rsidR="00A017F4" w:rsidRDefault="00000000">
      <w:pPr>
        <w:spacing w:after="160"/>
      </w:pPr>
      <w:r>
        <w:rPr>
          <w:color w:val="1A1A1A"/>
        </w:rPr>
        <w:t xml:space="preserve"> </w:t>
      </w:r>
    </w:p>
    <w:p w14:paraId="70965747" w14:textId="77777777" w:rsidR="00A017F4" w:rsidRDefault="00000000">
      <w:pPr>
        <w:spacing w:after="160"/>
      </w:pPr>
      <w:r>
        <w:rPr>
          <w:color w:val="1A1A1A"/>
        </w:rPr>
        <w:t>EPS Growth is how much that number grew compared to last year, expressed as a percentage.</w:t>
      </w:r>
    </w:p>
    <w:p w14:paraId="529F304F" w14:textId="77777777" w:rsidR="00A017F4" w:rsidRDefault="00000000">
      <w:pPr>
        <w:spacing w:after="160"/>
      </w:pPr>
      <w:r>
        <w:rPr>
          <w:color w:val="1A1A1A"/>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4960"/>
      </w:tblGrid>
      <w:tr w:rsidR="00A017F4" w14:paraId="5E36C1C2" w14:textId="77777777">
        <w:tblPrEx>
          <w:tblCellMar>
            <w:top w:w="0" w:type="dxa"/>
            <w:bottom w:w="0" w:type="dxa"/>
          </w:tblCellMar>
        </w:tblPrEx>
        <w:tc>
          <w:tcPr>
            <w:tcW w:w="2600" w:type="dxa"/>
            <w:tcBorders>
              <w:top w:val="single" w:sz="1" w:space="0" w:color="444444"/>
              <w:left w:val="single" w:sz="1" w:space="0" w:color="444444"/>
              <w:bottom w:val="single" w:sz="1" w:space="0" w:color="444444"/>
              <w:right w:val="single" w:sz="1" w:space="0" w:color="444444"/>
            </w:tcBorders>
            <w:shd w:val="clear" w:color="auto" w:fill="2C3E50"/>
            <w:tcMar>
              <w:top w:w="80" w:type="dxa"/>
              <w:left w:w="120" w:type="dxa"/>
              <w:bottom w:w="80" w:type="dxa"/>
              <w:right w:w="120" w:type="dxa"/>
            </w:tcMar>
          </w:tcPr>
          <w:p w14:paraId="400D27BB" w14:textId="77777777" w:rsidR="00A017F4" w:rsidRDefault="00000000">
            <w:r>
              <w:rPr>
                <w:rFonts w:ascii="Arial" w:eastAsia="Arial" w:hAnsi="Arial" w:cs="Arial"/>
                <w:b/>
                <w:bCs/>
                <w:color w:val="FFFFFF"/>
                <w:sz w:val="20"/>
                <w:szCs w:val="20"/>
              </w:rPr>
              <w:t>EPS Growth Rate</w:t>
            </w:r>
          </w:p>
        </w:tc>
        <w:tc>
          <w:tcPr>
            <w:tcW w:w="1800" w:type="dxa"/>
            <w:tcBorders>
              <w:top w:val="single" w:sz="1" w:space="0" w:color="444444"/>
              <w:left w:val="single" w:sz="1" w:space="0" w:color="444444"/>
              <w:bottom w:val="single" w:sz="1" w:space="0" w:color="444444"/>
              <w:right w:val="single" w:sz="1" w:space="0" w:color="444444"/>
            </w:tcBorders>
            <w:shd w:val="clear" w:color="auto" w:fill="2C3E50"/>
            <w:tcMar>
              <w:top w:w="80" w:type="dxa"/>
              <w:left w:w="120" w:type="dxa"/>
              <w:bottom w:w="80" w:type="dxa"/>
              <w:right w:w="120" w:type="dxa"/>
            </w:tcMar>
          </w:tcPr>
          <w:p w14:paraId="53BA1363" w14:textId="77777777" w:rsidR="00A017F4" w:rsidRDefault="00000000">
            <w:r>
              <w:rPr>
                <w:rFonts w:ascii="Arial" w:eastAsia="Arial" w:hAnsi="Arial" w:cs="Arial"/>
                <w:b/>
                <w:bCs/>
                <w:color w:val="FFFFFF"/>
                <w:sz w:val="20"/>
                <w:szCs w:val="20"/>
              </w:rPr>
              <w:t>Points Awarded</w:t>
            </w:r>
          </w:p>
        </w:tc>
        <w:tc>
          <w:tcPr>
            <w:tcW w:w="4960" w:type="dxa"/>
            <w:tcBorders>
              <w:top w:val="single" w:sz="1" w:space="0" w:color="444444"/>
              <w:left w:val="single" w:sz="1" w:space="0" w:color="444444"/>
              <w:bottom w:val="single" w:sz="1" w:space="0" w:color="444444"/>
              <w:right w:val="single" w:sz="1" w:space="0" w:color="444444"/>
            </w:tcBorders>
            <w:shd w:val="clear" w:color="auto" w:fill="2C3E50"/>
            <w:tcMar>
              <w:top w:w="80" w:type="dxa"/>
              <w:left w:w="120" w:type="dxa"/>
              <w:bottom w:w="80" w:type="dxa"/>
              <w:right w:w="120" w:type="dxa"/>
            </w:tcMar>
          </w:tcPr>
          <w:p w14:paraId="2486B0BB" w14:textId="77777777" w:rsidR="00A017F4" w:rsidRDefault="00000000">
            <w:r>
              <w:rPr>
                <w:rFonts w:ascii="Arial" w:eastAsia="Arial" w:hAnsi="Arial" w:cs="Arial"/>
                <w:b/>
                <w:bCs/>
                <w:color w:val="FFFFFF"/>
                <w:sz w:val="20"/>
                <w:szCs w:val="20"/>
              </w:rPr>
              <w:t>What It Means</w:t>
            </w:r>
          </w:p>
        </w:tc>
      </w:tr>
      <w:tr w:rsidR="00A017F4" w14:paraId="2CF50716" w14:textId="77777777">
        <w:tblPrEx>
          <w:tblCellMar>
            <w:top w:w="0" w:type="dxa"/>
            <w:bottom w:w="0" w:type="dxa"/>
          </w:tblCellMar>
        </w:tblPrEx>
        <w:tc>
          <w:tcPr>
            <w:tcW w:w="26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75B428C8" w14:textId="77777777" w:rsidR="00A017F4" w:rsidRDefault="00000000">
            <w:r>
              <w:rPr>
                <w:color w:val="1A1A1A"/>
                <w:sz w:val="21"/>
                <w:szCs w:val="21"/>
              </w:rPr>
              <w:t>Above 30% per year</w:t>
            </w:r>
          </w:p>
        </w:tc>
        <w:tc>
          <w:tcPr>
            <w:tcW w:w="18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1B8D83C9" w14:textId="77777777" w:rsidR="00A017F4" w:rsidRDefault="00000000">
            <w:r>
              <w:rPr>
                <w:color w:val="1A1A1A"/>
                <w:sz w:val="21"/>
                <w:szCs w:val="21"/>
              </w:rPr>
              <w:t>15 pts</w:t>
            </w:r>
          </w:p>
        </w:tc>
        <w:tc>
          <w:tcPr>
            <w:tcW w:w="496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1F0564B4" w14:textId="77777777" w:rsidR="00A017F4" w:rsidRDefault="00000000">
            <w:r>
              <w:rPr>
                <w:color w:val="1A1A1A"/>
                <w:sz w:val="21"/>
                <w:szCs w:val="21"/>
              </w:rPr>
              <w:t>Exceptional. Company is growing fast.</w:t>
            </w:r>
          </w:p>
        </w:tc>
      </w:tr>
      <w:tr w:rsidR="00A017F4" w14:paraId="68992991" w14:textId="77777777">
        <w:tblPrEx>
          <w:tblCellMar>
            <w:top w:w="0" w:type="dxa"/>
            <w:bottom w:w="0" w:type="dxa"/>
          </w:tblCellMar>
        </w:tblPrEx>
        <w:tc>
          <w:tcPr>
            <w:tcW w:w="26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4F1DAB96" w14:textId="77777777" w:rsidR="00A017F4" w:rsidRDefault="00000000">
            <w:r>
              <w:rPr>
                <w:color w:val="1A1A1A"/>
                <w:sz w:val="21"/>
                <w:szCs w:val="21"/>
              </w:rPr>
              <w:t>20–30%</w:t>
            </w:r>
          </w:p>
        </w:tc>
        <w:tc>
          <w:tcPr>
            <w:tcW w:w="18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404C761B" w14:textId="77777777" w:rsidR="00A017F4" w:rsidRDefault="00000000">
            <w:r>
              <w:rPr>
                <w:color w:val="1A1A1A"/>
                <w:sz w:val="21"/>
                <w:szCs w:val="21"/>
              </w:rPr>
              <w:t>12 pts</w:t>
            </w:r>
          </w:p>
        </w:tc>
        <w:tc>
          <w:tcPr>
            <w:tcW w:w="496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505BB0C4" w14:textId="77777777" w:rsidR="00A017F4" w:rsidRDefault="00000000">
            <w:r>
              <w:rPr>
                <w:color w:val="1A1A1A"/>
                <w:sz w:val="21"/>
                <w:szCs w:val="21"/>
              </w:rPr>
              <w:t>Strong. Few large companies manage this.</w:t>
            </w:r>
          </w:p>
        </w:tc>
      </w:tr>
      <w:tr w:rsidR="00A017F4" w14:paraId="02282144" w14:textId="77777777">
        <w:tblPrEx>
          <w:tblCellMar>
            <w:top w:w="0" w:type="dxa"/>
            <w:bottom w:w="0" w:type="dxa"/>
          </w:tblCellMar>
        </w:tblPrEx>
        <w:tc>
          <w:tcPr>
            <w:tcW w:w="26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56DC7BC3" w14:textId="77777777" w:rsidR="00A017F4" w:rsidRDefault="00000000">
            <w:r>
              <w:rPr>
                <w:color w:val="1A1A1A"/>
                <w:sz w:val="21"/>
                <w:szCs w:val="21"/>
              </w:rPr>
              <w:t>10–20%</w:t>
            </w:r>
          </w:p>
        </w:tc>
        <w:tc>
          <w:tcPr>
            <w:tcW w:w="18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6384CABE" w14:textId="77777777" w:rsidR="00A017F4" w:rsidRDefault="00000000">
            <w:r>
              <w:rPr>
                <w:color w:val="1A1A1A"/>
                <w:sz w:val="21"/>
                <w:szCs w:val="21"/>
              </w:rPr>
              <w:t>9 pts</w:t>
            </w:r>
          </w:p>
        </w:tc>
        <w:tc>
          <w:tcPr>
            <w:tcW w:w="496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7862D23B" w14:textId="77777777" w:rsidR="00A017F4" w:rsidRDefault="00000000">
            <w:r>
              <w:rPr>
                <w:color w:val="1A1A1A"/>
                <w:sz w:val="21"/>
                <w:szCs w:val="21"/>
              </w:rPr>
              <w:t>Solid. Healthy growth.</w:t>
            </w:r>
          </w:p>
        </w:tc>
      </w:tr>
      <w:tr w:rsidR="00A017F4" w14:paraId="3F673DA1" w14:textId="77777777">
        <w:tblPrEx>
          <w:tblCellMar>
            <w:top w:w="0" w:type="dxa"/>
            <w:bottom w:w="0" w:type="dxa"/>
          </w:tblCellMar>
        </w:tblPrEx>
        <w:tc>
          <w:tcPr>
            <w:tcW w:w="26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5890DCAF" w14:textId="77777777" w:rsidR="00A017F4" w:rsidRDefault="00000000">
            <w:r>
              <w:rPr>
                <w:color w:val="1A1A1A"/>
                <w:sz w:val="21"/>
                <w:szCs w:val="21"/>
              </w:rPr>
              <w:t>0–10%</w:t>
            </w:r>
          </w:p>
        </w:tc>
        <w:tc>
          <w:tcPr>
            <w:tcW w:w="18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486EFB25" w14:textId="77777777" w:rsidR="00A017F4" w:rsidRDefault="00000000">
            <w:r>
              <w:rPr>
                <w:color w:val="1A1A1A"/>
                <w:sz w:val="21"/>
                <w:szCs w:val="21"/>
              </w:rPr>
              <w:t>5 pts</w:t>
            </w:r>
          </w:p>
        </w:tc>
        <w:tc>
          <w:tcPr>
            <w:tcW w:w="496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64A5958D" w14:textId="77777777" w:rsidR="00A017F4" w:rsidRDefault="00000000">
            <w:r>
              <w:rPr>
                <w:color w:val="1A1A1A"/>
                <w:sz w:val="21"/>
                <w:szCs w:val="21"/>
              </w:rPr>
              <w:t>Barely growing. Just keeping up.</w:t>
            </w:r>
          </w:p>
        </w:tc>
      </w:tr>
      <w:tr w:rsidR="00A017F4" w14:paraId="03486D05" w14:textId="77777777">
        <w:tblPrEx>
          <w:tblCellMar>
            <w:top w:w="0" w:type="dxa"/>
            <w:bottom w:w="0" w:type="dxa"/>
          </w:tblCellMar>
        </w:tblPrEx>
        <w:tc>
          <w:tcPr>
            <w:tcW w:w="26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76B4298B" w14:textId="77777777" w:rsidR="00A017F4" w:rsidRDefault="00000000">
            <w:r>
              <w:rPr>
                <w:color w:val="1A1A1A"/>
                <w:sz w:val="21"/>
                <w:szCs w:val="21"/>
              </w:rPr>
              <w:t>Negative (shrinking)</w:t>
            </w:r>
          </w:p>
        </w:tc>
        <w:tc>
          <w:tcPr>
            <w:tcW w:w="18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78AAB473" w14:textId="77777777" w:rsidR="00A017F4" w:rsidRDefault="00000000">
            <w:r>
              <w:rPr>
                <w:color w:val="1A1A1A"/>
                <w:sz w:val="21"/>
                <w:szCs w:val="21"/>
              </w:rPr>
              <w:t>0 pts</w:t>
            </w:r>
          </w:p>
        </w:tc>
        <w:tc>
          <w:tcPr>
            <w:tcW w:w="496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47D9A2D4" w14:textId="77777777" w:rsidR="00A017F4" w:rsidRDefault="00000000">
            <w:r>
              <w:rPr>
                <w:color w:val="1A1A1A"/>
                <w:sz w:val="21"/>
                <w:szCs w:val="21"/>
              </w:rPr>
              <w:t>Profits are falling. Red flag.</w:t>
            </w:r>
          </w:p>
        </w:tc>
      </w:tr>
    </w:tbl>
    <w:p w14:paraId="0C8B0FAB" w14:textId="77777777" w:rsidR="00A017F4" w:rsidRDefault="00000000">
      <w:pPr>
        <w:spacing w:after="160"/>
      </w:pPr>
      <w:r>
        <w:rPr>
          <w:color w:val="1A1A1A"/>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17F4" w14:paraId="5C6A46D5" w14:textId="77777777">
        <w:tblPrEx>
          <w:tblCellMar>
            <w:top w:w="0" w:type="dxa"/>
            <w:bottom w:w="0" w:type="dxa"/>
          </w:tblCellMar>
        </w:tblPrEx>
        <w:tc>
          <w:tcPr>
            <w:tcW w:w="9360" w:type="dxa"/>
            <w:tcBorders>
              <w:top w:val="single" w:sz="12" w:space="0" w:color="E6A817"/>
              <w:left w:val="single" w:sz="24" w:space="0" w:color="E6A817"/>
              <w:bottom w:val="single" w:sz="12" w:space="0" w:color="E6A817"/>
            </w:tcBorders>
            <w:shd w:val="clear" w:color="auto" w:fill="FFF3CD"/>
            <w:tcMar>
              <w:top w:w="120" w:type="dxa"/>
              <w:left w:w="160" w:type="dxa"/>
              <w:bottom w:w="120" w:type="dxa"/>
              <w:right w:w="160" w:type="dxa"/>
            </w:tcMar>
          </w:tcPr>
          <w:p w14:paraId="4DE4C51A" w14:textId="77777777" w:rsidR="00A017F4" w:rsidRDefault="00000000">
            <w:r>
              <w:rPr>
                <w:i/>
                <w:iCs/>
                <w:color w:val="3D2B00"/>
                <w:sz w:val="21"/>
                <w:szCs w:val="21"/>
              </w:rPr>
              <w:t>Analogy: Your salary grew from ₹10 lakh to ₹13 lakh = 30% growth. Excellent. If your salary stayed the same for 5 years, that’s not great. If it went down, that’s a serious problem. EPS works the same way for a company.</w:t>
            </w:r>
          </w:p>
        </w:tc>
      </w:tr>
    </w:tbl>
    <w:p w14:paraId="742C4679" w14:textId="77777777" w:rsidR="00A017F4" w:rsidRDefault="00000000">
      <w:pPr>
        <w:spacing w:after="160"/>
      </w:pPr>
      <w:r>
        <w:rPr>
          <w:color w:val="1A1A1A"/>
        </w:rPr>
        <w:t xml:space="preserve"> </w:t>
      </w:r>
    </w:p>
    <w:p w14:paraId="61987BC7" w14:textId="77777777" w:rsidR="00A017F4" w:rsidRDefault="00000000">
      <w:pPr>
        <w:spacing w:after="160"/>
      </w:pPr>
      <w:r>
        <w:rPr>
          <w:b/>
          <w:bCs/>
          <w:color w:val="1A1A1A"/>
        </w:rPr>
        <w:t xml:space="preserve">Why it matters: </w:t>
      </w:r>
      <w:r>
        <w:rPr>
          <w:color w:val="1A1A1A"/>
        </w:rPr>
        <w:t>A company that is steadily growing its earnings will eventually force its stock price upward. Stock prices follow earnings over the long run. Short term anything can happen, but over 3–5 years, if earnings double, the stock price almost always follows.</w:t>
      </w:r>
    </w:p>
    <w:p w14:paraId="31D169D2" w14:textId="77777777" w:rsidR="00A017F4" w:rsidRDefault="00000000">
      <w:pPr>
        <w:spacing w:after="160"/>
      </w:pPr>
      <w:r>
        <w:rPr>
          <w:color w:val="1A1A1A"/>
        </w:rPr>
        <w:t xml:space="preserve"> </w:t>
      </w:r>
    </w:p>
    <w:p w14:paraId="49D55FAD" w14:textId="77777777" w:rsidR="00A017F4" w:rsidRDefault="00000000">
      <w:pPr>
        <w:pStyle w:val="Heading3"/>
      </w:pPr>
      <w:r>
        <w:t>1b. Operating Margin Trend — 10 points</w:t>
      </w:r>
    </w:p>
    <w:p w14:paraId="19C44724" w14:textId="77777777" w:rsidR="00A017F4" w:rsidRDefault="00000000">
      <w:pPr>
        <w:spacing w:after="160"/>
      </w:pPr>
      <w:r>
        <w:rPr>
          <w:b/>
          <w:bCs/>
          <w:color w:val="1A1A1A"/>
        </w:rPr>
        <w:t>Operating Margin</w:t>
      </w:r>
      <w:r>
        <w:rPr>
          <w:color w:val="1A1A1A"/>
        </w:rPr>
        <w:t xml:space="preserve"> = what percentage of revenue becomes operating profit (before paying taxes and interest on loans).</w:t>
      </w:r>
    </w:p>
    <w:p w14:paraId="19E9FB02" w14:textId="77777777" w:rsidR="00A017F4" w:rsidRDefault="00000000">
      <w:pPr>
        <w:spacing w:after="160"/>
      </w:pPr>
      <w:r>
        <w:rPr>
          <w:color w:val="1A1A1A"/>
        </w:rPr>
        <w:t xml:space="preserve"> </w:t>
      </w:r>
    </w:p>
    <w:p w14:paraId="404F47C7" w14:textId="77777777" w:rsidR="00A017F4" w:rsidRDefault="00000000">
      <w:pPr>
        <w:spacing w:after="160"/>
      </w:pPr>
      <w:r>
        <w:rPr>
          <w:color w:val="1A1A1A"/>
        </w:rPr>
        <w:lastRenderedPageBreak/>
        <w:t>Example: If Hindustan Unilever earns ₹1,000 crore in revenue and has ₹200 crore in operating profit, its operating margin = 20%.</w:t>
      </w:r>
    </w:p>
    <w:p w14:paraId="3C818525" w14:textId="77777777" w:rsidR="00A017F4" w:rsidRDefault="00000000">
      <w:pPr>
        <w:spacing w:after="160"/>
      </w:pPr>
      <w:r>
        <w:rPr>
          <w:color w:val="1A1A1A"/>
        </w:rPr>
        <w:t xml:space="preserve"> </w:t>
      </w:r>
    </w:p>
    <w:p w14:paraId="4FDDACD7" w14:textId="77777777" w:rsidR="00A017F4" w:rsidRDefault="00000000">
      <w:pPr>
        <w:spacing w:after="160"/>
      </w:pPr>
      <w:r>
        <w:rPr>
          <w:color w:val="1A1A1A"/>
        </w:rPr>
        <w:t xml:space="preserve">We don’t just look at the number itself — we look at the </w:t>
      </w:r>
      <w:r>
        <w:rPr>
          <w:b/>
          <w:bCs/>
          <w:color w:val="1A1A1A"/>
        </w:rPr>
        <w:t>trend over the last 4 quarters</w:t>
      </w:r>
      <w:r>
        <w:rPr>
          <w:color w:val="1A1A1A"/>
        </w:rPr>
        <w:t>:</w:t>
      </w:r>
    </w:p>
    <w:p w14:paraId="063C8A21" w14:textId="77777777" w:rsidR="00A017F4" w:rsidRDefault="00000000">
      <w:pPr>
        <w:spacing w:after="160"/>
      </w:pPr>
      <w:r>
        <w:rPr>
          <w:color w:val="1A1A1A"/>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5760"/>
      </w:tblGrid>
      <w:tr w:rsidR="00A017F4" w14:paraId="2A15A773" w14:textId="77777777">
        <w:tblPrEx>
          <w:tblCellMar>
            <w:top w:w="0" w:type="dxa"/>
            <w:bottom w:w="0" w:type="dxa"/>
          </w:tblCellMar>
        </w:tblPrEx>
        <w:tc>
          <w:tcPr>
            <w:tcW w:w="2400" w:type="dxa"/>
            <w:tcBorders>
              <w:top w:val="single" w:sz="1" w:space="0" w:color="444444"/>
              <w:left w:val="single" w:sz="1" w:space="0" w:color="444444"/>
              <w:bottom w:val="single" w:sz="1" w:space="0" w:color="444444"/>
              <w:right w:val="single" w:sz="1" w:space="0" w:color="444444"/>
            </w:tcBorders>
            <w:shd w:val="clear" w:color="auto" w:fill="2C3E50"/>
            <w:tcMar>
              <w:top w:w="80" w:type="dxa"/>
              <w:left w:w="120" w:type="dxa"/>
              <w:bottom w:w="80" w:type="dxa"/>
              <w:right w:w="120" w:type="dxa"/>
            </w:tcMar>
          </w:tcPr>
          <w:p w14:paraId="5B8BB52E" w14:textId="77777777" w:rsidR="00A017F4" w:rsidRDefault="00000000">
            <w:r>
              <w:rPr>
                <w:rFonts w:ascii="Arial" w:eastAsia="Arial" w:hAnsi="Arial" w:cs="Arial"/>
                <w:b/>
                <w:bCs/>
                <w:color w:val="FFFFFF"/>
                <w:sz w:val="20"/>
                <w:szCs w:val="20"/>
              </w:rPr>
              <w:t>Trend</w:t>
            </w:r>
          </w:p>
        </w:tc>
        <w:tc>
          <w:tcPr>
            <w:tcW w:w="1200" w:type="dxa"/>
            <w:tcBorders>
              <w:top w:val="single" w:sz="1" w:space="0" w:color="444444"/>
              <w:left w:val="single" w:sz="1" w:space="0" w:color="444444"/>
              <w:bottom w:val="single" w:sz="1" w:space="0" w:color="444444"/>
              <w:right w:val="single" w:sz="1" w:space="0" w:color="444444"/>
            </w:tcBorders>
            <w:shd w:val="clear" w:color="auto" w:fill="2C3E50"/>
            <w:tcMar>
              <w:top w:w="80" w:type="dxa"/>
              <w:left w:w="120" w:type="dxa"/>
              <w:bottom w:w="80" w:type="dxa"/>
              <w:right w:w="120" w:type="dxa"/>
            </w:tcMar>
          </w:tcPr>
          <w:p w14:paraId="19B29176" w14:textId="77777777" w:rsidR="00A017F4" w:rsidRDefault="00000000">
            <w:r>
              <w:rPr>
                <w:rFonts w:ascii="Arial" w:eastAsia="Arial" w:hAnsi="Arial" w:cs="Arial"/>
                <w:b/>
                <w:bCs/>
                <w:color w:val="FFFFFF"/>
                <w:sz w:val="20"/>
                <w:szCs w:val="20"/>
              </w:rPr>
              <w:t>Points</w:t>
            </w:r>
          </w:p>
        </w:tc>
        <w:tc>
          <w:tcPr>
            <w:tcW w:w="5760" w:type="dxa"/>
            <w:tcBorders>
              <w:top w:val="single" w:sz="1" w:space="0" w:color="444444"/>
              <w:left w:val="single" w:sz="1" w:space="0" w:color="444444"/>
              <w:bottom w:val="single" w:sz="1" w:space="0" w:color="444444"/>
              <w:right w:val="single" w:sz="1" w:space="0" w:color="444444"/>
            </w:tcBorders>
            <w:shd w:val="clear" w:color="auto" w:fill="2C3E50"/>
            <w:tcMar>
              <w:top w:w="80" w:type="dxa"/>
              <w:left w:w="120" w:type="dxa"/>
              <w:bottom w:w="80" w:type="dxa"/>
              <w:right w:w="120" w:type="dxa"/>
            </w:tcMar>
          </w:tcPr>
          <w:p w14:paraId="728316FC" w14:textId="77777777" w:rsidR="00A017F4" w:rsidRDefault="00000000">
            <w:r>
              <w:rPr>
                <w:rFonts w:ascii="Arial" w:eastAsia="Arial" w:hAnsi="Arial" w:cs="Arial"/>
                <w:b/>
                <w:bCs/>
                <w:color w:val="FFFFFF"/>
                <w:sz w:val="20"/>
                <w:szCs w:val="20"/>
              </w:rPr>
              <w:t>What It Means</w:t>
            </w:r>
          </w:p>
        </w:tc>
      </w:tr>
      <w:tr w:rsidR="00A017F4" w14:paraId="3E8471EE" w14:textId="77777777">
        <w:tblPrEx>
          <w:tblCellMar>
            <w:top w:w="0" w:type="dxa"/>
            <w:bottom w:w="0" w:type="dxa"/>
          </w:tblCellMar>
        </w:tblPrEx>
        <w:tc>
          <w:tcPr>
            <w:tcW w:w="24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1BC5C1D1" w14:textId="77777777" w:rsidR="00A017F4" w:rsidRDefault="00000000">
            <w:r>
              <w:rPr>
                <w:color w:val="1A1A1A"/>
                <w:sz w:val="21"/>
                <w:szCs w:val="21"/>
              </w:rPr>
              <w:t>Expanding (going up)</w:t>
            </w:r>
          </w:p>
        </w:tc>
        <w:tc>
          <w:tcPr>
            <w:tcW w:w="12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0CA93D01" w14:textId="77777777" w:rsidR="00A017F4" w:rsidRDefault="00000000">
            <w:r>
              <w:rPr>
                <w:color w:val="1A1A1A"/>
                <w:sz w:val="21"/>
                <w:szCs w:val="21"/>
              </w:rPr>
              <w:t>10 pts</w:t>
            </w:r>
          </w:p>
        </w:tc>
        <w:tc>
          <w:tcPr>
            <w:tcW w:w="576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53960D2E" w14:textId="77777777" w:rsidR="00A017F4" w:rsidRDefault="00000000">
            <w:r>
              <w:rPr>
                <w:color w:val="1A1A1A"/>
                <w:sz w:val="21"/>
                <w:szCs w:val="21"/>
              </w:rPr>
              <w:t>Company is becoming more efficient. More rupees of profit per rupee of revenue.</w:t>
            </w:r>
          </w:p>
        </w:tc>
      </w:tr>
      <w:tr w:rsidR="00A017F4" w14:paraId="759A4AE0" w14:textId="77777777">
        <w:tblPrEx>
          <w:tblCellMar>
            <w:top w:w="0" w:type="dxa"/>
            <w:bottom w:w="0" w:type="dxa"/>
          </w:tblCellMar>
        </w:tblPrEx>
        <w:tc>
          <w:tcPr>
            <w:tcW w:w="24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7A139797" w14:textId="77777777" w:rsidR="00A017F4" w:rsidRDefault="00000000">
            <w:r>
              <w:rPr>
                <w:color w:val="1A1A1A"/>
                <w:sz w:val="21"/>
                <w:szCs w:val="21"/>
              </w:rPr>
              <w:t>Flat (staying same)</w:t>
            </w:r>
          </w:p>
        </w:tc>
        <w:tc>
          <w:tcPr>
            <w:tcW w:w="12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5CAB7DC8" w14:textId="77777777" w:rsidR="00A017F4" w:rsidRDefault="00000000">
            <w:r>
              <w:rPr>
                <w:color w:val="1A1A1A"/>
                <w:sz w:val="21"/>
                <w:szCs w:val="21"/>
              </w:rPr>
              <w:t>5 pts</w:t>
            </w:r>
          </w:p>
        </w:tc>
        <w:tc>
          <w:tcPr>
            <w:tcW w:w="576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3A053A4C" w14:textId="77777777" w:rsidR="00A017F4" w:rsidRDefault="00000000">
            <w:r>
              <w:rPr>
                <w:color w:val="1A1A1A"/>
                <w:sz w:val="21"/>
                <w:szCs w:val="21"/>
              </w:rPr>
              <w:t>Stable. Not improving, not deteriorating.</w:t>
            </w:r>
          </w:p>
        </w:tc>
      </w:tr>
      <w:tr w:rsidR="00A017F4" w14:paraId="031988F8" w14:textId="77777777">
        <w:tblPrEx>
          <w:tblCellMar>
            <w:top w:w="0" w:type="dxa"/>
            <w:bottom w:w="0" w:type="dxa"/>
          </w:tblCellMar>
        </w:tblPrEx>
        <w:tc>
          <w:tcPr>
            <w:tcW w:w="24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3B376857" w14:textId="77777777" w:rsidR="00A017F4" w:rsidRDefault="00000000">
            <w:r>
              <w:rPr>
                <w:color w:val="1A1A1A"/>
                <w:sz w:val="21"/>
                <w:szCs w:val="21"/>
              </w:rPr>
              <w:t>Contracting (going down)</w:t>
            </w:r>
          </w:p>
        </w:tc>
        <w:tc>
          <w:tcPr>
            <w:tcW w:w="12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57AA99E9" w14:textId="77777777" w:rsidR="00A017F4" w:rsidRDefault="00000000">
            <w:r>
              <w:rPr>
                <w:color w:val="1A1A1A"/>
                <w:sz w:val="21"/>
                <w:szCs w:val="21"/>
              </w:rPr>
              <w:t>0 pts</w:t>
            </w:r>
          </w:p>
        </w:tc>
        <w:tc>
          <w:tcPr>
            <w:tcW w:w="576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46DF6459" w14:textId="77777777" w:rsidR="00A017F4" w:rsidRDefault="00000000">
            <w:r>
              <w:rPr>
                <w:color w:val="1A1A1A"/>
                <w:sz w:val="21"/>
                <w:szCs w:val="21"/>
              </w:rPr>
              <w:t>Costs rising faster than revenue. Margin pressure. Danger sign.</w:t>
            </w:r>
          </w:p>
        </w:tc>
      </w:tr>
    </w:tbl>
    <w:p w14:paraId="05A85562" w14:textId="77777777" w:rsidR="00A017F4" w:rsidRDefault="00000000">
      <w:pPr>
        <w:spacing w:after="160"/>
      </w:pPr>
      <w:r>
        <w:rPr>
          <w:color w:val="1A1A1A"/>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17F4" w14:paraId="2847546F" w14:textId="77777777">
        <w:tblPrEx>
          <w:tblCellMar>
            <w:top w:w="0" w:type="dxa"/>
            <w:bottom w:w="0" w:type="dxa"/>
          </w:tblCellMar>
        </w:tblPrEx>
        <w:tc>
          <w:tcPr>
            <w:tcW w:w="9360" w:type="dxa"/>
            <w:tcBorders>
              <w:top w:val="single" w:sz="12" w:space="0" w:color="E6A817"/>
              <w:left w:val="single" w:sz="24" w:space="0" w:color="E6A817"/>
              <w:bottom w:val="single" w:sz="12" w:space="0" w:color="E6A817"/>
            </w:tcBorders>
            <w:shd w:val="clear" w:color="auto" w:fill="FFF3CD"/>
            <w:tcMar>
              <w:top w:w="120" w:type="dxa"/>
              <w:left w:w="160" w:type="dxa"/>
              <w:bottom w:w="120" w:type="dxa"/>
              <w:right w:w="160" w:type="dxa"/>
            </w:tcMar>
          </w:tcPr>
          <w:p w14:paraId="25E0486D" w14:textId="77777777" w:rsidR="00A017F4" w:rsidRDefault="00000000">
            <w:r>
              <w:rPr>
                <w:i/>
                <w:iCs/>
                <w:color w:val="3D2B00"/>
                <w:sz w:val="21"/>
                <w:szCs w:val="21"/>
              </w:rPr>
              <w:t>Analogy: A restaurant’s revenue is ₹10 lakh per month. Last year their margin was 20% (₹2 lakh profit). This year it’s 15% (₹1.5 lakh profit). Revenue grew but they’re actually keeping less. Costs (staff, ingredients, rent) are eating into profits. That’s contracting margin — dangerous even if the restaurant looks busy.</w:t>
            </w:r>
          </w:p>
        </w:tc>
      </w:tr>
    </w:tbl>
    <w:p w14:paraId="537EDE8F" w14:textId="77777777" w:rsidR="00A017F4" w:rsidRDefault="00000000">
      <w:pPr>
        <w:spacing w:after="160"/>
      </w:pPr>
      <w:r>
        <w:rPr>
          <w:color w:val="1A1A1A"/>
        </w:rPr>
        <w:t xml:space="preserve"> </w:t>
      </w:r>
    </w:p>
    <w:p w14:paraId="452CE6EF" w14:textId="77777777" w:rsidR="00A017F4" w:rsidRDefault="00000000">
      <w:pPr>
        <w:pStyle w:val="Heading3"/>
      </w:pPr>
      <w:r>
        <w:t>1c. Return on Equity (ROE) — 10 points</w:t>
      </w:r>
    </w:p>
    <w:p w14:paraId="66A42BD9" w14:textId="77777777" w:rsidR="00A017F4" w:rsidRDefault="00000000">
      <w:pPr>
        <w:spacing w:after="160"/>
      </w:pPr>
      <w:r>
        <w:rPr>
          <w:b/>
          <w:bCs/>
          <w:color w:val="1A1A1A"/>
        </w:rPr>
        <w:t>ROE = Net Profit ÷ Shareholders’ Equity.</w:t>
      </w:r>
    </w:p>
    <w:p w14:paraId="4333198B" w14:textId="77777777" w:rsidR="00A017F4" w:rsidRDefault="00000000">
      <w:pPr>
        <w:spacing w:after="160"/>
      </w:pPr>
      <w:r>
        <w:rPr>
          <w:color w:val="1A1A1A"/>
        </w:rPr>
        <w:t xml:space="preserve"> </w:t>
      </w:r>
    </w:p>
    <w:p w14:paraId="1A67D10D" w14:textId="77777777" w:rsidR="00A017F4" w:rsidRDefault="00000000">
      <w:pPr>
        <w:spacing w:after="160"/>
      </w:pPr>
      <w:r>
        <w:rPr>
          <w:color w:val="1A1A1A"/>
        </w:rPr>
        <w:t>Shareholders’ Equity is roughly “the money the owners have put into the business” — the original investment plus retained profits over the years.</w:t>
      </w:r>
    </w:p>
    <w:p w14:paraId="1BCB9440" w14:textId="77777777" w:rsidR="00A017F4" w:rsidRDefault="00000000">
      <w:pPr>
        <w:spacing w:after="160"/>
      </w:pPr>
      <w:r>
        <w:rPr>
          <w:color w:val="1A1A1A"/>
        </w:rPr>
        <w:t xml:space="preserve"> </w:t>
      </w:r>
    </w:p>
    <w:p w14:paraId="6C031B63" w14:textId="77777777" w:rsidR="00A017F4" w:rsidRDefault="00000000">
      <w:pPr>
        <w:spacing w:after="160"/>
      </w:pPr>
      <w:r>
        <w:rPr>
          <w:color w:val="1A1A1A"/>
        </w:rPr>
        <w:t>ROE tells you: for every ₹100 the owners have invested, how much profit is the business generating?</w:t>
      </w:r>
    </w:p>
    <w:p w14:paraId="4E3E9163" w14:textId="77777777" w:rsidR="00A017F4" w:rsidRDefault="00000000">
      <w:pPr>
        <w:spacing w:after="160"/>
      </w:pPr>
      <w:r>
        <w:rPr>
          <w:color w:val="1A1A1A"/>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00"/>
        <w:gridCol w:w="6360"/>
      </w:tblGrid>
      <w:tr w:rsidR="00A017F4" w14:paraId="263BAA98" w14:textId="77777777">
        <w:tblPrEx>
          <w:tblCellMar>
            <w:top w:w="0" w:type="dxa"/>
            <w:bottom w:w="0" w:type="dxa"/>
          </w:tblCellMar>
        </w:tblPrEx>
        <w:tc>
          <w:tcPr>
            <w:tcW w:w="1800" w:type="dxa"/>
            <w:tcBorders>
              <w:top w:val="single" w:sz="1" w:space="0" w:color="444444"/>
              <w:left w:val="single" w:sz="1" w:space="0" w:color="444444"/>
              <w:bottom w:val="single" w:sz="1" w:space="0" w:color="444444"/>
              <w:right w:val="single" w:sz="1" w:space="0" w:color="444444"/>
            </w:tcBorders>
            <w:shd w:val="clear" w:color="auto" w:fill="2C3E50"/>
            <w:tcMar>
              <w:top w:w="80" w:type="dxa"/>
              <w:left w:w="120" w:type="dxa"/>
              <w:bottom w:w="80" w:type="dxa"/>
              <w:right w:w="120" w:type="dxa"/>
            </w:tcMar>
          </w:tcPr>
          <w:p w14:paraId="515C5682" w14:textId="77777777" w:rsidR="00A017F4" w:rsidRDefault="00000000">
            <w:r>
              <w:rPr>
                <w:rFonts w:ascii="Arial" w:eastAsia="Arial" w:hAnsi="Arial" w:cs="Arial"/>
                <w:b/>
                <w:bCs/>
                <w:color w:val="FFFFFF"/>
                <w:sz w:val="20"/>
                <w:szCs w:val="20"/>
              </w:rPr>
              <w:t>ROE</w:t>
            </w:r>
          </w:p>
        </w:tc>
        <w:tc>
          <w:tcPr>
            <w:tcW w:w="1200" w:type="dxa"/>
            <w:tcBorders>
              <w:top w:val="single" w:sz="1" w:space="0" w:color="444444"/>
              <w:left w:val="single" w:sz="1" w:space="0" w:color="444444"/>
              <w:bottom w:val="single" w:sz="1" w:space="0" w:color="444444"/>
              <w:right w:val="single" w:sz="1" w:space="0" w:color="444444"/>
            </w:tcBorders>
            <w:shd w:val="clear" w:color="auto" w:fill="2C3E50"/>
            <w:tcMar>
              <w:top w:w="80" w:type="dxa"/>
              <w:left w:w="120" w:type="dxa"/>
              <w:bottom w:w="80" w:type="dxa"/>
              <w:right w:w="120" w:type="dxa"/>
            </w:tcMar>
          </w:tcPr>
          <w:p w14:paraId="5E6FA75F" w14:textId="77777777" w:rsidR="00A017F4" w:rsidRDefault="00000000">
            <w:r>
              <w:rPr>
                <w:rFonts w:ascii="Arial" w:eastAsia="Arial" w:hAnsi="Arial" w:cs="Arial"/>
                <w:b/>
                <w:bCs/>
                <w:color w:val="FFFFFF"/>
                <w:sz w:val="20"/>
                <w:szCs w:val="20"/>
              </w:rPr>
              <w:t>Points</w:t>
            </w:r>
          </w:p>
        </w:tc>
        <w:tc>
          <w:tcPr>
            <w:tcW w:w="6360" w:type="dxa"/>
            <w:tcBorders>
              <w:top w:val="single" w:sz="1" w:space="0" w:color="444444"/>
              <w:left w:val="single" w:sz="1" w:space="0" w:color="444444"/>
              <w:bottom w:val="single" w:sz="1" w:space="0" w:color="444444"/>
              <w:right w:val="single" w:sz="1" w:space="0" w:color="444444"/>
            </w:tcBorders>
            <w:shd w:val="clear" w:color="auto" w:fill="2C3E50"/>
            <w:tcMar>
              <w:top w:w="80" w:type="dxa"/>
              <w:left w:w="120" w:type="dxa"/>
              <w:bottom w:w="80" w:type="dxa"/>
              <w:right w:w="120" w:type="dxa"/>
            </w:tcMar>
          </w:tcPr>
          <w:p w14:paraId="7C74C1CC" w14:textId="77777777" w:rsidR="00A017F4" w:rsidRDefault="00000000">
            <w:r>
              <w:rPr>
                <w:rFonts w:ascii="Arial" w:eastAsia="Arial" w:hAnsi="Arial" w:cs="Arial"/>
                <w:b/>
                <w:bCs/>
                <w:color w:val="FFFFFF"/>
                <w:sz w:val="20"/>
                <w:szCs w:val="20"/>
              </w:rPr>
              <w:t>What It Means</w:t>
            </w:r>
          </w:p>
        </w:tc>
      </w:tr>
      <w:tr w:rsidR="00A017F4" w14:paraId="4B029EC3" w14:textId="77777777">
        <w:tblPrEx>
          <w:tblCellMar>
            <w:top w:w="0" w:type="dxa"/>
            <w:bottom w:w="0" w:type="dxa"/>
          </w:tblCellMar>
        </w:tblPrEx>
        <w:tc>
          <w:tcPr>
            <w:tcW w:w="18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5A0C49E1" w14:textId="77777777" w:rsidR="00A017F4" w:rsidRDefault="00000000">
            <w:r>
              <w:rPr>
                <w:color w:val="1A1A1A"/>
                <w:sz w:val="21"/>
                <w:szCs w:val="21"/>
              </w:rPr>
              <w:t>Above 25%</w:t>
            </w:r>
          </w:p>
        </w:tc>
        <w:tc>
          <w:tcPr>
            <w:tcW w:w="12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247B3394" w14:textId="77777777" w:rsidR="00A017F4" w:rsidRDefault="00000000">
            <w:r>
              <w:rPr>
                <w:color w:val="1A1A1A"/>
                <w:sz w:val="21"/>
                <w:szCs w:val="21"/>
              </w:rPr>
              <w:t>10 pts</w:t>
            </w:r>
          </w:p>
        </w:tc>
        <w:tc>
          <w:tcPr>
            <w:tcW w:w="636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25766B64" w14:textId="77777777" w:rsidR="00A017F4" w:rsidRDefault="00000000">
            <w:r>
              <w:rPr>
                <w:color w:val="1A1A1A"/>
                <w:sz w:val="21"/>
                <w:szCs w:val="21"/>
              </w:rPr>
              <w:t>World-class. For every ₹100 invested, ₹25+ in annual profit.</w:t>
            </w:r>
          </w:p>
        </w:tc>
      </w:tr>
      <w:tr w:rsidR="00A017F4" w14:paraId="7972F88C" w14:textId="77777777">
        <w:tblPrEx>
          <w:tblCellMar>
            <w:top w:w="0" w:type="dxa"/>
            <w:bottom w:w="0" w:type="dxa"/>
          </w:tblCellMar>
        </w:tblPrEx>
        <w:tc>
          <w:tcPr>
            <w:tcW w:w="18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3E918AF6" w14:textId="77777777" w:rsidR="00A017F4" w:rsidRDefault="00000000">
            <w:r>
              <w:rPr>
                <w:color w:val="1A1A1A"/>
                <w:sz w:val="21"/>
                <w:szCs w:val="21"/>
              </w:rPr>
              <w:t>15–25%</w:t>
            </w:r>
          </w:p>
        </w:tc>
        <w:tc>
          <w:tcPr>
            <w:tcW w:w="12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708CDD53" w14:textId="77777777" w:rsidR="00A017F4" w:rsidRDefault="00000000">
            <w:r>
              <w:rPr>
                <w:color w:val="1A1A1A"/>
                <w:sz w:val="21"/>
                <w:szCs w:val="21"/>
              </w:rPr>
              <w:t>7 pts</w:t>
            </w:r>
          </w:p>
        </w:tc>
        <w:tc>
          <w:tcPr>
            <w:tcW w:w="636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6713B0D0" w14:textId="77777777" w:rsidR="00A017F4" w:rsidRDefault="00000000">
            <w:r>
              <w:rPr>
                <w:color w:val="1A1A1A"/>
                <w:sz w:val="21"/>
                <w:szCs w:val="21"/>
              </w:rPr>
              <w:t>Solid. Good business.</w:t>
            </w:r>
          </w:p>
        </w:tc>
      </w:tr>
      <w:tr w:rsidR="00A017F4" w14:paraId="26AE6E4A" w14:textId="77777777">
        <w:tblPrEx>
          <w:tblCellMar>
            <w:top w:w="0" w:type="dxa"/>
            <w:bottom w:w="0" w:type="dxa"/>
          </w:tblCellMar>
        </w:tblPrEx>
        <w:tc>
          <w:tcPr>
            <w:tcW w:w="18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4AB5FCA8" w14:textId="77777777" w:rsidR="00A017F4" w:rsidRDefault="00000000">
            <w:r>
              <w:rPr>
                <w:color w:val="1A1A1A"/>
                <w:sz w:val="21"/>
                <w:szCs w:val="21"/>
              </w:rPr>
              <w:t>10–15%</w:t>
            </w:r>
          </w:p>
        </w:tc>
        <w:tc>
          <w:tcPr>
            <w:tcW w:w="12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42AAA527" w14:textId="77777777" w:rsidR="00A017F4" w:rsidRDefault="00000000">
            <w:r>
              <w:rPr>
                <w:color w:val="1A1A1A"/>
                <w:sz w:val="21"/>
                <w:szCs w:val="21"/>
              </w:rPr>
              <w:t>4 pts</w:t>
            </w:r>
          </w:p>
        </w:tc>
        <w:tc>
          <w:tcPr>
            <w:tcW w:w="636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278EA721" w14:textId="77777777" w:rsidR="00A017F4" w:rsidRDefault="00000000">
            <w:r>
              <w:rPr>
                <w:color w:val="1A1A1A"/>
                <w:sz w:val="21"/>
                <w:szCs w:val="21"/>
              </w:rPr>
              <w:t>Mediocre. Just about acceptable.</w:t>
            </w:r>
          </w:p>
        </w:tc>
      </w:tr>
      <w:tr w:rsidR="00A017F4" w14:paraId="1772B5B7" w14:textId="77777777">
        <w:tblPrEx>
          <w:tblCellMar>
            <w:top w:w="0" w:type="dxa"/>
            <w:bottom w:w="0" w:type="dxa"/>
          </w:tblCellMar>
        </w:tblPrEx>
        <w:tc>
          <w:tcPr>
            <w:tcW w:w="18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0CC9C36F" w14:textId="77777777" w:rsidR="00A017F4" w:rsidRDefault="00000000">
            <w:r>
              <w:rPr>
                <w:color w:val="1A1A1A"/>
                <w:sz w:val="21"/>
                <w:szCs w:val="21"/>
              </w:rPr>
              <w:t>Below 10%</w:t>
            </w:r>
          </w:p>
        </w:tc>
        <w:tc>
          <w:tcPr>
            <w:tcW w:w="12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335B35CB" w14:textId="77777777" w:rsidR="00A017F4" w:rsidRDefault="00000000">
            <w:r>
              <w:rPr>
                <w:color w:val="1A1A1A"/>
                <w:sz w:val="21"/>
                <w:szCs w:val="21"/>
              </w:rPr>
              <w:t>0 pts</w:t>
            </w:r>
          </w:p>
        </w:tc>
        <w:tc>
          <w:tcPr>
            <w:tcW w:w="636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4D2B76A0" w14:textId="77777777" w:rsidR="00A017F4" w:rsidRDefault="00000000">
            <w:r>
              <w:rPr>
                <w:color w:val="1A1A1A"/>
                <w:sz w:val="21"/>
                <w:szCs w:val="21"/>
              </w:rPr>
              <w:t>Poor. Management not using capital well.</w:t>
            </w:r>
          </w:p>
        </w:tc>
      </w:tr>
    </w:tbl>
    <w:p w14:paraId="26B1DBF0" w14:textId="77777777" w:rsidR="00A017F4" w:rsidRDefault="00000000">
      <w:pPr>
        <w:spacing w:after="160"/>
      </w:pPr>
      <w:r>
        <w:rPr>
          <w:color w:val="1A1A1A"/>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17F4" w14:paraId="4DF05790" w14:textId="77777777">
        <w:tblPrEx>
          <w:tblCellMar>
            <w:top w:w="0" w:type="dxa"/>
            <w:bottom w:w="0" w:type="dxa"/>
          </w:tblCellMar>
        </w:tblPrEx>
        <w:tc>
          <w:tcPr>
            <w:tcW w:w="9360" w:type="dxa"/>
            <w:tcBorders>
              <w:top w:val="single" w:sz="12" w:space="0" w:color="E6A817"/>
              <w:left w:val="single" w:sz="24" w:space="0" w:color="E6A817"/>
              <w:bottom w:val="single" w:sz="12" w:space="0" w:color="E6A817"/>
            </w:tcBorders>
            <w:shd w:val="clear" w:color="auto" w:fill="FFF3CD"/>
            <w:tcMar>
              <w:top w:w="120" w:type="dxa"/>
              <w:left w:w="160" w:type="dxa"/>
              <w:bottom w:w="120" w:type="dxa"/>
              <w:right w:w="160" w:type="dxa"/>
            </w:tcMar>
          </w:tcPr>
          <w:p w14:paraId="104F5158" w14:textId="77777777" w:rsidR="00A017F4" w:rsidRDefault="00000000">
            <w:r>
              <w:rPr>
                <w:i/>
                <w:iCs/>
                <w:color w:val="3D2B00"/>
                <w:sz w:val="21"/>
                <w:szCs w:val="21"/>
              </w:rPr>
              <w:lastRenderedPageBreak/>
              <w:t>Analogy: You deposit ₹1 lakh in a bank FD at 7%. ROE = 7%. Now imagine a business that earns 25% per year on invested capital. That’s the power of high ROE — it compounds wealth rapidly. HDFC Bank has historically had ROE of 16–18%. Asian Paints has had ROE above 30%. These are elite businesses.</w:t>
            </w:r>
          </w:p>
        </w:tc>
      </w:tr>
    </w:tbl>
    <w:p w14:paraId="185C0ACD" w14:textId="77777777" w:rsidR="00A017F4" w:rsidRDefault="00000000">
      <w:pPr>
        <w:spacing w:after="160"/>
      </w:pPr>
      <w:r>
        <w:rPr>
          <w:color w:val="1A1A1A"/>
        </w:rPr>
        <w:t xml:space="preserve"> </w:t>
      </w:r>
    </w:p>
    <w:p w14:paraId="1E172BFF" w14:textId="77777777" w:rsidR="00A017F4" w:rsidRDefault="00000000">
      <w:pPr>
        <w:spacing w:after="160"/>
      </w:pPr>
      <w:r>
        <w:rPr>
          <w:b/>
          <w:bCs/>
          <w:color w:val="1A1A1A"/>
        </w:rPr>
        <w:t xml:space="preserve">Why it matters: </w:t>
      </w:r>
      <w:r>
        <w:rPr>
          <w:color w:val="1A1A1A"/>
        </w:rPr>
        <w:t>A company can grow revenue without creating value if it requires enormous amounts of capital to do so. ROE separates asset-light, efficient businesses from capital-hungry ones. High ROE businesses compound wealth for their shareholders; low ROE businesses destroy it.</w:t>
      </w:r>
    </w:p>
    <w:p w14:paraId="79FFA116" w14:textId="77777777" w:rsidR="00A017F4" w:rsidRDefault="00000000">
      <w:pPr>
        <w:spacing w:after="160"/>
      </w:pPr>
      <w:r>
        <w:rPr>
          <w:color w:val="1A1A1A"/>
        </w:rPr>
        <w:t xml:space="preserve"> </w:t>
      </w:r>
    </w:p>
    <w:p w14:paraId="5ED3C5D2" w14:textId="77777777" w:rsidR="00A017F4" w:rsidRDefault="00000000">
      <w:pPr>
        <w:pStyle w:val="Heading3"/>
      </w:pPr>
      <w:r>
        <w:t>1d. Debt to Equity (D/E) — 10 points</w:t>
      </w:r>
    </w:p>
    <w:p w14:paraId="7D58FACD" w14:textId="77777777" w:rsidR="00A017F4" w:rsidRDefault="00000000">
      <w:pPr>
        <w:spacing w:after="160"/>
      </w:pPr>
      <w:r>
        <w:rPr>
          <w:b/>
          <w:bCs/>
          <w:color w:val="1A1A1A"/>
        </w:rPr>
        <w:t>Debt to Equity = Total Debt ÷ Shareholders’ Equity</w:t>
      </w:r>
      <w:r>
        <w:rPr>
          <w:color w:val="1A1A1A"/>
        </w:rPr>
        <w:t>.</w:t>
      </w:r>
    </w:p>
    <w:p w14:paraId="599A91CB" w14:textId="77777777" w:rsidR="00A017F4" w:rsidRDefault="00000000">
      <w:pPr>
        <w:spacing w:after="160"/>
      </w:pPr>
      <w:r>
        <w:rPr>
          <w:color w:val="1A1A1A"/>
        </w:rPr>
        <w:t xml:space="preserve"> </w:t>
      </w:r>
    </w:p>
    <w:p w14:paraId="19D7F463" w14:textId="77777777" w:rsidR="00A017F4" w:rsidRDefault="00000000">
      <w:pPr>
        <w:spacing w:after="160"/>
      </w:pPr>
      <w:r>
        <w:rPr>
          <w:color w:val="1A1A1A"/>
        </w:rPr>
        <w:t>It tells you: for every ₹100 of owners’ money in the business, how much has been borrowed?</w:t>
      </w:r>
    </w:p>
    <w:p w14:paraId="0CC73310" w14:textId="77777777" w:rsidR="00A017F4" w:rsidRDefault="00000000">
      <w:pPr>
        <w:spacing w:after="160"/>
      </w:pPr>
      <w:r>
        <w:rPr>
          <w:color w:val="1A1A1A"/>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00"/>
        <w:gridCol w:w="6360"/>
      </w:tblGrid>
      <w:tr w:rsidR="00A017F4" w14:paraId="21F7F7A1" w14:textId="77777777">
        <w:tblPrEx>
          <w:tblCellMar>
            <w:top w:w="0" w:type="dxa"/>
            <w:bottom w:w="0" w:type="dxa"/>
          </w:tblCellMar>
        </w:tblPrEx>
        <w:tc>
          <w:tcPr>
            <w:tcW w:w="1800" w:type="dxa"/>
            <w:tcBorders>
              <w:top w:val="single" w:sz="1" w:space="0" w:color="444444"/>
              <w:left w:val="single" w:sz="1" w:space="0" w:color="444444"/>
              <w:bottom w:val="single" w:sz="1" w:space="0" w:color="444444"/>
              <w:right w:val="single" w:sz="1" w:space="0" w:color="444444"/>
            </w:tcBorders>
            <w:shd w:val="clear" w:color="auto" w:fill="2C3E50"/>
            <w:tcMar>
              <w:top w:w="80" w:type="dxa"/>
              <w:left w:w="120" w:type="dxa"/>
              <w:bottom w:w="80" w:type="dxa"/>
              <w:right w:w="120" w:type="dxa"/>
            </w:tcMar>
          </w:tcPr>
          <w:p w14:paraId="50FEB006" w14:textId="77777777" w:rsidR="00A017F4" w:rsidRDefault="00000000">
            <w:r>
              <w:rPr>
                <w:rFonts w:ascii="Arial" w:eastAsia="Arial" w:hAnsi="Arial" w:cs="Arial"/>
                <w:b/>
                <w:bCs/>
                <w:color w:val="FFFFFF"/>
                <w:sz w:val="20"/>
                <w:szCs w:val="20"/>
              </w:rPr>
              <w:t>D/E Ratio</w:t>
            </w:r>
          </w:p>
        </w:tc>
        <w:tc>
          <w:tcPr>
            <w:tcW w:w="1200" w:type="dxa"/>
            <w:tcBorders>
              <w:top w:val="single" w:sz="1" w:space="0" w:color="444444"/>
              <w:left w:val="single" w:sz="1" w:space="0" w:color="444444"/>
              <w:bottom w:val="single" w:sz="1" w:space="0" w:color="444444"/>
              <w:right w:val="single" w:sz="1" w:space="0" w:color="444444"/>
            </w:tcBorders>
            <w:shd w:val="clear" w:color="auto" w:fill="2C3E50"/>
            <w:tcMar>
              <w:top w:w="80" w:type="dxa"/>
              <w:left w:w="120" w:type="dxa"/>
              <w:bottom w:w="80" w:type="dxa"/>
              <w:right w:w="120" w:type="dxa"/>
            </w:tcMar>
          </w:tcPr>
          <w:p w14:paraId="55B3AD65" w14:textId="77777777" w:rsidR="00A017F4" w:rsidRDefault="00000000">
            <w:r>
              <w:rPr>
                <w:rFonts w:ascii="Arial" w:eastAsia="Arial" w:hAnsi="Arial" w:cs="Arial"/>
                <w:b/>
                <w:bCs/>
                <w:color w:val="FFFFFF"/>
                <w:sz w:val="20"/>
                <w:szCs w:val="20"/>
              </w:rPr>
              <w:t>Points</w:t>
            </w:r>
          </w:p>
        </w:tc>
        <w:tc>
          <w:tcPr>
            <w:tcW w:w="6360" w:type="dxa"/>
            <w:tcBorders>
              <w:top w:val="single" w:sz="1" w:space="0" w:color="444444"/>
              <w:left w:val="single" w:sz="1" w:space="0" w:color="444444"/>
              <w:bottom w:val="single" w:sz="1" w:space="0" w:color="444444"/>
              <w:right w:val="single" w:sz="1" w:space="0" w:color="444444"/>
            </w:tcBorders>
            <w:shd w:val="clear" w:color="auto" w:fill="2C3E50"/>
            <w:tcMar>
              <w:top w:w="80" w:type="dxa"/>
              <w:left w:w="120" w:type="dxa"/>
              <w:bottom w:w="80" w:type="dxa"/>
              <w:right w:w="120" w:type="dxa"/>
            </w:tcMar>
          </w:tcPr>
          <w:p w14:paraId="690FE603" w14:textId="77777777" w:rsidR="00A017F4" w:rsidRDefault="00000000">
            <w:r>
              <w:rPr>
                <w:rFonts w:ascii="Arial" w:eastAsia="Arial" w:hAnsi="Arial" w:cs="Arial"/>
                <w:b/>
                <w:bCs/>
                <w:color w:val="FFFFFF"/>
                <w:sz w:val="20"/>
                <w:szCs w:val="20"/>
              </w:rPr>
              <w:t>What It Means</w:t>
            </w:r>
          </w:p>
        </w:tc>
      </w:tr>
      <w:tr w:rsidR="00A017F4" w14:paraId="24260368" w14:textId="77777777">
        <w:tblPrEx>
          <w:tblCellMar>
            <w:top w:w="0" w:type="dxa"/>
            <w:bottom w:w="0" w:type="dxa"/>
          </w:tblCellMar>
        </w:tblPrEx>
        <w:tc>
          <w:tcPr>
            <w:tcW w:w="18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40E39C9A" w14:textId="77777777" w:rsidR="00A017F4" w:rsidRDefault="00000000">
            <w:r>
              <w:rPr>
                <w:color w:val="1A1A1A"/>
                <w:sz w:val="21"/>
                <w:szCs w:val="21"/>
              </w:rPr>
              <w:t>Below 0.5</w:t>
            </w:r>
          </w:p>
        </w:tc>
        <w:tc>
          <w:tcPr>
            <w:tcW w:w="12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76FB93DD" w14:textId="77777777" w:rsidR="00A017F4" w:rsidRDefault="00000000">
            <w:r>
              <w:rPr>
                <w:color w:val="1A1A1A"/>
                <w:sz w:val="21"/>
                <w:szCs w:val="21"/>
              </w:rPr>
              <w:t>10 pts</w:t>
            </w:r>
          </w:p>
        </w:tc>
        <w:tc>
          <w:tcPr>
            <w:tcW w:w="636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2C646FE9" w14:textId="77777777" w:rsidR="00A017F4" w:rsidRDefault="00000000">
            <w:r>
              <w:rPr>
                <w:color w:val="1A1A1A"/>
                <w:sz w:val="21"/>
                <w:szCs w:val="21"/>
              </w:rPr>
              <w:t>Very conservatively financed. Low risk.</w:t>
            </w:r>
          </w:p>
        </w:tc>
      </w:tr>
      <w:tr w:rsidR="00A017F4" w14:paraId="53FEE80A" w14:textId="77777777">
        <w:tblPrEx>
          <w:tblCellMar>
            <w:top w:w="0" w:type="dxa"/>
            <w:bottom w:w="0" w:type="dxa"/>
          </w:tblCellMar>
        </w:tblPrEx>
        <w:tc>
          <w:tcPr>
            <w:tcW w:w="18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615D6460" w14:textId="77777777" w:rsidR="00A017F4" w:rsidRDefault="00000000">
            <w:r>
              <w:rPr>
                <w:color w:val="1A1A1A"/>
                <w:sz w:val="21"/>
                <w:szCs w:val="21"/>
              </w:rPr>
              <w:t>0.5 to 1.0</w:t>
            </w:r>
          </w:p>
        </w:tc>
        <w:tc>
          <w:tcPr>
            <w:tcW w:w="12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56E0AE89" w14:textId="77777777" w:rsidR="00A017F4" w:rsidRDefault="00000000">
            <w:r>
              <w:rPr>
                <w:color w:val="1A1A1A"/>
                <w:sz w:val="21"/>
                <w:szCs w:val="21"/>
              </w:rPr>
              <w:t>7 pts</w:t>
            </w:r>
          </w:p>
        </w:tc>
        <w:tc>
          <w:tcPr>
            <w:tcW w:w="636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04949AAF" w14:textId="77777777" w:rsidR="00A017F4" w:rsidRDefault="00000000">
            <w:r>
              <w:rPr>
                <w:color w:val="1A1A1A"/>
                <w:sz w:val="21"/>
                <w:szCs w:val="21"/>
              </w:rPr>
              <w:t>Moderate debt. Manageable.</w:t>
            </w:r>
          </w:p>
        </w:tc>
      </w:tr>
      <w:tr w:rsidR="00A017F4" w14:paraId="7AAE7775" w14:textId="77777777">
        <w:tblPrEx>
          <w:tblCellMar>
            <w:top w:w="0" w:type="dxa"/>
            <w:bottom w:w="0" w:type="dxa"/>
          </w:tblCellMar>
        </w:tblPrEx>
        <w:tc>
          <w:tcPr>
            <w:tcW w:w="18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7518B7DF" w14:textId="77777777" w:rsidR="00A017F4" w:rsidRDefault="00000000">
            <w:r>
              <w:rPr>
                <w:color w:val="1A1A1A"/>
                <w:sz w:val="21"/>
                <w:szCs w:val="21"/>
              </w:rPr>
              <w:t>1.0 to 2.0</w:t>
            </w:r>
          </w:p>
        </w:tc>
        <w:tc>
          <w:tcPr>
            <w:tcW w:w="12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5052E9F6" w14:textId="77777777" w:rsidR="00A017F4" w:rsidRDefault="00000000">
            <w:r>
              <w:rPr>
                <w:color w:val="1A1A1A"/>
                <w:sz w:val="21"/>
                <w:szCs w:val="21"/>
              </w:rPr>
              <w:t>4 pts</w:t>
            </w:r>
          </w:p>
        </w:tc>
        <w:tc>
          <w:tcPr>
            <w:tcW w:w="636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17E65744" w14:textId="77777777" w:rsidR="00A017F4" w:rsidRDefault="00000000">
            <w:r>
              <w:rPr>
                <w:color w:val="1A1A1A"/>
                <w:sz w:val="21"/>
                <w:szCs w:val="21"/>
              </w:rPr>
              <w:t>Meaningful debt. Monitor carefully.</w:t>
            </w:r>
          </w:p>
        </w:tc>
      </w:tr>
      <w:tr w:rsidR="00A017F4" w14:paraId="0E456824" w14:textId="77777777">
        <w:tblPrEx>
          <w:tblCellMar>
            <w:top w:w="0" w:type="dxa"/>
            <w:bottom w:w="0" w:type="dxa"/>
          </w:tblCellMar>
        </w:tblPrEx>
        <w:tc>
          <w:tcPr>
            <w:tcW w:w="18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1229C6B5" w14:textId="77777777" w:rsidR="00A017F4" w:rsidRDefault="00000000">
            <w:r>
              <w:rPr>
                <w:color w:val="1A1A1A"/>
                <w:sz w:val="21"/>
                <w:szCs w:val="21"/>
              </w:rPr>
              <w:t>Above 2.0</w:t>
            </w:r>
          </w:p>
        </w:tc>
        <w:tc>
          <w:tcPr>
            <w:tcW w:w="12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67B8C353" w14:textId="77777777" w:rsidR="00A017F4" w:rsidRDefault="00000000">
            <w:r>
              <w:rPr>
                <w:color w:val="1A1A1A"/>
                <w:sz w:val="21"/>
                <w:szCs w:val="21"/>
              </w:rPr>
              <w:t>0 pts</w:t>
            </w:r>
          </w:p>
        </w:tc>
        <w:tc>
          <w:tcPr>
            <w:tcW w:w="636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362A427C" w14:textId="77777777" w:rsidR="00A017F4" w:rsidRDefault="00000000">
            <w:r>
              <w:rPr>
                <w:color w:val="1A1A1A"/>
                <w:sz w:val="21"/>
                <w:szCs w:val="21"/>
              </w:rPr>
              <w:t>Heavily leveraged. High financial risk.</w:t>
            </w:r>
          </w:p>
        </w:tc>
      </w:tr>
    </w:tbl>
    <w:p w14:paraId="17B8DF6F" w14:textId="77777777" w:rsidR="00A017F4" w:rsidRDefault="00000000">
      <w:pPr>
        <w:spacing w:after="160"/>
      </w:pPr>
      <w:r>
        <w:rPr>
          <w:color w:val="1A1A1A"/>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17F4" w14:paraId="4D977E01" w14:textId="77777777">
        <w:tblPrEx>
          <w:tblCellMar>
            <w:top w:w="0" w:type="dxa"/>
            <w:bottom w:w="0" w:type="dxa"/>
          </w:tblCellMar>
        </w:tblPrEx>
        <w:tc>
          <w:tcPr>
            <w:tcW w:w="9360" w:type="dxa"/>
            <w:tcBorders>
              <w:top w:val="single" w:sz="12" w:space="0" w:color="E6A817"/>
              <w:left w:val="single" w:sz="24" w:space="0" w:color="E6A817"/>
              <w:bottom w:val="single" w:sz="12" w:space="0" w:color="E6A817"/>
            </w:tcBorders>
            <w:shd w:val="clear" w:color="auto" w:fill="FFF3CD"/>
            <w:tcMar>
              <w:top w:w="120" w:type="dxa"/>
              <w:left w:w="160" w:type="dxa"/>
              <w:bottom w:w="120" w:type="dxa"/>
              <w:right w:w="160" w:type="dxa"/>
            </w:tcMar>
          </w:tcPr>
          <w:p w14:paraId="2A605B33" w14:textId="77777777" w:rsidR="00A017F4" w:rsidRDefault="00000000">
            <w:r>
              <w:rPr>
                <w:i/>
                <w:iCs/>
                <w:color w:val="3D2B00"/>
                <w:sz w:val="21"/>
                <w:szCs w:val="21"/>
              </w:rPr>
              <w:t>Analogy: Imagine two people. Person A bought a flat worth ₹1 crore using ₹20 lakh savings and ₹80 lakh loan (D/E = 4). Person B bought using ₹60 lakh savings and ₹40 lakh loan (D/E = 0.67). If both lose their jobs, Person B can survive much longer. High debt is fine in good times, dangerous in bad ones.</w:t>
            </w:r>
          </w:p>
        </w:tc>
      </w:tr>
    </w:tbl>
    <w:p w14:paraId="47C9DB55" w14:textId="77777777" w:rsidR="00A017F4" w:rsidRDefault="00000000">
      <w:pPr>
        <w:spacing w:after="160"/>
      </w:pPr>
      <w:r>
        <w:rPr>
          <w:color w:val="1A1A1A"/>
        </w:rPr>
        <w:t xml:space="preserve"> </w:t>
      </w:r>
    </w:p>
    <w:p w14:paraId="25F02618" w14:textId="77777777" w:rsidR="00A017F4" w:rsidRDefault="00000000">
      <w:pPr>
        <w:spacing w:after="160"/>
      </w:pPr>
      <w:r>
        <w:rPr>
          <w:b/>
          <w:bCs/>
          <w:color w:val="1A1A1A"/>
        </w:rPr>
        <w:t xml:space="preserve">The Banking Exception: </w:t>
      </w:r>
      <w:r>
        <w:rPr>
          <w:color w:val="1A1A1A"/>
        </w:rPr>
        <w:t xml:space="preserve">Banks like HDFC Bank, ICICI Bank, and Kotak are </w:t>
      </w:r>
      <w:r>
        <w:rPr>
          <w:b/>
          <w:bCs/>
          <w:color w:val="1A1A1A"/>
        </w:rPr>
        <w:t>exempt from this score</w:t>
      </w:r>
      <w:r>
        <w:rPr>
          <w:color w:val="1A1A1A"/>
        </w:rPr>
        <w:t>. Why? Because a bank’s entire business model is borrowing money (your deposits) and lending it at a higher rate. Their “debt” is actually your savings account. Scoring them on D/E would punish them for something completely normal in their industry — it would be like penalising a water tanker company for carrying water.</w:t>
      </w:r>
    </w:p>
    <w:p w14:paraId="08F234DF" w14:textId="77777777" w:rsidR="00A017F4" w:rsidRDefault="00000000">
      <w:pPr>
        <w:spacing w:after="160"/>
      </w:pPr>
      <w:r>
        <w:rPr>
          <w:color w:val="1A1A1A"/>
        </w:rPr>
        <w:t xml:space="preserve"> </w:t>
      </w:r>
    </w:p>
    <w:p w14:paraId="4EE313CC" w14:textId="77777777" w:rsidR="00A017F4" w:rsidRDefault="00000000">
      <w:pPr>
        <w:pStyle w:val="Heading3"/>
      </w:pPr>
      <w:r>
        <w:t>1e. EPS Consistency — 5 points</w:t>
      </w:r>
    </w:p>
    <w:p w14:paraId="787B4934" w14:textId="77777777" w:rsidR="00A017F4" w:rsidRDefault="00000000">
      <w:pPr>
        <w:spacing w:after="160"/>
      </w:pPr>
      <w:r>
        <w:rPr>
          <w:color w:val="1A1A1A"/>
        </w:rPr>
        <w:t xml:space="preserve">Even if earnings are growing, we want the growth to be </w:t>
      </w:r>
      <w:r>
        <w:rPr>
          <w:b/>
          <w:bCs/>
          <w:color w:val="1A1A1A"/>
        </w:rPr>
        <w:t>steady and predictable</w:t>
      </w:r>
      <w:r>
        <w:rPr>
          <w:color w:val="1A1A1A"/>
        </w:rPr>
        <w:t>, not wildly erratic.</w:t>
      </w:r>
    </w:p>
    <w:p w14:paraId="2CB456C3" w14:textId="77777777" w:rsidR="00A017F4" w:rsidRDefault="00000000">
      <w:pPr>
        <w:spacing w:after="160"/>
      </w:pPr>
      <w:r>
        <w:rPr>
          <w:color w:val="1A1A1A"/>
        </w:rPr>
        <w:t xml:space="preserve"> </w:t>
      </w:r>
    </w:p>
    <w:p w14:paraId="1D714EE2" w14:textId="77777777" w:rsidR="00A017F4" w:rsidRDefault="00000000">
      <w:pPr>
        <w:spacing w:after="160"/>
      </w:pPr>
      <w:r>
        <w:rPr>
          <w:color w:val="1A1A1A"/>
        </w:rPr>
        <w:t xml:space="preserve">We measure this using a statistic called </w:t>
      </w:r>
      <w:r>
        <w:rPr>
          <w:b/>
          <w:bCs/>
          <w:color w:val="1A1A1A"/>
        </w:rPr>
        <w:t>Coefficient of Variation (CV)</w:t>
      </w:r>
      <w:r>
        <w:rPr>
          <w:color w:val="1A1A1A"/>
        </w:rPr>
        <w:t xml:space="preserve"> — it answers: “how much does EPS bounce around relative to its average?” Low CV = consistent, predictable earnings.</w:t>
      </w:r>
    </w:p>
    <w:p w14:paraId="1EEBF7FD" w14:textId="77777777" w:rsidR="00A017F4" w:rsidRDefault="00000000">
      <w:pPr>
        <w:spacing w:after="160"/>
      </w:pPr>
      <w:r>
        <w:rPr>
          <w:color w:val="1A1A1A"/>
        </w:rPr>
        <w:lastRenderedPageBreak/>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5760"/>
      </w:tblGrid>
      <w:tr w:rsidR="00A017F4" w14:paraId="11312857" w14:textId="77777777">
        <w:tblPrEx>
          <w:tblCellMar>
            <w:top w:w="0" w:type="dxa"/>
            <w:bottom w:w="0" w:type="dxa"/>
          </w:tblCellMar>
        </w:tblPrEx>
        <w:tc>
          <w:tcPr>
            <w:tcW w:w="2400" w:type="dxa"/>
            <w:tcBorders>
              <w:top w:val="single" w:sz="1" w:space="0" w:color="444444"/>
              <w:left w:val="single" w:sz="1" w:space="0" w:color="444444"/>
              <w:bottom w:val="single" w:sz="1" w:space="0" w:color="444444"/>
              <w:right w:val="single" w:sz="1" w:space="0" w:color="444444"/>
            </w:tcBorders>
            <w:shd w:val="clear" w:color="auto" w:fill="2C3E50"/>
            <w:tcMar>
              <w:top w:w="80" w:type="dxa"/>
              <w:left w:w="120" w:type="dxa"/>
              <w:bottom w:w="80" w:type="dxa"/>
              <w:right w:w="120" w:type="dxa"/>
            </w:tcMar>
          </w:tcPr>
          <w:p w14:paraId="5D956E1D" w14:textId="77777777" w:rsidR="00A017F4" w:rsidRDefault="00000000">
            <w:r>
              <w:rPr>
                <w:rFonts w:ascii="Arial" w:eastAsia="Arial" w:hAnsi="Arial" w:cs="Arial"/>
                <w:b/>
                <w:bCs/>
                <w:color w:val="FFFFFF"/>
                <w:sz w:val="20"/>
                <w:szCs w:val="20"/>
              </w:rPr>
              <w:t>EPS Consistency (CV)</w:t>
            </w:r>
          </w:p>
        </w:tc>
        <w:tc>
          <w:tcPr>
            <w:tcW w:w="1200" w:type="dxa"/>
            <w:tcBorders>
              <w:top w:val="single" w:sz="1" w:space="0" w:color="444444"/>
              <w:left w:val="single" w:sz="1" w:space="0" w:color="444444"/>
              <w:bottom w:val="single" w:sz="1" w:space="0" w:color="444444"/>
              <w:right w:val="single" w:sz="1" w:space="0" w:color="444444"/>
            </w:tcBorders>
            <w:shd w:val="clear" w:color="auto" w:fill="2C3E50"/>
            <w:tcMar>
              <w:top w:w="80" w:type="dxa"/>
              <w:left w:w="120" w:type="dxa"/>
              <w:bottom w:w="80" w:type="dxa"/>
              <w:right w:w="120" w:type="dxa"/>
            </w:tcMar>
          </w:tcPr>
          <w:p w14:paraId="48AE3A22" w14:textId="77777777" w:rsidR="00A017F4" w:rsidRDefault="00000000">
            <w:r>
              <w:rPr>
                <w:rFonts w:ascii="Arial" w:eastAsia="Arial" w:hAnsi="Arial" w:cs="Arial"/>
                <w:b/>
                <w:bCs/>
                <w:color w:val="FFFFFF"/>
                <w:sz w:val="20"/>
                <w:szCs w:val="20"/>
              </w:rPr>
              <w:t>Points</w:t>
            </w:r>
          </w:p>
        </w:tc>
        <w:tc>
          <w:tcPr>
            <w:tcW w:w="5760" w:type="dxa"/>
            <w:tcBorders>
              <w:top w:val="single" w:sz="1" w:space="0" w:color="444444"/>
              <w:left w:val="single" w:sz="1" w:space="0" w:color="444444"/>
              <w:bottom w:val="single" w:sz="1" w:space="0" w:color="444444"/>
              <w:right w:val="single" w:sz="1" w:space="0" w:color="444444"/>
            </w:tcBorders>
            <w:shd w:val="clear" w:color="auto" w:fill="2C3E50"/>
            <w:tcMar>
              <w:top w:w="80" w:type="dxa"/>
              <w:left w:w="120" w:type="dxa"/>
              <w:bottom w:w="80" w:type="dxa"/>
              <w:right w:w="120" w:type="dxa"/>
            </w:tcMar>
          </w:tcPr>
          <w:p w14:paraId="5EF8FDE5" w14:textId="77777777" w:rsidR="00A017F4" w:rsidRDefault="00000000">
            <w:r>
              <w:rPr>
                <w:rFonts w:ascii="Arial" w:eastAsia="Arial" w:hAnsi="Arial" w:cs="Arial"/>
                <w:b/>
                <w:bCs/>
                <w:color w:val="FFFFFF"/>
                <w:sz w:val="20"/>
                <w:szCs w:val="20"/>
              </w:rPr>
              <w:t>What It Means</w:t>
            </w:r>
          </w:p>
        </w:tc>
      </w:tr>
      <w:tr w:rsidR="00A017F4" w14:paraId="31B8DE3A" w14:textId="77777777">
        <w:tblPrEx>
          <w:tblCellMar>
            <w:top w:w="0" w:type="dxa"/>
            <w:bottom w:w="0" w:type="dxa"/>
          </w:tblCellMar>
        </w:tblPrEx>
        <w:tc>
          <w:tcPr>
            <w:tcW w:w="24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25E54588" w14:textId="77777777" w:rsidR="00A017F4" w:rsidRDefault="00000000">
            <w:r>
              <w:rPr>
                <w:color w:val="1A1A1A"/>
                <w:sz w:val="21"/>
                <w:szCs w:val="21"/>
              </w:rPr>
              <w:t>CV below 15%</w:t>
            </w:r>
          </w:p>
        </w:tc>
        <w:tc>
          <w:tcPr>
            <w:tcW w:w="12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67A94786" w14:textId="77777777" w:rsidR="00A017F4" w:rsidRDefault="00000000">
            <w:r>
              <w:rPr>
                <w:color w:val="1A1A1A"/>
                <w:sz w:val="21"/>
                <w:szCs w:val="21"/>
              </w:rPr>
              <w:t>5 pts</w:t>
            </w:r>
          </w:p>
        </w:tc>
        <w:tc>
          <w:tcPr>
            <w:tcW w:w="576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6429C6B4" w14:textId="77777777" w:rsidR="00A017F4" w:rsidRDefault="00000000">
            <w:r>
              <w:rPr>
                <w:color w:val="1A1A1A"/>
                <w:sz w:val="21"/>
                <w:szCs w:val="21"/>
              </w:rPr>
              <w:t>Very consistent. Predictable, steady earnings.</w:t>
            </w:r>
          </w:p>
        </w:tc>
      </w:tr>
      <w:tr w:rsidR="00A017F4" w14:paraId="5FEE60AA" w14:textId="77777777">
        <w:tblPrEx>
          <w:tblCellMar>
            <w:top w:w="0" w:type="dxa"/>
            <w:bottom w:w="0" w:type="dxa"/>
          </w:tblCellMar>
        </w:tblPrEx>
        <w:tc>
          <w:tcPr>
            <w:tcW w:w="24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1C32340F" w14:textId="77777777" w:rsidR="00A017F4" w:rsidRDefault="00000000">
            <w:r>
              <w:rPr>
                <w:color w:val="1A1A1A"/>
                <w:sz w:val="21"/>
                <w:szCs w:val="21"/>
              </w:rPr>
              <w:t>CV 15–30%</w:t>
            </w:r>
          </w:p>
        </w:tc>
        <w:tc>
          <w:tcPr>
            <w:tcW w:w="12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4D03E6E2" w14:textId="77777777" w:rsidR="00A017F4" w:rsidRDefault="00000000">
            <w:r>
              <w:rPr>
                <w:color w:val="1A1A1A"/>
                <w:sz w:val="21"/>
                <w:szCs w:val="21"/>
              </w:rPr>
              <w:t>3 pts</w:t>
            </w:r>
          </w:p>
        </w:tc>
        <w:tc>
          <w:tcPr>
            <w:tcW w:w="576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29BD583A" w14:textId="77777777" w:rsidR="00A017F4" w:rsidRDefault="00000000">
            <w:r>
              <w:rPr>
                <w:color w:val="1A1A1A"/>
                <w:sz w:val="21"/>
                <w:szCs w:val="21"/>
              </w:rPr>
              <w:t>Some variation. Acceptable.</w:t>
            </w:r>
          </w:p>
        </w:tc>
      </w:tr>
      <w:tr w:rsidR="00A017F4" w14:paraId="3D38764A" w14:textId="77777777">
        <w:tblPrEx>
          <w:tblCellMar>
            <w:top w:w="0" w:type="dxa"/>
            <w:bottom w:w="0" w:type="dxa"/>
          </w:tblCellMar>
        </w:tblPrEx>
        <w:tc>
          <w:tcPr>
            <w:tcW w:w="24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56FF516B" w14:textId="77777777" w:rsidR="00A017F4" w:rsidRDefault="00000000">
            <w:r>
              <w:rPr>
                <w:color w:val="1A1A1A"/>
                <w:sz w:val="21"/>
                <w:szCs w:val="21"/>
              </w:rPr>
              <w:t>CV above 30%</w:t>
            </w:r>
          </w:p>
        </w:tc>
        <w:tc>
          <w:tcPr>
            <w:tcW w:w="12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1BE352C9" w14:textId="77777777" w:rsidR="00A017F4" w:rsidRDefault="00000000">
            <w:r>
              <w:rPr>
                <w:color w:val="1A1A1A"/>
                <w:sz w:val="21"/>
                <w:szCs w:val="21"/>
              </w:rPr>
              <w:t>0 pts</w:t>
            </w:r>
          </w:p>
        </w:tc>
        <w:tc>
          <w:tcPr>
            <w:tcW w:w="576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7AEBA57C" w14:textId="77777777" w:rsidR="00A017F4" w:rsidRDefault="00000000">
            <w:r>
              <w:rPr>
                <w:color w:val="1A1A1A"/>
                <w:sz w:val="21"/>
                <w:szCs w:val="21"/>
              </w:rPr>
              <w:t>Erratic. Hard to predict what comes next.</w:t>
            </w:r>
          </w:p>
        </w:tc>
      </w:tr>
    </w:tbl>
    <w:p w14:paraId="3A1ED29E" w14:textId="77777777" w:rsidR="00A017F4" w:rsidRDefault="00000000">
      <w:pPr>
        <w:spacing w:after="160"/>
      </w:pPr>
      <w:r>
        <w:rPr>
          <w:color w:val="1A1A1A"/>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17F4" w14:paraId="75F7F370" w14:textId="77777777">
        <w:tblPrEx>
          <w:tblCellMar>
            <w:top w:w="0" w:type="dxa"/>
            <w:bottom w:w="0" w:type="dxa"/>
          </w:tblCellMar>
        </w:tblPrEx>
        <w:tc>
          <w:tcPr>
            <w:tcW w:w="9360" w:type="dxa"/>
            <w:tcBorders>
              <w:top w:val="single" w:sz="12" w:space="0" w:color="E6A817"/>
              <w:left w:val="single" w:sz="24" w:space="0" w:color="E6A817"/>
              <w:bottom w:val="single" w:sz="12" w:space="0" w:color="E6A817"/>
            </w:tcBorders>
            <w:shd w:val="clear" w:color="auto" w:fill="FFF3CD"/>
            <w:tcMar>
              <w:top w:w="120" w:type="dxa"/>
              <w:left w:w="160" w:type="dxa"/>
              <w:bottom w:w="120" w:type="dxa"/>
              <w:right w:w="160" w:type="dxa"/>
            </w:tcMar>
          </w:tcPr>
          <w:p w14:paraId="4B82DA27" w14:textId="77777777" w:rsidR="00A017F4" w:rsidRDefault="00000000">
            <w:r>
              <w:rPr>
                <w:i/>
                <w:iCs/>
                <w:color w:val="3D2B00"/>
                <w:sz w:val="21"/>
                <w:szCs w:val="21"/>
              </w:rPr>
              <w:t>Analogy: Two salespeople. Rajan earns ₹10 lakh, ₹11 lakh, ₹10.5 lakh, ₹11.5 lakh over 4 years — very consistent. Priya earns ₹5 lakh, ₹20 lakh, ₹3 lakh, ₹18 lakh — wildly all over the place. Both average ₹10.75 lakh. But Rajan is far more predictable. You’d rely on Rajan more. That’s what EPS Consistency measures.</w:t>
            </w:r>
          </w:p>
        </w:tc>
      </w:tr>
    </w:tbl>
    <w:p w14:paraId="444317C2" w14:textId="77777777" w:rsidR="00A017F4" w:rsidRDefault="00A017F4">
      <w:pPr>
        <w:pageBreakBefore/>
      </w:pPr>
    </w:p>
    <w:p w14:paraId="5CF341EB" w14:textId="77777777" w:rsidR="00A017F4" w:rsidRDefault="00000000">
      <w:pPr>
        <w:pStyle w:val="Heading2"/>
      </w:pPr>
      <w:r>
        <w:t>Block 2 — Valuation (20 points)</w:t>
      </w:r>
    </w:p>
    <w:p w14:paraId="7B34C968" w14:textId="77777777" w:rsidR="00A017F4" w:rsidRDefault="00000000">
      <w:pPr>
        <w:spacing w:after="160"/>
      </w:pPr>
      <w:r>
        <w:rPr>
          <w:color w:val="1A1A1A"/>
        </w:rPr>
        <w:t xml:space="preserve">Even a great business can be a bad investment if you overpay for it. This block answers: </w:t>
      </w:r>
      <w:r>
        <w:rPr>
          <w:b/>
          <w:bCs/>
          <w:color w:val="1A1A1A"/>
        </w:rPr>
        <w:t>am I paying a fair price?</w:t>
      </w:r>
    </w:p>
    <w:p w14:paraId="331F9058" w14:textId="77777777" w:rsidR="00A017F4" w:rsidRDefault="00000000">
      <w:pPr>
        <w:spacing w:after="160"/>
      </w:pPr>
      <w:r>
        <w:rPr>
          <w:color w:val="1A1A1A"/>
        </w:rPr>
        <w:t xml:space="preserve"> </w:t>
      </w:r>
    </w:p>
    <w:p w14:paraId="5CF159A8" w14:textId="77777777" w:rsidR="00A017F4" w:rsidRDefault="00000000">
      <w:pPr>
        <w:pStyle w:val="Heading3"/>
      </w:pPr>
      <w:r>
        <w:t>2a. P/E vs Sector Average — 10 points</w:t>
      </w:r>
    </w:p>
    <w:p w14:paraId="32096C22" w14:textId="77777777" w:rsidR="00A017F4" w:rsidRDefault="00000000">
      <w:pPr>
        <w:spacing w:after="160"/>
      </w:pPr>
      <w:r>
        <w:rPr>
          <w:b/>
          <w:bCs/>
          <w:color w:val="1A1A1A"/>
        </w:rPr>
        <w:t>P/E Ratio = Price Per Share ÷ Earnings Per Share</w:t>
      </w:r>
      <w:r>
        <w:rPr>
          <w:color w:val="1A1A1A"/>
        </w:rPr>
        <w:t>.</w:t>
      </w:r>
    </w:p>
    <w:p w14:paraId="2E860F9F" w14:textId="77777777" w:rsidR="00A017F4" w:rsidRDefault="00000000">
      <w:pPr>
        <w:spacing w:after="160"/>
      </w:pPr>
      <w:r>
        <w:rPr>
          <w:color w:val="1A1A1A"/>
        </w:rPr>
        <w:t xml:space="preserve"> </w:t>
      </w:r>
    </w:p>
    <w:p w14:paraId="6812143C" w14:textId="77777777" w:rsidR="00A017F4" w:rsidRDefault="00000000">
      <w:pPr>
        <w:spacing w:after="160"/>
      </w:pPr>
      <w:r>
        <w:rPr>
          <w:color w:val="1A1A1A"/>
        </w:rPr>
        <w:t xml:space="preserve">It tells you: </w:t>
      </w:r>
      <w:r>
        <w:rPr>
          <w:b/>
          <w:bCs/>
          <w:color w:val="1A1A1A"/>
        </w:rPr>
        <w:t>how many years of current earnings am I paying for this stock?</w:t>
      </w:r>
      <w:r>
        <w:rPr>
          <w:color w:val="1A1A1A"/>
        </w:rPr>
        <w:t xml:space="preserve"> A P/E of 20 means you’re paying 20 times the annual earnings.</w:t>
      </w:r>
    </w:p>
    <w:p w14:paraId="189F3AF5" w14:textId="77777777" w:rsidR="00A017F4" w:rsidRDefault="00000000">
      <w:pPr>
        <w:spacing w:after="160"/>
      </w:pPr>
      <w:r>
        <w:rPr>
          <w:color w:val="1A1A1A"/>
        </w:rPr>
        <w:t xml:space="preserve"> </w:t>
      </w:r>
    </w:p>
    <w:p w14:paraId="2FA597D4" w14:textId="77777777" w:rsidR="00A017F4" w:rsidRDefault="00000000">
      <w:pPr>
        <w:spacing w:after="160"/>
      </w:pPr>
      <w:r>
        <w:rPr>
          <w:color w:val="1A1A1A"/>
        </w:rPr>
        <w:t xml:space="preserve">But P/E by itself is meaningless without context. A software company at P/E 35 might be cheap. A coal company at P/E 35 might be dangerously expensive. So we always compare each stock to </w:t>
      </w:r>
      <w:r>
        <w:rPr>
          <w:b/>
          <w:bCs/>
          <w:color w:val="1A1A1A"/>
        </w:rPr>
        <w:t>its own sector’s average P/E</w:t>
      </w:r>
      <w:r>
        <w:rPr>
          <w:color w:val="1A1A1A"/>
        </w:rPr>
        <w:t>.</w:t>
      </w:r>
    </w:p>
    <w:p w14:paraId="7EBE7D26" w14:textId="77777777" w:rsidR="00A017F4" w:rsidRDefault="00000000">
      <w:pPr>
        <w:spacing w:after="160"/>
      </w:pPr>
      <w:r>
        <w:rPr>
          <w:color w:val="1A1A1A"/>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5360"/>
      </w:tblGrid>
      <w:tr w:rsidR="00A017F4" w14:paraId="6DF19F60" w14:textId="77777777">
        <w:tblPrEx>
          <w:tblCellMar>
            <w:top w:w="0" w:type="dxa"/>
            <w:bottom w:w="0" w:type="dxa"/>
          </w:tblCellMar>
        </w:tblPrEx>
        <w:tc>
          <w:tcPr>
            <w:tcW w:w="2800" w:type="dxa"/>
            <w:tcBorders>
              <w:top w:val="single" w:sz="1" w:space="0" w:color="444444"/>
              <w:left w:val="single" w:sz="1" w:space="0" w:color="444444"/>
              <w:bottom w:val="single" w:sz="1" w:space="0" w:color="444444"/>
              <w:right w:val="single" w:sz="1" w:space="0" w:color="444444"/>
            </w:tcBorders>
            <w:shd w:val="clear" w:color="auto" w:fill="2C3E50"/>
            <w:tcMar>
              <w:top w:w="80" w:type="dxa"/>
              <w:left w:w="120" w:type="dxa"/>
              <w:bottom w:w="80" w:type="dxa"/>
              <w:right w:w="120" w:type="dxa"/>
            </w:tcMar>
          </w:tcPr>
          <w:p w14:paraId="6CD4128A" w14:textId="77777777" w:rsidR="00A017F4" w:rsidRDefault="00000000">
            <w:r>
              <w:rPr>
                <w:rFonts w:ascii="Arial" w:eastAsia="Arial" w:hAnsi="Arial" w:cs="Arial"/>
                <w:b/>
                <w:bCs/>
                <w:color w:val="FFFFFF"/>
                <w:sz w:val="20"/>
                <w:szCs w:val="20"/>
              </w:rPr>
              <w:t>Stock P/E vs Sector Average</w:t>
            </w:r>
          </w:p>
        </w:tc>
        <w:tc>
          <w:tcPr>
            <w:tcW w:w="1200" w:type="dxa"/>
            <w:tcBorders>
              <w:top w:val="single" w:sz="1" w:space="0" w:color="444444"/>
              <w:left w:val="single" w:sz="1" w:space="0" w:color="444444"/>
              <w:bottom w:val="single" w:sz="1" w:space="0" w:color="444444"/>
              <w:right w:val="single" w:sz="1" w:space="0" w:color="444444"/>
            </w:tcBorders>
            <w:shd w:val="clear" w:color="auto" w:fill="2C3E50"/>
            <w:tcMar>
              <w:top w:w="80" w:type="dxa"/>
              <w:left w:w="120" w:type="dxa"/>
              <w:bottom w:w="80" w:type="dxa"/>
              <w:right w:w="120" w:type="dxa"/>
            </w:tcMar>
          </w:tcPr>
          <w:p w14:paraId="1ED81C2A" w14:textId="77777777" w:rsidR="00A017F4" w:rsidRDefault="00000000">
            <w:r>
              <w:rPr>
                <w:rFonts w:ascii="Arial" w:eastAsia="Arial" w:hAnsi="Arial" w:cs="Arial"/>
                <w:b/>
                <w:bCs/>
                <w:color w:val="FFFFFF"/>
                <w:sz w:val="20"/>
                <w:szCs w:val="20"/>
              </w:rPr>
              <w:t>Points</w:t>
            </w:r>
          </w:p>
        </w:tc>
        <w:tc>
          <w:tcPr>
            <w:tcW w:w="5360" w:type="dxa"/>
            <w:tcBorders>
              <w:top w:val="single" w:sz="1" w:space="0" w:color="444444"/>
              <w:left w:val="single" w:sz="1" w:space="0" w:color="444444"/>
              <w:bottom w:val="single" w:sz="1" w:space="0" w:color="444444"/>
              <w:right w:val="single" w:sz="1" w:space="0" w:color="444444"/>
            </w:tcBorders>
            <w:shd w:val="clear" w:color="auto" w:fill="2C3E50"/>
            <w:tcMar>
              <w:top w:w="80" w:type="dxa"/>
              <w:left w:w="120" w:type="dxa"/>
              <w:bottom w:w="80" w:type="dxa"/>
              <w:right w:w="120" w:type="dxa"/>
            </w:tcMar>
          </w:tcPr>
          <w:p w14:paraId="63BD3D9D" w14:textId="77777777" w:rsidR="00A017F4" w:rsidRDefault="00000000">
            <w:r>
              <w:rPr>
                <w:rFonts w:ascii="Arial" w:eastAsia="Arial" w:hAnsi="Arial" w:cs="Arial"/>
                <w:b/>
                <w:bCs/>
                <w:color w:val="FFFFFF"/>
                <w:sz w:val="20"/>
                <w:szCs w:val="20"/>
              </w:rPr>
              <w:t>What It Means</w:t>
            </w:r>
          </w:p>
        </w:tc>
      </w:tr>
      <w:tr w:rsidR="00A017F4" w14:paraId="1996DB5E" w14:textId="77777777">
        <w:tblPrEx>
          <w:tblCellMar>
            <w:top w:w="0" w:type="dxa"/>
            <w:bottom w:w="0" w:type="dxa"/>
          </w:tblCellMar>
        </w:tblPrEx>
        <w:tc>
          <w:tcPr>
            <w:tcW w:w="28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697C22EE" w14:textId="77777777" w:rsidR="00A017F4" w:rsidRDefault="00000000">
            <w:r>
              <w:rPr>
                <w:color w:val="1A1A1A"/>
                <w:sz w:val="21"/>
                <w:szCs w:val="21"/>
              </w:rPr>
              <w:t xml:space="preserve">20%+ cheaper than sector </w:t>
            </w:r>
            <w:proofErr w:type="spellStart"/>
            <w:r>
              <w:rPr>
                <w:color w:val="1A1A1A"/>
                <w:sz w:val="21"/>
                <w:szCs w:val="21"/>
              </w:rPr>
              <w:t>avg</w:t>
            </w:r>
            <w:proofErr w:type="spellEnd"/>
          </w:p>
        </w:tc>
        <w:tc>
          <w:tcPr>
            <w:tcW w:w="12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5A54E471" w14:textId="77777777" w:rsidR="00A017F4" w:rsidRDefault="00000000">
            <w:r>
              <w:rPr>
                <w:color w:val="1A1A1A"/>
                <w:sz w:val="21"/>
                <w:szCs w:val="21"/>
              </w:rPr>
              <w:t>10 pts</w:t>
            </w:r>
          </w:p>
        </w:tc>
        <w:tc>
          <w:tcPr>
            <w:tcW w:w="536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05CCB70B" w14:textId="77777777" w:rsidR="00A017F4" w:rsidRDefault="00000000">
            <w:r>
              <w:rPr>
                <w:color w:val="1A1A1A"/>
                <w:sz w:val="21"/>
                <w:szCs w:val="21"/>
              </w:rPr>
              <w:t>Clear bargain relative to peers.</w:t>
            </w:r>
          </w:p>
        </w:tc>
      </w:tr>
      <w:tr w:rsidR="00A017F4" w14:paraId="3961DA6E" w14:textId="77777777">
        <w:tblPrEx>
          <w:tblCellMar>
            <w:top w:w="0" w:type="dxa"/>
            <w:bottom w:w="0" w:type="dxa"/>
          </w:tblCellMar>
        </w:tblPrEx>
        <w:tc>
          <w:tcPr>
            <w:tcW w:w="28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4B6A6BBB" w14:textId="77777777" w:rsidR="00A017F4" w:rsidRDefault="00000000">
            <w:r>
              <w:rPr>
                <w:color w:val="1A1A1A"/>
                <w:sz w:val="21"/>
                <w:szCs w:val="21"/>
              </w:rPr>
              <w:t>10–20% cheaper</w:t>
            </w:r>
          </w:p>
        </w:tc>
        <w:tc>
          <w:tcPr>
            <w:tcW w:w="12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4CB3C2D1" w14:textId="77777777" w:rsidR="00A017F4" w:rsidRDefault="00000000">
            <w:r>
              <w:rPr>
                <w:color w:val="1A1A1A"/>
                <w:sz w:val="21"/>
                <w:szCs w:val="21"/>
              </w:rPr>
              <w:t>7 pts</w:t>
            </w:r>
          </w:p>
        </w:tc>
        <w:tc>
          <w:tcPr>
            <w:tcW w:w="536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2745BC9F" w14:textId="77777777" w:rsidR="00A017F4" w:rsidRDefault="00000000">
            <w:r>
              <w:rPr>
                <w:color w:val="1A1A1A"/>
                <w:sz w:val="21"/>
                <w:szCs w:val="21"/>
              </w:rPr>
              <w:t>Somewhat undervalued.</w:t>
            </w:r>
          </w:p>
        </w:tc>
      </w:tr>
      <w:tr w:rsidR="00A017F4" w14:paraId="0FA2F1CC" w14:textId="77777777">
        <w:tblPrEx>
          <w:tblCellMar>
            <w:top w:w="0" w:type="dxa"/>
            <w:bottom w:w="0" w:type="dxa"/>
          </w:tblCellMar>
        </w:tblPrEx>
        <w:tc>
          <w:tcPr>
            <w:tcW w:w="28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7A05906A" w14:textId="77777777" w:rsidR="00A017F4" w:rsidRDefault="00000000">
            <w:r>
              <w:rPr>
                <w:color w:val="1A1A1A"/>
                <w:sz w:val="21"/>
                <w:szCs w:val="21"/>
              </w:rPr>
              <w:t>Near the sector average</w:t>
            </w:r>
          </w:p>
        </w:tc>
        <w:tc>
          <w:tcPr>
            <w:tcW w:w="12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42822646" w14:textId="77777777" w:rsidR="00A017F4" w:rsidRDefault="00000000">
            <w:r>
              <w:rPr>
                <w:color w:val="1A1A1A"/>
                <w:sz w:val="21"/>
                <w:szCs w:val="21"/>
              </w:rPr>
              <w:t>5 pts</w:t>
            </w:r>
          </w:p>
        </w:tc>
        <w:tc>
          <w:tcPr>
            <w:tcW w:w="536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16031756" w14:textId="77777777" w:rsidR="00A017F4" w:rsidRDefault="00000000">
            <w:r>
              <w:rPr>
                <w:color w:val="1A1A1A"/>
                <w:sz w:val="21"/>
                <w:szCs w:val="21"/>
              </w:rPr>
              <w:t>Fairly priced.</w:t>
            </w:r>
          </w:p>
        </w:tc>
      </w:tr>
      <w:tr w:rsidR="00A017F4" w14:paraId="4D434507" w14:textId="77777777">
        <w:tblPrEx>
          <w:tblCellMar>
            <w:top w:w="0" w:type="dxa"/>
            <w:bottom w:w="0" w:type="dxa"/>
          </w:tblCellMar>
        </w:tblPrEx>
        <w:tc>
          <w:tcPr>
            <w:tcW w:w="28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7922D162" w14:textId="77777777" w:rsidR="00A017F4" w:rsidRDefault="00000000">
            <w:r>
              <w:rPr>
                <w:color w:val="1A1A1A"/>
                <w:sz w:val="21"/>
                <w:szCs w:val="21"/>
              </w:rPr>
              <w:t>Above sector average</w:t>
            </w:r>
          </w:p>
        </w:tc>
        <w:tc>
          <w:tcPr>
            <w:tcW w:w="12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47C7983C" w14:textId="77777777" w:rsidR="00A017F4" w:rsidRDefault="00000000">
            <w:r>
              <w:rPr>
                <w:color w:val="1A1A1A"/>
                <w:sz w:val="21"/>
                <w:szCs w:val="21"/>
              </w:rPr>
              <w:t>2 or 0 pts</w:t>
            </w:r>
          </w:p>
        </w:tc>
        <w:tc>
          <w:tcPr>
            <w:tcW w:w="536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4F28048C" w14:textId="77777777" w:rsidR="00A017F4" w:rsidRDefault="00000000">
            <w:r>
              <w:rPr>
                <w:color w:val="1A1A1A"/>
                <w:sz w:val="21"/>
                <w:szCs w:val="21"/>
              </w:rPr>
              <w:t>Expensive relative to peers.</w:t>
            </w:r>
          </w:p>
        </w:tc>
      </w:tr>
    </w:tbl>
    <w:p w14:paraId="28BBF30A" w14:textId="77777777" w:rsidR="00A017F4" w:rsidRDefault="00000000">
      <w:pPr>
        <w:spacing w:after="160"/>
      </w:pPr>
      <w:r>
        <w:rPr>
          <w:color w:val="1A1A1A"/>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17F4" w14:paraId="1737252A" w14:textId="77777777">
        <w:tblPrEx>
          <w:tblCellMar>
            <w:top w:w="0" w:type="dxa"/>
            <w:bottom w:w="0" w:type="dxa"/>
          </w:tblCellMar>
        </w:tblPrEx>
        <w:tc>
          <w:tcPr>
            <w:tcW w:w="9360" w:type="dxa"/>
            <w:tcBorders>
              <w:top w:val="single" w:sz="12" w:space="0" w:color="E6A817"/>
              <w:left w:val="single" w:sz="24" w:space="0" w:color="E6A817"/>
              <w:bottom w:val="single" w:sz="12" w:space="0" w:color="E6A817"/>
            </w:tcBorders>
            <w:shd w:val="clear" w:color="auto" w:fill="FFF3CD"/>
            <w:tcMar>
              <w:top w:w="120" w:type="dxa"/>
              <w:left w:w="160" w:type="dxa"/>
              <w:bottom w:w="120" w:type="dxa"/>
              <w:right w:w="160" w:type="dxa"/>
            </w:tcMar>
          </w:tcPr>
          <w:p w14:paraId="4D6783C6" w14:textId="77777777" w:rsidR="00A017F4" w:rsidRDefault="00000000">
            <w:r>
              <w:rPr>
                <w:i/>
                <w:iCs/>
                <w:color w:val="3D2B00"/>
                <w:sz w:val="21"/>
                <w:szCs w:val="21"/>
              </w:rPr>
              <w:t>Analogy: You want to buy a 2BHK flat in Bandra, Mumbai. The average price in Bandra is ₹2 crore. You find one listed at ₹1.6 crore — 20% cheaper than comparable flats in the same area. That’s a potential bargain (assuming no hidden problems). We use the same logic for stocks — compare each stock to others in the same “neighbourhood” (sector).</w:t>
            </w:r>
          </w:p>
        </w:tc>
      </w:tr>
    </w:tbl>
    <w:p w14:paraId="399974C1" w14:textId="77777777" w:rsidR="00A017F4" w:rsidRDefault="00000000">
      <w:pPr>
        <w:spacing w:after="160"/>
      </w:pPr>
      <w:r>
        <w:rPr>
          <w:color w:val="1A1A1A"/>
        </w:rPr>
        <w:t xml:space="preserve"> </w:t>
      </w:r>
    </w:p>
    <w:p w14:paraId="4F20E84E" w14:textId="77777777" w:rsidR="00A017F4" w:rsidRDefault="00000000">
      <w:pPr>
        <w:pStyle w:val="Heading3"/>
      </w:pPr>
      <w:r>
        <w:t>2b. PEG Ratio — 10 points</w:t>
      </w:r>
    </w:p>
    <w:p w14:paraId="3C7CCA28" w14:textId="77777777" w:rsidR="00A017F4" w:rsidRDefault="00000000">
      <w:pPr>
        <w:spacing w:after="160"/>
      </w:pPr>
      <w:r>
        <w:rPr>
          <w:b/>
          <w:bCs/>
          <w:color w:val="1A1A1A"/>
        </w:rPr>
        <w:t>PEG = P/E Ratio ÷ EPS Growth Rate</w:t>
      </w:r>
      <w:r>
        <w:rPr>
          <w:color w:val="1A1A1A"/>
        </w:rPr>
        <w:t>.</w:t>
      </w:r>
    </w:p>
    <w:p w14:paraId="1A6447DC" w14:textId="77777777" w:rsidR="00A017F4" w:rsidRDefault="00000000">
      <w:pPr>
        <w:spacing w:after="160"/>
      </w:pPr>
      <w:r>
        <w:rPr>
          <w:color w:val="1A1A1A"/>
        </w:rPr>
        <w:t xml:space="preserve"> </w:t>
      </w:r>
    </w:p>
    <w:p w14:paraId="142588E8" w14:textId="77777777" w:rsidR="00A017F4" w:rsidRDefault="00000000">
      <w:pPr>
        <w:spacing w:after="160"/>
      </w:pPr>
      <w:r>
        <w:rPr>
          <w:color w:val="1A1A1A"/>
        </w:rPr>
        <w:t>This is one of the most elegant metrics in investing. It adjusts valuation for growth. The logic is: if a company’s P/E and its growth rate are exactly equal, that’s a fair deal — PEG = 1. If PEG &lt; 1, you’re paying less than what the growth justifies. That’s a bargain.</w:t>
      </w:r>
    </w:p>
    <w:p w14:paraId="7F01F8C8" w14:textId="77777777" w:rsidR="00A017F4" w:rsidRDefault="00000000">
      <w:pPr>
        <w:spacing w:after="160"/>
      </w:pPr>
      <w:r>
        <w:rPr>
          <w:color w:val="1A1A1A"/>
        </w:rPr>
        <w:lastRenderedPageBreak/>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00"/>
        <w:gridCol w:w="6360"/>
      </w:tblGrid>
      <w:tr w:rsidR="00A017F4" w14:paraId="40FC0753" w14:textId="77777777">
        <w:tblPrEx>
          <w:tblCellMar>
            <w:top w:w="0" w:type="dxa"/>
            <w:bottom w:w="0" w:type="dxa"/>
          </w:tblCellMar>
        </w:tblPrEx>
        <w:tc>
          <w:tcPr>
            <w:tcW w:w="1800" w:type="dxa"/>
            <w:tcBorders>
              <w:top w:val="single" w:sz="1" w:space="0" w:color="444444"/>
              <w:left w:val="single" w:sz="1" w:space="0" w:color="444444"/>
              <w:bottom w:val="single" w:sz="1" w:space="0" w:color="444444"/>
              <w:right w:val="single" w:sz="1" w:space="0" w:color="444444"/>
            </w:tcBorders>
            <w:shd w:val="clear" w:color="auto" w:fill="2C3E50"/>
            <w:tcMar>
              <w:top w:w="80" w:type="dxa"/>
              <w:left w:w="120" w:type="dxa"/>
              <w:bottom w:w="80" w:type="dxa"/>
              <w:right w:w="120" w:type="dxa"/>
            </w:tcMar>
          </w:tcPr>
          <w:p w14:paraId="09B1FBF5" w14:textId="77777777" w:rsidR="00A017F4" w:rsidRDefault="00000000">
            <w:r>
              <w:rPr>
                <w:rFonts w:ascii="Arial" w:eastAsia="Arial" w:hAnsi="Arial" w:cs="Arial"/>
                <w:b/>
                <w:bCs/>
                <w:color w:val="FFFFFF"/>
                <w:sz w:val="20"/>
                <w:szCs w:val="20"/>
              </w:rPr>
              <w:t>PEG Ratio</w:t>
            </w:r>
          </w:p>
        </w:tc>
        <w:tc>
          <w:tcPr>
            <w:tcW w:w="1200" w:type="dxa"/>
            <w:tcBorders>
              <w:top w:val="single" w:sz="1" w:space="0" w:color="444444"/>
              <w:left w:val="single" w:sz="1" w:space="0" w:color="444444"/>
              <w:bottom w:val="single" w:sz="1" w:space="0" w:color="444444"/>
              <w:right w:val="single" w:sz="1" w:space="0" w:color="444444"/>
            </w:tcBorders>
            <w:shd w:val="clear" w:color="auto" w:fill="2C3E50"/>
            <w:tcMar>
              <w:top w:w="80" w:type="dxa"/>
              <w:left w:w="120" w:type="dxa"/>
              <w:bottom w:w="80" w:type="dxa"/>
              <w:right w:w="120" w:type="dxa"/>
            </w:tcMar>
          </w:tcPr>
          <w:p w14:paraId="0C1B9DAE" w14:textId="77777777" w:rsidR="00A017F4" w:rsidRDefault="00000000">
            <w:r>
              <w:rPr>
                <w:rFonts w:ascii="Arial" w:eastAsia="Arial" w:hAnsi="Arial" w:cs="Arial"/>
                <w:b/>
                <w:bCs/>
                <w:color w:val="FFFFFF"/>
                <w:sz w:val="20"/>
                <w:szCs w:val="20"/>
              </w:rPr>
              <w:t>Points</w:t>
            </w:r>
          </w:p>
        </w:tc>
        <w:tc>
          <w:tcPr>
            <w:tcW w:w="6360" w:type="dxa"/>
            <w:tcBorders>
              <w:top w:val="single" w:sz="1" w:space="0" w:color="444444"/>
              <w:left w:val="single" w:sz="1" w:space="0" w:color="444444"/>
              <w:bottom w:val="single" w:sz="1" w:space="0" w:color="444444"/>
              <w:right w:val="single" w:sz="1" w:space="0" w:color="444444"/>
            </w:tcBorders>
            <w:shd w:val="clear" w:color="auto" w:fill="2C3E50"/>
            <w:tcMar>
              <w:top w:w="80" w:type="dxa"/>
              <w:left w:w="120" w:type="dxa"/>
              <w:bottom w:w="80" w:type="dxa"/>
              <w:right w:w="120" w:type="dxa"/>
            </w:tcMar>
          </w:tcPr>
          <w:p w14:paraId="1A7CCE1E" w14:textId="77777777" w:rsidR="00A017F4" w:rsidRDefault="00000000">
            <w:r>
              <w:rPr>
                <w:rFonts w:ascii="Arial" w:eastAsia="Arial" w:hAnsi="Arial" w:cs="Arial"/>
                <w:b/>
                <w:bCs/>
                <w:color w:val="FFFFFF"/>
                <w:sz w:val="20"/>
                <w:szCs w:val="20"/>
              </w:rPr>
              <w:t>What It Means</w:t>
            </w:r>
          </w:p>
        </w:tc>
      </w:tr>
      <w:tr w:rsidR="00A017F4" w14:paraId="74A9FDE7" w14:textId="77777777">
        <w:tblPrEx>
          <w:tblCellMar>
            <w:top w:w="0" w:type="dxa"/>
            <w:bottom w:w="0" w:type="dxa"/>
          </w:tblCellMar>
        </w:tblPrEx>
        <w:tc>
          <w:tcPr>
            <w:tcW w:w="18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1FB1DE5C" w14:textId="77777777" w:rsidR="00A017F4" w:rsidRDefault="00000000">
            <w:r>
              <w:rPr>
                <w:color w:val="1A1A1A"/>
                <w:sz w:val="21"/>
                <w:szCs w:val="21"/>
              </w:rPr>
              <w:t>Below 0.75</w:t>
            </w:r>
          </w:p>
        </w:tc>
        <w:tc>
          <w:tcPr>
            <w:tcW w:w="12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05AC35C9" w14:textId="77777777" w:rsidR="00A017F4" w:rsidRDefault="00000000">
            <w:r>
              <w:rPr>
                <w:color w:val="1A1A1A"/>
                <w:sz w:val="21"/>
                <w:szCs w:val="21"/>
              </w:rPr>
              <w:t>10 pts</w:t>
            </w:r>
          </w:p>
        </w:tc>
        <w:tc>
          <w:tcPr>
            <w:tcW w:w="636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3A9802A3" w14:textId="77777777" w:rsidR="00A017F4" w:rsidRDefault="00000000">
            <w:r>
              <w:rPr>
                <w:color w:val="1A1A1A"/>
                <w:sz w:val="21"/>
                <w:szCs w:val="21"/>
              </w:rPr>
              <w:t>Growth significantly underpriced. Potential bargain.</w:t>
            </w:r>
          </w:p>
        </w:tc>
      </w:tr>
      <w:tr w:rsidR="00A017F4" w14:paraId="27E877A2" w14:textId="77777777">
        <w:tblPrEx>
          <w:tblCellMar>
            <w:top w:w="0" w:type="dxa"/>
            <w:bottom w:w="0" w:type="dxa"/>
          </w:tblCellMar>
        </w:tblPrEx>
        <w:tc>
          <w:tcPr>
            <w:tcW w:w="18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387E8D31" w14:textId="77777777" w:rsidR="00A017F4" w:rsidRDefault="00000000">
            <w:r>
              <w:rPr>
                <w:color w:val="1A1A1A"/>
                <w:sz w:val="21"/>
                <w:szCs w:val="21"/>
              </w:rPr>
              <w:t>0.75 to 1.0</w:t>
            </w:r>
          </w:p>
        </w:tc>
        <w:tc>
          <w:tcPr>
            <w:tcW w:w="12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69FB5775" w14:textId="77777777" w:rsidR="00A017F4" w:rsidRDefault="00000000">
            <w:r>
              <w:rPr>
                <w:color w:val="1A1A1A"/>
                <w:sz w:val="21"/>
                <w:szCs w:val="21"/>
              </w:rPr>
              <w:t>8 pts</w:t>
            </w:r>
          </w:p>
        </w:tc>
        <w:tc>
          <w:tcPr>
            <w:tcW w:w="636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6A57085B" w14:textId="77777777" w:rsidR="00A017F4" w:rsidRDefault="00000000">
            <w:r>
              <w:rPr>
                <w:color w:val="1A1A1A"/>
                <w:sz w:val="21"/>
                <w:szCs w:val="21"/>
              </w:rPr>
              <w:t>Fairly valued for the growth rate.</w:t>
            </w:r>
          </w:p>
        </w:tc>
      </w:tr>
      <w:tr w:rsidR="00A017F4" w14:paraId="4E798AB8" w14:textId="77777777">
        <w:tblPrEx>
          <w:tblCellMar>
            <w:top w:w="0" w:type="dxa"/>
            <w:bottom w:w="0" w:type="dxa"/>
          </w:tblCellMar>
        </w:tblPrEx>
        <w:tc>
          <w:tcPr>
            <w:tcW w:w="18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1C423CE6" w14:textId="77777777" w:rsidR="00A017F4" w:rsidRDefault="00000000">
            <w:r>
              <w:rPr>
                <w:color w:val="1A1A1A"/>
                <w:sz w:val="21"/>
                <w:szCs w:val="21"/>
              </w:rPr>
              <w:t>1.0 to 1.5</w:t>
            </w:r>
          </w:p>
        </w:tc>
        <w:tc>
          <w:tcPr>
            <w:tcW w:w="12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3426FC20" w14:textId="77777777" w:rsidR="00A017F4" w:rsidRDefault="00000000">
            <w:r>
              <w:rPr>
                <w:color w:val="1A1A1A"/>
                <w:sz w:val="21"/>
                <w:szCs w:val="21"/>
              </w:rPr>
              <w:t>5 pts</w:t>
            </w:r>
          </w:p>
        </w:tc>
        <w:tc>
          <w:tcPr>
            <w:tcW w:w="636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56A336C8" w14:textId="77777777" w:rsidR="00A017F4" w:rsidRDefault="00000000">
            <w:r>
              <w:rPr>
                <w:color w:val="1A1A1A"/>
                <w:sz w:val="21"/>
                <w:szCs w:val="21"/>
              </w:rPr>
              <w:t>Slightly expensive but not alarming.</w:t>
            </w:r>
          </w:p>
        </w:tc>
      </w:tr>
      <w:tr w:rsidR="00A017F4" w14:paraId="5502B287" w14:textId="77777777">
        <w:tblPrEx>
          <w:tblCellMar>
            <w:top w:w="0" w:type="dxa"/>
            <w:bottom w:w="0" w:type="dxa"/>
          </w:tblCellMar>
        </w:tblPrEx>
        <w:tc>
          <w:tcPr>
            <w:tcW w:w="18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27CB9C8C" w14:textId="77777777" w:rsidR="00A017F4" w:rsidRDefault="00000000">
            <w:r>
              <w:rPr>
                <w:color w:val="1A1A1A"/>
                <w:sz w:val="21"/>
                <w:szCs w:val="21"/>
              </w:rPr>
              <w:t>1.5 to 2.0</w:t>
            </w:r>
          </w:p>
        </w:tc>
        <w:tc>
          <w:tcPr>
            <w:tcW w:w="12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49416952" w14:textId="77777777" w:rsidR="00A017F4" w:rsidRDefault="00000000">
            <w:r>
              <w:rPr>
                <w:color w:val="1A1A1A"/>
                <w:sz w:val="21"/>
                <w:szCs w:val="21"/>
              </w:rPr>
              <w:t>2 pts</w:t>
            </w:r>
          </w:p>
        </w:tc>
        <w:tc>
          <w:tcPr>
            <w:tcW w:w="636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6D724D0C" w14:textId="77777777" w:rsidR="00A017F4" w:rsidRDefault="00000000">
            <w:r>
              <w:rPr>
                <w:color w:val="1A1A1A"/>
                <w:sz w:val="21"/>
                <w:szCs w:val="21"/>
              </w:rPr>
              <w:t>Overvalued for the growth on offer.</w:t>
            </w:r>
          </w:p>
        </w:tc>
      </w:tr>
      <w:tr w:rsidR="00A017F4" w14:paraId="0ECB29D1" w14:textId="77777777">
        <w:tblPrEx>
          <w:tblCellMar>
            <w:top w:w="0" w:type="dxa"/>
            <w:bottom w:w="0" w:type="dxa"/>
          </w:tblCellMar>
        </w:tblPrEx>
        <w:tc>
          <w:tcPr>
            <w:tcW w:w="18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6387D7E8" w14:textId="77777777" w:rsidR="00A017F4" w:rsidRDefault="00000000">
            <w:r>
              <w:rPr>
                <w:color w:val="1A1A1A"/>
                <w:sz w:val="21"/>
                <w:szCs w:val="21"/>
              </w:rPr>
              <w:t>Above 2.0</w:t>
            </w:r>
          </w:p>
        </w:tc>
        <w:tc>
          <w:tcPr>
            <w:tcW w:w="12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6D72CA93" w14:textId="77777777" w:rsidR="00A017F4" w:rsidRDefault="00000000">
            <w:r>
              <w:rPr>
                <w:color w:val="1A1A1A"/>
                <w:sz w:val="21"/>
                <w:szCs w:val="21"/>
              </w:rPr>
              <w:t>0 pts</w:t>
            </w:r>
          </w:p>
        </w:tc>
        <w:tc>
          <w:tcPr>
            <w:tcW w:w="636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67D26DCC" w14:textId="77777777" w:rsidR="00A017F4" w:rsidRDefault="00000000">
            <w:r>
              <w:rPr>
                <w:color w:val="1A1A1A"/>
                <w:sz w:val="21"/>
                <w:szCs w:val="21"/>
              </w:rPr>
              <w:t>Significantly overpriced for its growth.</w:t>
            </w:r>
          </w:p>
        </w:tc>
      </w:tr>
    </w:tbl>
    <w:p w14:paraId="230FF053" w14:textId="77777777" w:rsidR="00A017F4" w:rsidRDefault="00000000">
      <w:pPr>
        <w:spacing w:after="160"/>
      </w:pPr>
      <w:r>
        <w:rPr>
          <w:color w:val="1A1A1A"/>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17F4" w14:paraId="0AF5501C" w14:textId="77777777">
        <w:tblPrEx>
          <w:tblCellMar>
            <w:top w:w="0" w:type="dxa"/>
            <w:bottom w:w="0" w:type="dxa"/>
          </w:tblCellMar>
        </w:tblPrEx>
        <w:tc>
          <w:tcPr>
            <w:tcW w:w="9360" w:type="dxa"/>
            <w:tcBorders>
              <w:top w:val="single" w:sz="12" w:space="0" w:color="E6A817"/>
              <w:left w:val="single" w:sz="24" w:space="0" w:color="E6A817"/>
              <w:bottom w:val="single" w:sz="12" w:space="0" w:color="E6A817"/>
            </w:tcBorders>
            <w:shd w:val="clear" w:color="auto" w:fill="FFF3CD"/>
            <w:tcMar>
              <w:top w:w="120" w:type="dxa"/>
              <w:left w:w="160" w:type="dxa"/>
              <w:bottom w:w="120" w:type="dxa"/>
              <w:right w:w="160" w:type="dxa"/>
            </w:tcMar>
          </w:tcPr>
          <w:p w14:paraId="358358E0" w14:textId="77777777" w:rsidR="00A017F4" w:rsidRDefault="00000000">
            <w:r>
              <w:rPr>
                <w:i/>
                <w:iCs/>
                <w:color w:val="3D2B00"/>
                <w:sz w:val="21"/>
                <w:szCs w:val="21"/>
              </w:rPr>
              <w:t>Example: Stock A has a P/E of 30 and grows earnings at 30% per year. PEG = 1.0. Fair. Stock B has a P/E of 30 but only grows at 10% per year. PEG = 3.0. Very expensive for what you get. Stock C has a P/E of 20 and grows at 40% per year. PEG = 0.5. Potentially undervalued!</w:t>
            </w:r>
          </w:p>
        </w:tc>
      </w:tr>
    </w:tbl>
    <w:p w14:paraId="000F07A2" w14:textId="77777777" w:rsidR="00A017F4" w:rsidRDefault="00000000">
      <w:pPr>
        <w:spacing w:after="160"/>
      </w:pPr>
      <w:r>
        <w:rPr>
          <w:color w:val="1A1A1A"/>
        </w:rPr>
        <w:t xml:space="preserve"> </w:t>
      </w:r>
    </w:p>
    <w:p w14:paraId="5BA493F0" w14:textId="77777777" w:rsidR="00A017F4" w:rsidRDefault="00000000">
      <w:pPr>
        <w:spacing w:after="160"/>
      </w:pPr>
      <w:r>
        <w:rPr>
          <w:color w:val="1A1A1A"/>
        </w:rPr>
        <w:t xml:space="preserve">This metric was popularised by Peter Lynch, the legendary fund manager of Fidelity’s Magellan Fund who returned ~29% annually over 13 years. His rule: </w:t>
      </w:r>
      <w:r>
        <w:rPr>
          <w:b/>
          <w:bCs/>
          <w:color w:val="1A1A1A"/>
        </w:rPr>
        <w:t>PEG below 1 = potentially undervalued; above 2 = potentially overvalued</w:t>
      </w:r>
      <w:r>
        <w:rPr>
          <w:color w:val="1A1A1A"/>
        </w:rPr>
        <w:t>.</w:t>
      </w:r>
    </w:p>
    <w:p w14:paraId="53CC3FF8" w14:textId="77777777" w:rsidR="00A017F4" w:rsidRDefault="00A017F4">
      <w:pPr>
        <w:pageBreakBefore/>
      </w:pPr>
    </w:p>
    <w:p w14:paraId="5DBEF624" w14:textId="77777777" w:rsidR="00A017F4" w:rsidRDefault="00000000">
      <w:pPr>
        <w:pStyle w:val="Heading2"/>
      </w:pPr>
      <w:r>
        <w:t>Block 3 — Momentum (30 points)</w:t>
      </w:r>
    </w:p>
    <w:p w14:paraId="01F5B63F" w14:textId="77777777" w:rsidR="00A017F4" w:rsidRDefault="00000000">
      <w:pPr>
        <w:spacing w:after="160"/>
      </w:pPr>
      <w:r>
        <w:rPr>
          <w:color w:val="1A1A1A"/>
        </w:rPr>
        <w:t xml:space="preserve">This block asks: </w:t>
      </w:r>
      <w:r>
        <w:rPr>
          <w:b/>
          <w:bCs/>
          <w:color w:val="1A1A1A"/>
        </w:rPr>
        <w:t>is the market already agreeing with our fundamental view?</w:t>
      </w:r>
      <w:r>
        <w:rPr>
          <w:color w:val="1A1A1A"/>
        </w:rPr>
        <w:t xml:space="preserve"> We don’t just look at whether the stock rose — we look at whether it outperformed the Nifty 50 index itself.</w:t>
      </w:r>
    </w:p>
    <w:p w14:paraId="4A5D4955" w14:textId="77777777" w:rsidR="00A017F4" w:rsidRDefault="00000000">
      <w:pPr>
        <w:spacing w:after="160"/>
      </w:pPr>
      <w:r>
        <w:rPr>
          <w:color w:val="1A1A1A"/>
        </w:rPr>
        <w:t xml:space="preserve"> </w:t>
      </w:r>
    </w:p>
    <w:p w14:paraId="77D30F6E" w14:textId="77777777" w:rsidR="00A017F4" w:rsidRDefault="00000000">
      <w:pPr>
        <w:spacing w:after="160"/>
      </w:pPr>
      <w:r>
        <w:rPr>
          <w:color w:val="1A1A1A"/>
        </w:rPr>
        <w:t xml:space="preserve">This is called </w:t>
      </w:r>
      <w:r>
        <w:rPr>
          <w:b/>
          <w:bCs/>
          <w:color w:val="1A1A1A"/>
        </w:rPr>
        <w:t>relative return</w:t>
      </w:r>
      <w:r>
        <w:rPr>
          <w:color w:val="1A1A1A"/>
        </w:rPr>
        <w:t>. If the Nifty rose 5% in 3 months and the stock rose 9%, the relative return is +4%. The stock beat the index by 4 percentage points.</w:t>
      </w:r>
    </w:p>
    <w:p w14:paraId="7703DFBA" w14:textId="77777777" w:rsidR="00A017F4" w:rsidRDefault="00000000">
      <w:pPr>
        <w:spacing w:after="160"/>
      </w:pPr>
      <w:r>
        <w:rPr>
          <w:color w:val="1A1A1A"/>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5360"/>
      </w:tblGrid>
      <w:tr w:rsidR="00A017F4" w14:paraId="6629E211" w14:textId="77777777">
        <w:tblPrEx>
          <w:tblCellMar>
            <w:top w:w="0" w:type="dxa"/>
            <w:bottom w:w="0" w:type="dxa"/>
          </w:tblCellMar>
        </w:tblPrEx>
        <w:tc>
          <w:tcPr>
            <w:tcW w:w="2600" w:type="dxa"/>
            <w:tcBorders>
              <w:top w:val="single" w:sz="1" w:space="0" w:color="444444"/>
              <w:left w:val="single" w:sz="1" w:space="0" w:color="444444"/>
              <w:bottom w:val="single" w:sz="1" w:space="0" w:color="444444"/>
              <w:right w:val="single" w:sz="1" w:space="0" w:color="444444"/>
            </w:tcBorders>
            <w:shd w:val="clear" w:color="auto" w:fill="2C3E50"/>
            <w:tcMar>
              <w:top w:w="80" w:type="dxa"/>
              <w:left w:w="120" w:type="dxa"/>
              <w:bottom w:w="80" w:type="dxa"/>
              <w:right w:w="120" w:type="dxa"/>
            </w:tcMar>
          </w:tcPr>
          <w:p w14:paraId="6AAACAA5" w14:textId="77777777" w:rsidR="00A017F4" w:rsidRDefault="00000000">
            <w:r>
              <w:rPr>
                <w:rFonts w:ascii="Arial" w:eastAsia="Arial" w:hAnsi="Arial" w:cs="Arial"/>
                <w:b/>
                <w:bCs/>
                <w:color w:val="FFFFFF"/>
                <w:sz w:val="20"/>
                <w:szCs w:val="20"/>
              </w:rPr>
              <w:t>Period</w:t>
            </w:r>
          </w:p>
        </w:tc>
        <w:tc>
          <w:tcPr>
            <w:tcW w:w="1400" w:type="dxa"/>
            <w:tcBorders>
              <w:top w:val="single" w:sz="1" w:space="0" w:color="444444"/>
              <w:left w:val="single" w:sz="1" w:space="0" w:color="444444"/>
              <w:bottom w:val="single" w:sz="1" w:space="0" w:color="444444"/>
              <w:right w:val="single" w:sz="1" w:space="0" w:color="444444"/>
            </w:tcBorders>
            <w:shd w:val="clear" w:color="auto" w:fill="2C3E50"/>
            <w:tcMar>
              <w:top w:w="80" w:type="dxa"/>
              <w:left w:w="120" w:type="dxa"/>
              <w:bottom w:w="80" w:type="dxa"/>
              <w:right w:w="120" w:type="dxa"/>
            </w:tcMar>
          </w:tcPr>
          <w:p w14:paraId="352D0152" w14:textId="77777777" w:rsidR="00A017F4" w:rsidRDefault="00000000">
            <w:r>
              <w:rPr>
                <w:rFonts w:ascii="Arial" w:eastAsia="Arial" w:hAnsi="Arial" w:cs="Arial"/>
                <w:b/>
                <w:bCs/>
                <w:color w:val="FFFFFF"/>
                <w:sz w:val="20"/>
                <w:szCs w:val="20"/>
              </w:rPr>
              <w:t>Points</w:t>
            </w:r>
          </w:p>
        </w:tc>
        <w:tc>
          <w:tcPr>
            <w:tcW w:w="5360" w:type="dxa"/>
            <w:tcBorders>
              <w:top w:val="single" w:sz="1" w:space="0" w:color="444444"/>
              <w:left w:val="single" w:sz="1" w:space="0" w:color="444444"/>
              <w:bottom w:val="single" w:sz="1" w:space="0" w:color="444444"/>
              <w:right w:val="single" w:sz="1" w:space="0" w:color="444444"/>
            </w:tcBorders>
            <w:shd w:val="clear" w:color="auto" w:fill="2C3E50"/>
            <w:tcMar>
              <w:top w:w="80" w:type="dxa"/>
              <w:left w:w="120" w:type="dxa"/>
              <w:bottom w:w="80" w:type="dxa"/>
              <w:right w:w="120" w:type="dxa"/>
            </w:tcMar>
          </w:tcPr>
          <w:p w14:paraId="1A98776A" w14:textId="77777777" w:rsidR="00A017F4" w:rsidRDefault="00000000">
            <w:r>
              <w:rPr>
                <w:rFonts w:ascii="Arial" w:eastAsia="Arial" w:hAnsi="Arial" w:cs="Arial"/>
                <w:b/>
                <w:bCs/>
                <w:color w:val="FFFFFF"/>
                <w:sz w:val="20"/>
                <w:szCs w:val="20"/>
              </w:rPr>
              <w:t>Scoring</w:t>
            </w:r>
          </w:p>
        </w:tc>
      </w:tr>
      <w:tr w:rsidR="00A017F4" w14:paraId="00500083" w14:textId="77777777">
        <w:tblPrEx>
          <w:tblCellMar>
            <w:top w:w="0" w:type="dxa"/>
            <w:bottom w:w="0" w:type="dxa"/>
          </w:tblCellMar>
        </w:tblPrEx>
        <w:tc>
          <w:tcPr>
            <w:tcW w:w="26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6FD287BB" w14:textId="77777777" w:rsidR="00A017F4" w:rsidRDefault="00000000">
            <w:r>
              <w:rPr>
                <w:color w:val="1A1A1A"/>
                <w:sz w:val="21"/>
                <w:szCs w:val="21"/>
              </w:rPr>
              <w:t>6-Month Relative Return</w:t>
            </w:r>
          </w:p>
        </w:tc>
        <w:tc>
          <w:tcPr>
            <w:tcW w:w="14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7AADFDCD" w14:textId="77777777" w:rsidR="00A017F4" w:rsidRDefault="00000000">
            <w:r>
              <w:rPr>
                <w:color w:val="1A1A1A"/>
                <w:sz w:val="21"/>
                <w:szCs w:val="21"/>
              </w:rPr>
              <w:t>15 pts</w:t>
            </w:r>
          </w:p>
        </w:tc>
        <w:tc>
          <w:tcPr>
            <w:tcW w:w="536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7FEE9ED3" w14:textId="77777777" w:rsidR="00A017F4" w:rsidRDefault="00000000">
            <w:r>
              <w:rPr>
                <w:color w:val="1A1A1A"/>
                <w:sz w:val="21"/>
                <w:szCs w:val="21"/>
              </w:rPr>
              <w:t>&gt;10% above Nifty = 15 — 5–10% = 11 — 0–5% = 7 — Below = 0</w:t>
            </w:r>
          </w:p>
        </w:tc>
      </w:tr>
      <w:tr w:rsidR="00A017F4" w14:paraId="297F167F" w14:textId="77777777">
        <w:tblPrEx>
          <w:tblCellMar>
            <w:top w:w="0" w:type="dxa"/>
            <w:bottom w:w="0" w:type="dxa"/>
          </w:tblCellMar>
        </w:tblPrEx>
        <w:tc>
          <w:tcPr>
            <w:tcW w:w="26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18305ECF" w14:textId="77777777" w:rsidR="00A017F4" w:rsidRDefault="00000000">
            <w:r>
              <w:rPr>
                <w:color w:val="1A1A1A"/>
                <w:sz w:val="21"/>
                <w:szCs w:val="21"/>
              </w:rPr>
              <w:t>3-Month Relative Return</w:t>
            </w:r>
          </w:p>
        </w:tc>
        <w:tc>
          <w:tcPr>
            <w:tcW w:w="14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12B1EE0A" w14:textId="77777777" w:rsidR="00A017F4" w:rsidRDefault="00000000">
            <w:r>
              <w:rPr>
                <w:color w:val="1A1A1A"/>
                <w:sz w:val="21"/>
                <w:szCs w:val="21"/>
              </w:rPr>
              <w:t>10 pts</w:t>
            </w:r>
          </w:p>
        </w:tc>
        <w:tc>
          <w:tcPr>
            <w:tcW w:w="536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4F05B860" w14:textId="77777777" w:rsidR="00A017F4" w:rsidRDefault="00000000">
            <w:r>
              <w:rPr>
                <w:color w:val="1A1A1A"/>
                <w:sz w:val="21"/>
                <w:szCs w:val="21"/>
              </w:rPr>
              <w:t>&gt;5% above Nifty = 10 — 0–5% = 6 — Below = 0</w:t>
            </w:r>
          </w:p>
        </w:tc>
      </w:tr>
      <w:tr w:rsidR="00A017F4" w14:paraId="3B08E83D" w14:textId="77777777">
        <w:tblPrEx>
          <w:tblCellMar>
            <w:top w:w="0" w:type="dxa"/>
            <w:bottom w:w="0" w:type="dxa"/>
          </w:tblCellMar>
        </w:tblPrEx>
        <w:tc>
          <w:tcPr>
            <w:tcW w:w="26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0B8EC71A" w14:textId="77777777" w:rsidR="00A017F4" w:rsidRDefault="00000000">
            <w:r>
              <w:rPr>
                <w:color w:val="1A1A1A"/>
                <w:sz w:val="21"/>
                <w:szCs w:val="21"/>
              </w:rPr>
              <w:t>1-Month Relative Return</w:t>
            </w:r>
          </w:p>
        </w:tc>
        <w:tc>
          <w:tcPr>
            <w:tcW w:w="14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7F78F66D" w14:textId="77777777" w:rsidR="00A017F4" w:rsidRDefault="00000000">
            <w:r>
              <w:rPr>
                <w:color w:val="1A1A1A"/>
                <w:sz w:val="21"/>
                <w:szCs w:val="21"/>
              </w:rPr>
              <w:t>5 pts</w:t>
            </w:r>
          </w:p>
        </w:tc>
        <w:tc>
          <w:tcPr>
            <w:tcW w:w="536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5E92A676" w14:textId="77777777" w:rsidR="00A017F4" w:rsidRDefault="00000000">
            <w:r>
              <w:rPr>
                <w:color w:val="1A1A1A"/>
                <w:sz w:val="21"/>
                <w:szCs w:val="21"/>
              </w:rPr>
              <w:t>Above Nifty = 5 — Below = 0</w:t>
            </w:r>
          </w:p>
        </w:tc>
      </w:tr>
    </w:tbl>
    <w:p w14:paraId="5FC25129" w14:textId="77777777" w:rsidR="00A017F4" w:rsidRDefault="00000000">
      <w:pPr>
        <w:spacing w:after="160"/>
      </w:pPr>
      <w:r>
        <w:rPr>
          <w:color w:val="1A1A1A"/>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17F4" w14:paraId="5C072495" w14:textId="77777777">
        <w:tblPrEx>
          <w:tblCellMar>
            <w:top w:w="0" w:type="dxa"/>
            <w:bottom w:w="0" w:type="dxa"/>
          </w:tblCellMar>
        </w:tblPrEx>
        <w:tc>
          <w:tcPr>
            <w:tcW w:w="9360" w:type="dxa"/>
            <w:tcBorders>
              <w:top w:val="single" w:sz="12" w:space="0" w:color="E6A817"/>
              <w:left w:val="single" w:sz="24" w:space="0" w:color="E6A817"/>
              <w:bottom w:val="single" w:sz="12" w:space="0" w:color="E6A817"/>
            </w:tcBorders>
            <w:shd w:val="clear" w:color="auto" w:fill="FFF3CD"/>
            <w:tcMar>
              <w:top w:w="120" w:type="dxa"/>
              <w:left w:w="160" w:type="dxa"/>
              <w:bottom w:w="120" w:type="dxa"/>
              <w:right w:w="160" w:type="dxa"/>
            </w:tcMar>
          </w:tcPr>
          <w:p w14:paraId="3CB08C67" w14:textId="77777777" w:rsidR="00A017F4" w:rsidRDefault="00000000">
            <w:r>
              <w:rPr>
                <w:i/>
                <w:iCs/>
                <w:color w:val="3D2B00"/>
                <w:sz w:val="21"/>
                <w:szCs w:val="21"/>
              </w:rPr>
              <w:t>Analogy: Imagine you’re a selector for the Indian cricket team. You don’t just want players with good batting averages (fundamentals). You also want players who are in current form — scoring runs in the last 3 matches, not 5 years ago. That recent performance data tells you who is mentally in the zone right now. Momentum works the same way for stocks.</w:t>
            </w:r>
          </w:p>
        </w:tc>
      </w:tr>
    </w:tbl>
    <w:p w14:paraId="191347D1" w14:textId="77777777" w:rsidR="00A017F4" w:rsidRDefault="00000000">
      <w:pPr>
        <w:spacing w:after="160"/>
      </w:pPr>
      <w:r>
        <w:rPr>
          <w:color w:val="1A1A1A"/>
        </w:rPr>
        <w:t xml:space="preserve"> </w:t>
      </w:r>
    </w:p>
    <w:p w14:paraId="13B6CEAE" w14:textId="77777777" w:rsidR="00A017F4" w:rsidRDefault="00000000">
      <w:pPr>
        <w:spacing w:after="160"/>
      </w:pPr>
      <w:r>
        <w:rPr>
          <w:b/>
          <w:bCs/>
          <w:color w:val="1A1A1A"/>
        </w:rPr>
        <w:t xml:space="preserve">Why does momentum work? </w:t>
      </w:r>
      <w:r>
        <w:rPr>
          <w:color w:val="1A1A1A"/>
        </w:rPr>
        <w:t xml:space="preserve">Academic research across 20+ years of global markets shows that stocks which have outperformed the market over 3–12 months tend to </w:t>
      </w:r>
      <w:r>
        <w:rPr>
          <w:b/>
          <w:bCs/>
          <w:color w:val="1A1A1A"/>
        </w:rPr>
        <w:t>continue outperforming</w:t>
      </w:r>
      <w:r>
        <w:rPr>
          <w:color w:val="1A1A1A"/>
        </w:rPr>
        <w:t xml:space="preserve"> for the next 3–12 months. This is known as the “momentum anomaly.” It exists because information travels slowly — institutional investors (large funds) gradually build positions in good companies, which keeps pushing prices up.</w:t>
      </w:r>
    </w:p>
    <w:p w14:paraId="6723B410" w14:textId="77777777" w:rsidR="00A017F4" w:rsidRDefault="00000000">
      <w:pPr>
        <w:spacing w:after="160"/>
      </w:pPr>
      <w:r>
        <w:rPr>
          <w:color w:val="1A1A1A"/>
        </w:rPr>
        <w:t xml:space="preserve"> </w:t>
      </w:r>
    </w:p>
    <w:p w14:paraId="5FBFB542" w14:textId="77777777" w:rsidR="00A017F4" w:rsidRDefault="00000000">
      <w:pPr>
        <w:spacing w:after="160"/>
      </w:pPr>
      <w:r>
        <w:rPr>
          <w:color w:val="1A1A1A"/>
        </w:rPr>
        <w:t>You’re not trying to predict reversals. You’re riding confirmed trends in businesses that are also fundamentally strong. It’s validation, not speculation.</w:t>
      </w:r>
    </w:p>
    <w:p w14:paraId="589990F2" w14:textId="77777777" w:rsidR="00A017F4" w:rsidRDefault="00A017F4">
      <w:pPr>
        <w:pBdr>
          <w:bottom w:val="single" w:sz="4" w:space="1" w:color="DDDDDD"/>
        </w:pBdr>
        <w:spacing w:before="200" w:after="200"/>
      </w:pPr>
    </w:p>
    <w:p w14:paraId="165A8A4E" w14:textId="77777777" w:rsidR="00A017F4" w:rsidRDefault="00A017F4">
      <w:pPr>
        <w:pageBreakBefore/>
      </w:pPr>
    </w:p>
    <w:p w14:paraId="2A788583" w14:textId="77777777" w:rsidR="00A017F4" w:rsidRDefault="00000000">
      <w:pPr>
        <w:pStyle w:val="Heading1"/>
      </w:pPr>
      <w:r>
        <w:t>3. The EPS Adjustment — Why We Clean the Numbers</w:t>
      </w:r>
    </w:p>
    <w:p w14:paraId="6CA6CEC0" w14:textId="77777777" w:rsidR="00A017F4" w:rsidRDefault="00000000">
      <w:pPr>
        <w:spacing w:after="160"/>
      </w:pPr>
      <w:r>
        <w:rPr>
          <w:color w:val="1A1A1A"/>
        </w:rPr>
        <w:t>Before using any EPS numbers, we clean them. This is one of the most important and sophisticated parts of the model. Here’s why it matters.</w:t>
      </w:r>
    </w:p>
    <w:p w14:paraId="5656859F" w14:textId="77777777" w:rsidR="00A017F4" w:rsidRDefault="00000000">
      <w:pPr>
        <w:spacing w:after="160"/>
      </w:pPr>
      <w:r>
        <w:rPr>
          <w:color w:val="1A1A1A"/>
        </w:rPr>
        <w:t xml:space="preserve"> </w:t>
      </w:r>
    </w:p>
    <w:p w14:paraId="505117ED" w14:textId="77777777" w:rsidR="00A017F4" w:rsidRDefault="00000000">
      <w:pPr>
        <w:pStyle w:val="Heading2"/>
      </w:pPr>
      <w:r>
        <w:t>The Problem: Dirty EPS</w:t>
      </w:r>
    </w:p>
    <w:p w14:paraId="520FBFE7" w14:textId="77777777" w:rsidR="00A017F4" w:rsidRDefault="00000000">
      <w:pPr>
        <w:spacing w:after="160"/>
      </w:pPr>
      <w:r>
        <w:rPr>
          <w:color w:val="1A1A1A"/>
        </w:rPr>
        <w:t xml:space="preserve">The EPS number that Yahoo Finance gives you — and the number most newspapers report — is </w:t>
      </w:r>
      <w:r>
        <w:rPr>
          <w:b/>
          <w:bCs/>
          <w:color w:val="1A1A1A"/>
        </w:rPr>
        <w:t>reported EPS</w:t>
      </w:r>
      <w:r>
        <w:rPr>
          <w:color w:val="1A1A1A"/>
        </w:rPr>
        <w:t>. It includes one-time events that distort the picture.</w:t>
      </w:r>
    </w:p>
    <w:p w14:paraId="4141F4D5" w14:textId="77777777" w:rsidR="00A017F4" w:rsidRDefault="00000000">
      <w:pPr>
        <w:spacing w:after="160"/>
      </w:pPr>
      <w:r>
        <w:rPr>
          <w:color w:val="1A1A1A"/>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17F4" w14:paraId="19807B26" w14:textId="77777777">
        <w:tblPrEx>
          <w:tblCellMar>
            <w:top w:w="0" w:type="dxa"/>
            <w:bottom w:w="0" w:type="dxa"/>
          </w:tblCellMar>
        </w:tblPrEx>
        <w:tc>
          <w:tcPr>
            <w:tcW w:w="9360" w:type="dxa"/>
            <w:tcBorders>
              <w:top w:val="single" w:sz="12" w:space="0" w:color="E6A817"/>
              <w:left w:val="single" w:sz="24" w:space="0" w:color="E6A817"/>
              <w:bottom w:val="single" w:sz="12" w:space="0" w:color="E6A817"/>
            </w:tcBorders>
            <w:shd w:val="clear" w:color="auto" w:fill="FFF3CD"/>
            <w:tcMar>
              <w:top w:w="120" w:type="dxa"/>
              <w:left w:w="160" w:type="dxa"/>
              <w:bottom w:w="120" w:type="dxa"/>
              <w:right w:w="160" w:type="dxa"/>
            </w:tcMar>
          </w:tcPr>
          <w:p w14:paraId="1A5A6925" w14:textId="77777777" w:rsidR="00A017F4" w:rsidRDefault="00000000">
            <w:r>
              <w:rPr>
                <w:i/>
                <w:iCs/>
                <w:color w:val="3D2B00"/>
                <w:sz w:val="21"/>
                <w:szCs w:val="21"/>
              </w:rPr>
              <w:t>Example: Tata Motors sells a factory it owns and books a ₹800 crore one-time profit. That inflates EPS this year. You might think “wow, earnings are growing!” but it’s a fluke. Next year, that profit disappears and EPS suddenly “drops.” The business didn’t change — the accounting created a false signal.</w:t>
            </w:r>
          </w:p>
        </w:tc>
      </w:tr>
    </w:tbl>
    <w:p w14:paraId="710117F3" w14:textId="77777777" w:rsidR="00A017F4" w:rsidRDefault="00000000">
      <w:pPr>
        <w:spacing w:after="160"/>
      </w:pPr>
      <w:r>
        <w:rPr>
          <w:color w:val="1A1A1A"/>
        </w:rPr>
        <w:t xml:space="preserve"> </w:t>
      </w:r>
    </w:p>
    <w:p w14:paraId="5200B97E" w14:textId="77777777" w:rsidR="00A017F4" w:rsidRDefault="00000000">
      <w:pPr>
        <w:spacing w:after="160"/>
      </w:pPr>
      <w:r>
        <w:rPr>
          <w:color w:val="1A1A1A"/>
        </w:rPr>
        <w:t xml:space="preserve">These one-time items are called </w:t>
      </w:r>
      <w:r>
        <w:rPr>
          <w:b/>
          <w:bCs/>
          <w:color w:val="1A1A1A"/>
        </w:rPr>
        <w:t>exceptional items</w:t>
      </w:r>
      <w:r>
        <w:rPr>
          <w:color w:val="1A1A1A"/>
        </w:rPr>
        <w:t xml:space="preserve"> or </w:t>
      </w:r>
      <w:r>
        <w:rPr>
          <w:b/>
          <w:bCs/>
          <w:color w:val="1A1A1A"/>
        </w:rPr>
        <w:t>unusual items</w:t>
      </w:r>
      <w:r>
        <w:rPr>
          <w:color w:val="1A1A1A"/>
        </w:rPr>
        <w:t xml:space="preserve"> in accounting. They could be:</w:t>
      </w:r>
    </w:p>
    <w:p w14:paraId="00D8E620" w14:textId="77777777" w:rsidR="00A017F4" w:rsidRDefault="00000000">
      <w:pPr>
        <w:pStyle w:val="ListParagraph"/>
        <w:numPr>
          <w:ilvl w:val="0"/>
          <w:numId w:val="2"/>
        </w:numPr>
        <w:spacing w:before="60" w:after="60"/>
      </w:pPr>
      <w:r>
        <w:rPr>
          <w:color w:val="1A1A1A"/>
        </w:rPr>
        <w:t>Profit from selling a division or factory</w:t>
      </w:r>
    </w:p>
    <w:p w14:paraId="1C011AD1" w14:textId="77777777" w:rsidR="00A017F4" w:rsidRDefault="00000000">
      <w:pPr>
        <w:pStyle w:val="ListParagraph"/>
        <w:numPr>
          <w:ilvl w:val="0"/>
          <w:numId w:val="2"/>
        </w:numPr>
        <w:spacing w:before="60" w:after="60"/>
      </w:pPr>
      <w:r>
        <w:rPr>
          <w:color w:val="1A1A1A"/>
        </w:rPr>
        <w:t>Cost of a legal settlement</w:t>
      </w:r>
    </w:p>
    <w:p w14:paraId="716E7873" w14:textId="77777777" w:rsidR="00A017F4" w:rsidRDefault="00000000">
      <w:pPr>
        <w:pStyle w:val="ListParagraph"/>
        <w:numPr>
          <w:ilvl w:val="0"/>
          <w:numId w:val="2"/>
        </w:numPr>
        <w:spacing w:before="60" w:after="60"/>
      </w:pPr>
      <w:r>
        <w:rPr>
          <w:color w:val="1A1A1A"/>
        </w:rPr>
        <w:t>Write-down of an asset’s value</w:t>
      </w:r>
    </w:p>
    <w:p w14:paraId="360FC5C8" w14:textId="77777777" w:rsidR="00A017F4" w:rsidRDefault="00000000">
      <w:pPr>
        <w:pStyle w:val="ListParagraph"/>
        <w:numPr>
          <w:ilvl w:val="0"/>
          <w:numId w:val="2"/>
        </w:numPr>
        <w:spacing w:before="60" w:after="60"/>
      </w:pPr>
      <w:r>
        <w:rPr>
          <w:color w:val="1A1A1A"/>
        </w:rPr>
        <w:t>One-time restructuring charges</w:t>
      </w:r>
    </w:p>
    <w:p w14:paraId="16235E67" w14:textId="77777777" w:rsidR="00A017F4" w:rsidRDefault="00000000">
      <w:pPr>
        <w:spacing w:after="160"/>
      </w:pPr>
      <w:r>
        <w:rPr>
          <w:color w:val="1A1A1A"/>
        </w:rPr>
        <w:t xml:space="preserve"> </w:t>
      </w:r>
    </w:p>
    <w:p w14:paraId="65E9599A" w14:textId="77777777" w:rsidR="00A017F4" w:rsidRDefault="00000000">
      <w:pPr>
        <w:spacing w:after="160"/>
      </w:pPr>
      <w:r>
        <w:rPr>
          <w:color w:val="1A1A1A"/>
        </w:rPr>
        <w:t>If we use raw EPS that includes these, our scoring model gives false signals. High score one year because of a one-off sale, low score the next — even though the underlying business didn’t change.</w:t>
      </w:r>
    </w:p>
    <w:p w14:paraId="441F4E06" w14:textId="77777777" w:rsidR="00A017F4" w:rsidRDefault="00000000">
      <w:pPr>
        <w:spacing w:after="160"/>
      </w:pPr>
      <w:r>
        <w:rPr>
          <w:color w:val="1A1A1A"/>
        </w:rPr>
        <w:t xml:space="preserve"> </w:t>
      </w:r>
    </w:p>
    <w:p w14:paraId="0001174C" w14:textId="77777777" w:rsidR="00A017F4" w:rsidRDefault="00000000">
      <w:pPr>
        <w:pStyle w:val="Heading2"/>
      </w:pPr>
      <w:r>
        <w:t>The Fix: Adjusted EPS</w:t>
      </w:r>
    </w:p>
    <w:p w14:paraId="44E76D4A" w14:textId="77777777" w:rsidR="00A017F4" w:rsidRDefault="00000000">
      <w:pPr>
        <w:spacing w:after="160"/>
      </w:pPr>
      <w:r>
        <w:rPr>
          <w:color w:val="1A1A1A"/>
        </w:rPr>
        <w:t>We strip out exceptional items using this formula:</w:t>
      </w:r>
    </w:p>
    <w:p w14:paraId="7D588FF0" w14:textId="77777777" w:rsidR="00A017F4" w:rsidRDefault="00000000">
      <w:pPr>
        <w:spacing w:after="160"/>
      </w:pPr>
      <w:r>
        <w:rPr>
          <w:color w:val="1A1A1A"/>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3927"/>
        <w:gridCol w:w="4759"/>
      </w:tblGrid>
      <w:tr w:rsidR="00A017F4" w14:paraId="657ECAA7" w14:textId="77777777">
        <w:tblPrEx>
          <w:tblCellMar>
            <w:top w:w="0" w:type="dxa"/>
            <w:bottom w:w="0" w:type="dxa"/>
          </w:tblCellMar>
        </w:tblPrEx>
        <w:tc>
          <w:tcPr>
            <w:tcW w:w="600" w:type="dxa"/>
            <w:tcBorders>
              <w:top w:val="single" w:sz="1" w:space="0" w:color="444444"/>
              <w:left w:val="single" w:sz="1" w:space="0" w:color="444444"/>
              <w:bottom w:val="single" w:sz="1" w:space="0" w:color="444444"/>
              <w:right w:val="single" w:sz="1" w:space="0" w:color="444444"/>
            </w:tcBorders>
            <w:shd w:val="clear" w:color="auto" w:fill="2C3E50"/>
            <w:tcMar>
              <w:top w:w="80" w:type="dxa"/>
              <w:left w:w="120" w:type="dxa"/>
              <w:bottom w:w="80" w:type="dxa"/>
              <w:right w:w="120" w:type="dxa"/>
            </w:tcMar>
          </w:tcPr>
          <w:p w14:paraId="4996F302" w14:textId="77777777" w:rsidR="00A017F4" w:rsidRDefault="00000000">
            <w:r>
              <w:rPr>
                <w:rFonts w:ascii="Arial" w:eastAsia="Arial" w:hAnsi="Arial" w:cs="Arial"/>
                <w:b/>
                <w:bCs/>
                <w:color w:val="FFFFFF"/>
                <w:sz w:val="20"/>
                <w:szCs w:val="20"/>
              </w:rPr>
              <w:t>Step</w:t>
            </w:r>
          </w:p>
        </w:tc>
        <w:tc>
          <w:tcPr>
            <w:tcW w:w="3960" w:type="dxa"/>
            <w:tcBorders>
              <w:top w:val="single" w:sz="1" w:space="0" w:color="444444"/>
              <w:left w:val="single" w:sz="1" w:space="0" w:color="444444"/>
              <w:bottom w:val="single" w:sz="1" w:space="0" w:color="444444"/>
              <w:right w:val="single" w:sz="1" w:space="0" w:color="444444"/>
            </w:tcBorders>
            <w:shd w:val="clear" w:color="auto" w:fill="2C3E50"/>
            <w:tcMar>
              <w:top w:w="80" w:type="dxa"/>
              <w:left w:w="120" w:type="dxa"/>
              <w:bottom w:w="80" w:type="dxa"/>
              <w:right w:w="120" w:type="dxa"/>
            </w:tcMar>
          </w:tcPr>
          <w:p w14:paraId="3EF56147" w14:textId="77777777" w:rsidR="00A017F4" w:rsidRDefault="00000000">
            <w:r>
              <w:rPr>
                <w:rFonts w:ascii="Arial" w:eastAsia="Arial" w:hAnsi="Arial" w:cs="Arial"/>
                <w:b/>
                <w:bCs/>
                <w:color w:val="FFFFFF"/>
                <w:sz w:val="20"/>
                <w:szCs w:val="20"/>
              </w:rPr>
              <w:t>What We Do</w:t>
            </w:r>
          </w:p>
        </w:tc>
        <w:tc>
          <w:tcPr>
            <w:tcW w:w="4800" w:type="dxa"/>
            <w:tcBorders>
              <w:top w:val="single" w:sz="1" w:space="0" w:color="444444"/>
              <w:left w:val="single" w:sz="1" w:space="0" w:color="444444"/>
              <w:bottom w:val="single" w:sz="1" w:space="0" w:color="444444"/>
              <w:right w:val="single" w:sz="1" w:space="0" w:color="444444"/>
            </w:tcBorders>
            <w:shd w:val="clear" w:color="auto" w:fill="2C3E50"/>
            <w:tcMar>
              <w:top w:w="80" w:type="dxa"/>
              <w:left w:w="120" w:type="dxa"/>
              <w:bottom w:w="80" w:type="dxa"/>
              <w:right w:w="120" w:type="dxa"/>
            </w:tcMar>
          </w:tcPr>
          <w:p w14:paraId="66A1BA8E" w14:textId="77777777" w:rsidR="00A017F4" w:rsidRDefault="00000000">
            <w:r>
              <w:rPr>
                <w:rFonts w:ascii="Arial" w:eastAsia="Arial" w:hAnsi="Arial" w:cs="Arial"/>
                <w:b/>
                <w:bCs/>
                <w:color w:val="FFFFFF"/>
                <w:sz w:val="20"/>
                <w:szCs w:val="20"/>
              </w:rPr>
              <w:t>Why</w:t>
            </w:r>
          </w:p>
        </w:tc>
      </w:tr>
      <w:tr w:rsidR="00A017F4" w14:paraId="59DA7213" w14:textId="77777777">
        <w:tblPrEx>
          <w:tblCellMar>
            <w:top w:w="0" w:type="dxa"/>
            <w:bottom w:w="0" w:type="dxa"/>
          </w:tblCellMar>
        </w:tblPrEx>
        <w:tc>
          <w:tcPr>
            <w:tcW w:w="6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4C31462E" w14:textId="77777777" w:rsidR="00A017F4" w:rsidRDefault="00000000">
            <w:r>
              <w:rPr>
                <w:color w:val="1A1A1A"/>
                <w:sz w:val="21"/>
                <w:szCs w:val="21"/>
              </w:rPr>
              <w:t>1</w:t>
            </w:r>
          </w:p>
        </w:tc>
        <w:tc>
          <w:tcPr>
            <w:tcW w:w="396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195E2090" w14:textId="77777777" w:rsidR="00A017F4" w:rsidRDefault="00000000">
            <w:r>
              <w:rPr>
                <w:color w:val="1A1A1A"/>
                <w:sz w:val="21"/>
                <w:szCs w:val="21"/>
              </w:rPr>
              <w:t>Find Total Unusual Items from the income statement</w:t>
            </w:r>
          </w:p>
        </w:tc>
        <w:tc>
          <w:tcPr>
            <w:tcW w:w="48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4B140396" w14:textId="77777777" w:rsidR="00A017F4" w:rsidRDefault="00000000">
            <w:r>
              <w:rPr>
                <w:color w:val="1A1A1A"/>
                <w:sz w:val="21"/>
                <w:szCs w:val="21"/>
              </w:rPr>
              <w:t>This is the exceptional item row in quarterly financials</w:t>
            </w:r>
          </w:p>
        </w:tc>
      </w:tr>
      <w:tr w:rsidR="00A017F4" w14:paraId="3E80D94D" w14:textId="77777777">
        <w:tblPrEx>
          <w:tblCellMar>
            <w:top w:w="0" w:type="dxa"/>
            <w:bottom w:w="0" w:type="dxa"/>
          </w:tblCellMar>
        </w:tblPrEx>
        <w:tc>
          <w:tcPr>
            <w:tcW w:w="6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2C5721EA" w14:textId="77777777" w:rsidR="00A017F4" w:rsidRDefault="00000000">
            <w:r>
              <w:rPr>
                <w:color w:val="1A1A1A"/>
                <w:sz w:val="21"/>
                <w:szCs w:val="21"/>
              </w:rPr>
              <w:t>2</w:t>
            </w:r>
          </w:p>
        </w:tc>
        <w:tc>
          <w:tcPr>
            <w:tcW w:w="396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25BCCDC6" w14:textId="77777777" w:rsidR="00A017F4" w:rsidRDefault="00000000">
            <w:r>
              <w:rPr>
                <w:color w:val="1A1A1A"/>
                <w:sz w:val="21"/>
                <w:szCs w:val="21"/>
              </w:rPr>
              <w:t>Subtract it from reported net income</w:t>
            </w:r>
          </w:p>
        </w:tc>
        <w:tc>
          <w:tcPr>
            <w:tcW w:w="48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572EEE82" w14:textId="77777777" w:rsidR="00A017F4" w:rsidRDefault="00000000">
            <w:r>
              <w:rPr>
                <w:color w:val="1A1A1A"/>
                <w:sz w:val="21"/>
                <w:szCs w:val="21"/>
              </w:rPr>
              <w:t>Remove the one-time effect</w:t>
            </w:r>
          </w:p>
        </w:tc>
      </w:tr>
      <w:tr w:rsidR="00A017F4" w14:paraId="6730A68E" w14:textId="77777777">
        <w:tblPrEx>
          <w:tblCellMar>
            <w:top w:w="0" w:type="dxa"/>
            <w:bottom w:w="0" w:type="dxa"/>
          </w:tblCellMar>
        </w:tblPrEx>
        <w:tc>
          <w:tcPr>
            <w:tcW w:w="6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701D4446" w14:textId="77777777" w:rsidR="00A017F4" w:rsidRDefault="00000000">
            <w:r>
              <w:rPr>
                <w:color w:val="1A1A1A"/>
                <w:sz w:val="21"/>
                <w:szCs w:val="21"/>
              </w:rPr>
              <w:t>3</w:t>
            </w:r>
          </w:p>
        </w:tc>
        <w:tc>
          <w:tcPr>
            <w:tcW w:w="396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2DD12173" w14:textId="77777777" w:rsidR="00A017F4" w:rsidRDefault="00000000">
            <w:r>
              <w:rPr>
                <w:color w:val="1A1A1A"/>
                <w:sz w:val="21"/>
                <w:szCs w:val="21"/>
              </w:rPr>
              <w:t>Add back 25% tax adjustment</w:t>
            </w:r>
          </w:p>
        </w:tc>
        <w:tc>
          <w:tcPr>
            <w:tcW w:w="48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4AFD0188" w14:textId="77777777" w:rsidR="00A017F4" w:rsidRDefault="00000000">
            <w:r>
              <w:rPr>
                <w:color w:val="1A1A1A"/>
                <w:sz w:val="21"/>
                <w:szCs w:val="21"/>
              </w:rPr>
              <w:t>You’d have paid tax on this income, so adjust back</w:t>
            </w:r>
          </w:p>
        </w:tc>
      </w:tr>
      <w:tr w:rsidR="00A017F4" w14:paraId="6DA2A29B" w14:textId="77777777">
        <w:tblPrEx>
          <w:tblCellMar>
            <w:top w:w="0" w:type="dxa"/>
            <w:bottom w:w="0" w:type="dxa"/>
          </w:tblCellMar>
        </w:tblPrEx>
        <w:tc>
          <w:tcPr>
            <w:tcW w:w="6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507281DB" w14:textId="77777777" w:rsidR="00A017F4" w:rsidRDefault="00000000">
            <w:r>
              <w:rPr>
                <w:color w:val="1A1A1A"/>
                <w:sz w:val="21"/>
                <w:szCs w:val="21"/>
              </w:rPr>
              <w:lastRenderedPageBreak/>
              <w:t>4</w:t>
            </w:r>
          </w:p>
        </w:tc>
        <w:tc>
          <w:tcPr>
            <w:tcW w:w="396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53EC9A74" w14:textId="77777777" w:rsidR="00A017F4" w:rsidRDefault="00000000">
            <w:r>
              <w:rPr>
                <w:color w:val="1A1A1A"/>
                <w:sz w:val="21"/>
                <w:szCs w:val="21"/>
              </w:rPr>
              <w:t>Subtract minority interest</w:t>
            </w:r>
          </w:p>
        </w:tc>
        <w:tc>
          <w:tcPr>
            <w:tcW w:w="48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36EE438F" w14:textId="77777777" w:rsidR="00A017F4" w:rsidRDefault="00000000">
            <w:r>
              <w:rPr>
                <w:color w:val="1A1A1A"/>
                <w:sz w:val="21"/>
                <w:szCs w:val="21"/>
              </w:rPr>
              <w:t>Profits belonging to subsidiary shareholders, not yours</w:t>
            </w:r>
          </w:p>
        </w:tc>
      </w:tr>
      <w:tr w:rsidR="00A017F4" w14:paraId="7E8C8951" w14:textId="77777777">
        <w:tblPrEx>
          <w:tblCellMar>
            <w:top w:w="0" w:type="dxa"/>
            <w:bottom w:w="0" w:type="dxa"/>
          </w:tblCellMar>
        </w:tblPrEx>
        <w:tc>
          <w:tcPr>
            <w:tcW w:w="6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13451676" w14:textId="77777777" w:rsidR="00A017F4" w:rsidRDefault="00000000">
            <w:r>
              <w:rPr>
                <w:color w:val="1A1A1A"/>
                <w:sz w:val="21"/>
                <w:szCs w:val="21"/>
              </w:rPr>
              <w:t>5</w:t>
            </w:r>
          </w:p>
        </w:tc>
        <w:tc>
          <w:tcPr>
            <w:tcW w:w="396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5C7B73F9" w14:textId="77777777" w:rsidR="00A017F4" w:rsidRDefault="00000000">
            <w:r>
              <w:rPr>
                <w:color w:val="1A1A1A"/>
                <w:sz w:val="21"/>
                <w:szCs w:val="21"/>
              </w:rPr>
              <w:t>Divide by shares outstanding</w:t>
            </w:r>
          </w:p>
        </w:tc>
        <w:tc>
          <w:tcPr>
            <w:tcW w:w="48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071CFFC3" w14:textId="77777777" w:rsidR="00A017F4" w:rsidRDefault="00000000">
            <w:r>
              <w:rPr>
                <w:color w:val="1A1A1A"/>
                <w:sz w:val="21"/>
                <w:szCs w:val="21"/>
              </w:rPr>
              <w:t>Get per-share number</w:t>
            </w:r>
          </w:p>
        </w:tc>
      </w:tr>
      <w:tr w:rsidR="00A017F4" w14:paraId="73AB4CF5" w14:textId="77777777">
        <w:tblPrEx>
          <w:tblCellMar>
            <w:top w:w="0" w:type="dxa"/>
            <w:bottom w:w="0" w:type="dxa"/>
          </w:tblCellMar>
        </w:tblPrEx>
        <w:tc>
          <w:tcPr>
            <w:tcW w:w="6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707CF271" w14:textId="77777777" w:rsidR="00A017F4" w:rsidRDefault="00000000">
            <w:r>
              <w:rPr>
                <w:color w:val="1A1A1A"/>
                <w:sz w:val="21"/>
                <w:szCs w:val="21"/>
              </w:rPr>
              <w:t>6</w:t>
            </w:r>
          </w:p>
        </w:tc>
        <w:tc>
          <w:tcPr>
            <w:tcW w:w="396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046DC95F" w14:textId="77777777" w:rsidR="00A017F4" w:rsidRDefault="00000000">
            <w:r>
              <w:rPr>
                <w:color w:val="1A1A1A"/>
                <w:sz w:val="21"/>
                <w:szCs w:val="21"/>
              </w:rPr>
              <w:t>Add last 4 quarters</w:t>
            </w:r>
          </w:p>
        </w:tc>
        <w:tc>
          <w:tcPr>
            <w:tcW w:w="48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02D2FFC8" w14:textId="77777777" w:rsidR="00A017F4" w:rsidRDefault="00000000">
            <w:r>
              <w:rPr>
                <w:color w:val="1A1A1A"/>
                <w:sz w:val="21"/>
                <w:szCs w:val="21"/>
              </w:rPr>
              <w:t>TTM (Trailing Twelve Months) Adjusted EPS</w:t>
            </w:r>
          </w:p>
        </w:tc>
      </w:tr>
    </w:tbl>
    <w:p w14:paraId="0DB440C8" w14:textId="77777777" w:rsidR="00A017F4" w:rsidRDefault="00000000">
      <w:pPr>
        <w:spacing w:after="160"/>
      </w:pPr>
      <w:r>
        <w:rPr>
          <w:color w:val="1A1A1A"/>
        </w:rPr>
        <w:t xml:space="preserve"> </w:t>
      </w:r>
    </w:p>
    <w:p w14:paraId="5725E0BE" w14:textId="77777777" w:rsidR="00A017F4" w:rsidRDefault="00000000">
      <w:pPr>
        <w:spacing w:after="160"/>
      </w:pPr>
      <w:r>
        <w:rPr>
          <w:b/>
          <w:bCs/>
          <w:color w:val="1A1A1A"/>
        </w:rPr>
        <w:t>India corporate tax rate used: 25%</w:t>
      </w:r>
      <w:r>
        <w:rPr>
          <w:color w:val="1A1A1A"/>
        </w:rPr>
        <w:t xml:space="preserve"> — this is the standard rate for Indian companies.</w:t>
      </w:r>
    </w:p>
    <w:p w14:paraId="632BB9AE" w14:textId="77777777" w:rsidR="00A017F4" w:rsidRDefault="00000000">
      <w:pPr>
        <w:spacing w:after="160"/>
      </w:pPr>
      <w:r>
        <w:rPr>
          <w:color w:val="1A1A1A"/>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17F4" w14:paraId="6D1BC971" w14:textId="77777777">
        <w:tblPrEx>
          <w:tblCellMar>
            <w:top w:w="0" w:type="dxa"/>
            <w:bottom w:w="0" w:type="dxa"/>
          </w:tblCellMar>
        </w:tblPrEx>
        <w:tc>
          <w:tcPr>
            <w:tcW w:w="9360" w:type="dxa"/>
            <w:tcBorders>
              <w:top w:val="single" w:sz="12" w:space="0" w:color="E6A817"/>
              <w:left w:val="single" w:sz="24" w:space="0" w:color="E6A817"/>
              <w:bottom w:val="single" w:sz="12" w:space="0" w:color="E6A817"/>
            </w:tcBorders>
            <w:shd w:val="clear" w:color="auto" w:fill="FFF3CD"/>
            <w:tcMar>
              <w:top w:w="120" w:type="dxa"/>
              <w:left w:w="160" w:type="dxa"/>
              <w:bottom w:w="120" w:type="dxa"/>
              <w:right w:w="160" w:type="dxa"/>
            </w:tcMar>
          </w:tcPr>
          <w:p w14:paraId="1F7F2E31" w14:textId="77777777" w:rsidR="00A017F4" w:rsidRDefault="00000000">
            <w:r>
              <w:rPr>
                <w:i/>
                <w:iCs/>
                <w:color w:val="3D2B00"/>
                <w:sz w:val="21"/>
                <w:szCs w:val="21"/>
              </w:rPr>
              <w:t>Why Minority Interest? If Reliance owns 70% of a subsidiary company that made ₹100 crore profit, only ₹70 crore belongs to Reliance shareholders. The other ₹30 crore belongs to the minority shareholders of that subsidiary. We strip it out because it’s not yours.</w:t>
            </w:r>
          </w:p>
        </w:tc>
      </w:tr>
    </w:tbl>
    <w:p w14:paraId="5E0BE45E" w14:textId="77777777" w:rsidR="00A017F4" w:rsidRDefault="00000000">
      <w:pPr>
        <w:spacing w:after="160"/>
      </w:pPr>
      <w:r>
        <w:rPr>
          <w:color w:val="1A1A1A"/>
        </w:rPr>
        <w:t xml:space="preserve"> </w:t>
      </w:r>
    </w:p>
    <w:p w14:paraId="0944CEC8" w14:textId="77777777" w:rsidR="00A017F4" w:rsidRDefault="00000000">
      <w:pPr>
        <w:pStyle w:val="Heading2"/>
      </w:pPr>
      <w:r>
        <w:t>EPS Quality Flags</w:t>
      </w:r>
    </w:p>
    <w:p w14:paraId="2FBD7FF6" w14:textId="77777777" w:rsidR="00A017F4" w:rsidRDefault="00000000">
      <w:pPr>
        <w:spacing w:after="160"/>
      </w:pPr>
      <w:r>
        <w:rPr>
          <w:color w:val="1A1A1A"/>
        </w:rPr>
        <w:t>Not every stock has all the data available from Yahoo Finance. We flag each one:</w:t>
      </w:r>
    </w:p>
    <w:p w14:paraId="13E2C7C7" w14:textId="77777777" w:rsidR="00A017F4" w:rsidRDefault="00000000">
      <w:pPr>
        <w:spacing w:after="160"/>
      </w:pPr>
      <w:r>
        <w:rPr>
          <w:color w:val="1A1A1A"/>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560"/>
        <w:gridCol w:w="3000"/>
      </w:tblGrid>
      <w:tr w:rsidR="00A017F4" w14:paraId="1CE7B211" w14:textId="77777777">
        <w:tblPrEx>
          <w:tblCellMar>
            <w:top w:w="0" w:type="dxa"/>
            <w:bottom w:w="0" w:type="dxa"/>
          </w:tblCellMar>
        </w:tblPrEx>
        <w:tc>
          <w:tcPr>
            <w:tcW w:w="1800" w:type="dxa"/>
            <w:tcBorders>
              <w:top w:val="single" w:sz="1" w:space="0" w:color="444444"/>
              <w:left w:val="single" w:sz="1" w:space="0" w:color="444444"/>
              <w:bottom w:val="single" w:sz="1" w:space="0" w:color="444444"/>
              <w:right w:val="single" w:sz="1" w:space="0" w:color="444444"/>
            </w:tcBorders>
            <w:shd w:val="clear" w:color="auto" w:fill="2C3E50"/>
            <w:tcMar>
              <w:top w:w="80" w:type="dxa"/>
              <w:left w:w="120" w:type="dxa"/>
              <w:bottom w:w="80" w:type="dxa"/>
              <w:right w:w="120" w:type="dxa"/>
            </w:tcMar>
          </w:tcPr>
          <w:p w14:paraId="7E16D4BD" w14:textId="77777777" w:rsidR="00A017F4" w:rsidRDefault="00000000">
            <w:r>
              <w:rPr>
                <w:rFonts w:ascii="Arial" w:eastAsia="Arial" w:hAnsi="Arial" w:cs="Arial"/>
                <w:b/>
                <w:bCs/>
                <w:color w:val="FFFFFF"/>
                <w:sz w:val="20"/>
                <w:szCs w:val="20"/>
              </w:rPr>
              <w:t>Flag</w:t>
            </w:r>
          </w:p>
        </w:tc>
        <w:tc>
          <w:tcPr>
            <w:tcW w:w="4560" w:type="dxa"/>
            <w:tcBorders>
              <w:top w:val="single" w:sz="1" w:space="0" w:color="444444"/>
              <w:left w:val="single" w:sz="1" w:space="0" w:color="444444"/>
              <w:bottom w:val="single" w:sz="1" w:space="0" w:color="444444"/>
              <w:right w:val="single" w:sz="1" w:space="0" w:color="444444"/>
            </w:tcBorders>
            <w:shd w:val="clear" w:color="auto" w:fill="2C3E50"/>
            <w:tcMar>
              <w:top w:w="80" w:type="dxa"/>
              <w:left w:w="120" w:type="dxa"/>
              <w:bottom w:w="80" w:type="dxa"/>
              <w:right w:w="120" w:type="dxa"/>
            </w:tcMar>
          </w:tcPr>
          <w:p w14:paraId="4CEC4062" w14:textId="77777777" w:rsidR="00A017F4" w:rsidRDefault="00000000">
            <w:r>
              <w:rPr>
                <w:rFonts w:ascii="Arial" w:eastAsia="Arial" w:hAnsi="Arial" w:cs="Arial"/>
                <w:b/>
                <w:bCs/>
                <w:color w:val="FFFFFF"/>
                <w:sz w:val="20"/>
                <w:szCs w:val="20"/>
              </w:rPr>
              <w:t>Meaning</w:t>
            </w:r>
          </w:p>
        </w:tc>
        <w:tc>
          <w:tcPr>
            <w:tcW w:w="3000" w:type="dxa"/>
            <w:tcBorders>
              <w:top w:val="single" w:sz="1" w:space="0" w:color="444444"/>
              <w:left w:val="single" w:sz="1" w:space="0" w:color="444444"/>
              <w:bottom w:val="single" w:sz="1" w:space="0" w:color="444444"/>
              <w:right w:val="single" w:sz="1" w:space="0" w:color="444444"/>
            </w:tcBorders>
            <w:shd w:val="clear" w:color="auto" w:fill="2C3E50"/>
            <w:tcMar>
              <w:top w:w="80" w:type="dxa"/>
              <w:left w:w="120" w:type="dxa"/>
              <w:bottom w:w="80" w:type="dxa"/>
              <w:right w:w="120" w:type="dxa"/>
            </w:tcMar>
          </w:tcPr>
          <w:p w14:paraId="1E6ED4D5" w14:textId="77777777" w:rsidR="00A017F4" w:rsidRDefault="00000000">
            <w:r>
              <w:rPr>
                <w:rFonts w:ascii="Arial" w:eastAsia="Arial" w:hAnsi="Arial" w:cs="Arial"/>
                <w:b/>
                <w:bCs/>
                <w:color w:val="FFFFFF"/>
                <w:sz w:val="20"/>
                <w:szCs w:val="20"/>
              </w:rPr>
              <w:t>How Common?</w:t>
            </w:r>
          </w:p>
        </w:tc>
      </w:tr>
      <w:tr w:rsidR="00A017F4" w14:paraId="7E612865" w14:textId="77777777">
        <w:tblPrEx>
          <w:tblCellMar>
            <w:top w:w="0" w:type="dxa"/>
            <w:bottom w:w="0" w:type="dxa"/>
          </w:tblCellMar>
        </w:tblPrEx>
        <w:tc>
          <w:tcPr>
            <w:tcW w:w="18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7FA702F9" w14:textId="77777777" w:rsidR="00A017F4" w:rsidRDefault="00000000">
            <w:r>
              <w:rPr>
                <w:color w:val="1A1A1A"/>
                <w:sz w:val="21"/>
                <w:szCs w:val="21"/>
              </w:rPr>
              <w:t>CLEAN</w:t>
            </w:r>
          </w:p>
        </w:tc>
        <w:tc>
          <w:tcPr>
            <w:tcW w:w="456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452A11A1" w14:textId="77777777" w:rsidR="00A017F4" w:rsidRDefault="00000000">
            <w:r>
              <w:rPr>
                <w:color w:val="1A1A1A"/>
                <w:sz w:val="21"/>
                <w:szCs w:val="21"/>
              </w:rPr>
              <w:t>Both exceptional items AND minority interest were found and adjusted</w:t>
            </w:r>
          </w:p>
        </w:tc>
        <w:tc>
          <w:tcPr>
            <w:tcW w:w="30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79F31B09" w14:textId="77777777" w:rsidR="00A017F4" w:rsidRDefault="00000000">
            <w:r>
              <w:rPr>
                <w:color w:val="1A1A1A"/>
                <w:sz w:val="21"/>
                <w:szCs w:val="21"/>
              </w:rPr>
              <w:t>Rare — Yahoo doesn’t always have both</w:t>
            </w:r>
          </w:p>
        </w:tc>
      </w:tr>
      <w:tr w:rsidR="00A017F4" w14:paraId="76D01B5A" w14:textId="77777777">
        <w:tblPrEx>
          <w:tblCellMar>
            <w:top w:w="0" w:type="dxa"/>
            <w:bottom w:w="0" w:type="dxa"/>
          </w:tblCellMar>
        </w:tblPrEx>
        <w:tc>
          <w:tcPr>
            <w:tcW w:w="18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70579BE8" w14:textId="77777777" w:rsidR="00A017F4" w:rsidRDefault="00000000">
            <w:r>
              <w:rPr>
                <w:color w:val="1A1A1A"/>
                <w:sz w:val="21"/>
                <w:szCs w:val="21"/>
              </w:rPr>
              <w:t>PARTIAL</w:t>
            </w:r>
          </w:p>
        </w:tc>
        <w:tc>
          <w:tcPr>
            <w:tcW w:w="456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6C04FECD" w14:textId="77777777" w:rsidR="00A017F4" w:rsidRDefault="00000000">
            <w:r>
              <w:rPr>
                <w:color w:val="1A1A1A"/>
                <w:sz w:val="21"/>
                <w:szCs w:val="21"/>
              </w:rPr>
              <w:t>One of the two adjustments applied</w:t>
            </w:r>
          </w:p>
        </w:tc>
        <w:tc>
          <w:tcPr>
            <w:tcW w:w="30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16AFF17E" w14:textId="77777777" w:rsidR="00A017F4" w:rsidRDefault="00000000">
            <w:r>
              <w:rPr>
                <w:color w:val="1A1A1A"/>
                <w:sz w:val="21"/>
                <w:szCs w:val="21"/>
              </w:rPr>
              <w:t>Most stocks land here — this is fine</w:t>
            </w:r>
          </w:p>
        </w:tc>
      </w:tr>
      <w:tr w:rsidR="00A017F4" w14:paraId="40C772EF" w14:textId="77777777">
        <w:tblPrEx>
          <w:tblCellMar>
            <w:top w:w="0" w:type="dxa"/>
            <w:bottom w:w="0" w:type="dxa"/>
          </w:tblCellMar>
        </w:tblPrEx>
        <w:tc>
          <w:tcPr>
            <w:tcW w:w="18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28B64ED2" w14:textId="77777777" w:rsidR="00A017F4" w:rsidRDefault="00000000">
            <w:r>
              <w:rPr>
                <w:color w:val="1A1A1A"/>
                <w:sz w:val="21"/>
                <w:szCs w:val="21"/>
              </w:rPr>
              <w:t>UNVERIFIED</w:t>
            </w:r>
          </w:p>
        </w:tc>
        <w:tc>
          <w:tcPr>
            <w:tcW w:w="456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74FAA354" w14:textId="77777777" w:rsidR="00A017F4" w:rsidRDefault="00000000">
            <w:r>
              <w:rPr>
                <w:color w:val="1A1A1A"/>
                <w:sz w:val="21"/>
                <w:szCs w:val="21"/>
              </w:rPr>
              <w:t>Neither adjustment could be applied (data not available)</w:t>
            </w:r>
          </w:p>
        </w:tc>
        <w:tc>
          <w:tcPr>
            <w:tcW w:w="30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4E58D3F0" w14:textId="77777777" w:rsidR="00A017F4" w:rsidRDefault="00000000">
            <w:r>
              <w:rPr>
                <w:color w:val="1A1A1A"/>
                <w:sz w:val="21"/>
                <w:szCs w:val="21"/>
              </w:rPr>
              <w:t>Some stocks, especially smaller ones</w:t>
            </w:r>
          </w:p>
        </w:tc>
      </w:tr>
    </w:tbl>
    <w:p w14:paraId="3E90FF02" w14:textId="77777777" w:rsidR="00A017F4" w:rsidRDefault="00000000">
      <w:pPr>
        <w:spacing w:after="160"/>
      </w:pPr>
      <w:r>
        <w:rPr>
          <w:color w:val="1A1A1A"/>
        </w:rPr>
        <w:t xml:space="preserve"> </w:t>
      </w:r>
    </w:p>
    <w:p w14:paraId="5B93D4CE" w14:textId="77777777" w:rsidR="00A017F4" w:rsidRDefault="00000000">
      <w:pPr>
        <w:spacing w:after="160"/>
      </w:pPr>
      <w:r>
        <w:rPr>
          <w:color w:val="1A1A1A"/>
        </w:rPr>
        <w:t xml:space="preserve">Most stocks showing PARTIAL is </w:t>
      </w:r>
      <w:r>
        <w:rPr>
          <w:b/>
          <w:bCs/>
          <w:color w:val="1A1A1A"/>
        </w:rPr>
        <w:t>expected and acceptable</w:t>
      </w:r>
      <w:r>
        <w:rPr>
          <w:color w:val="1A1A1A"/>
        </w:rPr>
        <w:t>. It means at least one adjustment was made, which is better than using raw numbers.</w:t>
      </w:r>
    </w:p>
    <w:p w14:paraId="5157BDF3" w14:textId="77777777" w:rsidR="00A017F4" w:rsidRDefault="00A017F4">
      <w:pPr>
        <w:pageBreakBefore/>
      </w:pPr>
    </w:p>
    <w:p w14:paraId="2E1EE853" w14:textId="77777777" w:rsidR="00A017F4" w:rsidRDefault="00000000">
      <w:pPr>
        <w:pStyle w:val="Heading2"/>
      </w:pPr>
      <w:r>
        <w:t>Forward EPS — Two Versions, Both Shown</w:t>
      </w:r>
    </w:p>
    <w:p w14:paraId="72C371D8" w14:textId="77777777" w:rsidR="00A017F4" w:rsidRDefault="00000000">
      <w:pPr>
        <w:spacing w:after="160"/>
      </w:pPr>
      <w:r>
        <w:rPr>
          <w:color w:val="1A1A1A"/>
        </w:rPr>
        <w:t xml:space="preserve">We need to estimate what the company will earn </w:t>
      </w:r>
      <w:r>
        <w:rPr>
          <w:b/>
          <w:bCs/>
          <w:color w:val="1A1A1A"/>
        </w:rPr>
        <w:t>next year</w:t>
      </w:r>
      <w:r>
        <w:rPr>
          <w:color w:val="1A1A1A"/>
        </w:rPr>
        <w:t xml:space="preserve"> to calculate forward P/E. We show two versions side by side:</w:t>
      </w:r>
    </w:p>
    <w:p w14:paraId="4EF3666D" w14:textId="77777777" w:rsidR="00A017F4" w:rsidRDefault="00000000">
      <w:pPr>
        <w:spacing w:after="160"/>
      </w:pPr>
      <w:r>
        <w:rPr>
          <w:color w:val="1A1A1A"/>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A017F4" w14:paraId="2432D67F" w14:textId="77777777">
        <w:tblPrEx>
          <w:tblCellMar>
            <w:top w:w="0" w:type="dxa"/>
            <w:bottom w:w="0" w:type="dxa"/>
          </w:tblCellMar>
        </w:tblPrEx>
        <w:tc>
          <w:tcPr>
            <w:tcW w:w="2400" w:type="dxa"/>
            <w:tcBorders>
              <w:top w:val="single" w:sz="1" w:space="0" w:color="444444"/>
              <w:left w:val="single" w:sz="1" w:space="0" w:color="444444"/>
              <w:bottom w:val="single" w:sz="1" w:space="0" w:color="444444"/>
              <w:right w:val="single" w:sz="1" w:space="0" w:color="444444"/>
            </w:tcBorders>
            <w:shd w:val="clear" w:color="auto" w:fill="2C3E50"/>
            <w:tcMar>
              <w:top w:w="80" w:type="dxa"/>
              <w:left w:w="120" w:type="dxa"/>
              <w:bottom w:w="80" w:type="dxa"/>
              <w:right w:w="120" w:type="dxa"/>
            </w:tcMar>
          </w:tcPr>
          <w:p w14:paraId="6AAD4048" w14:textId="77777777" w:rsidR="00A017F4" w:rsidRDefault="00000000">
            <w:r>
              <w:rPr>
                <w:rFonts w:ascii="Arial" w:eastAsia="Arial" w:hAnsi="Arial" w:cs="Arial"/>
                <w:b/>
                <w:bCs/>
                <w:color w:val="FFFFFF"/>
                <w:sz w:val="20"/>
                <w:szCs w:val="20"/>
              </w:rPr>
              <w:t>Version</w:t>
            </w:r>
          </w:p>
        </w:tc>
        <w:tc>
          <w:tcPr>
            <w:tcW w:w="3600" w:type="dxa"/>
            <w:tcBorders>
              <w:top w:val="single" w:sz="1" w:space="0" w:color="444444"/>
              <w:left w:val="single" w:sz="1" w:space="0" w:color="444444"/>
              <w:bottom w:val="single" w:sz="1" w:space="0" w:color="444444"/>
              <w:right w:val="single" w:sz="1" w:space="0" w:color="444444"/>
            </w:tcBorders>
            <w:shd w:val="clear" w:color="auto" w:fill="2C3E50"/>
            <w:tcMar>
              <w:top w:w="80" w:type="dxa"/>
              <w:left w:w="120" w:type="dxa"/>
              <w:bottom w:w="80" w:type="dxa"/>
              <w:right w:w="120" w:type="dxa"/>
            </w:tcMar>
          </w:tcPr>
          <w:p w14:paraId="1387FE73" w14:textId="77777777" w:rsidR="00A017F4" w:rsidRDefault="00000000">
            <w:r>
              <w:rPr>
                <w:rFonts w:ascii="Arial" w:eastAsia="Arial" w:hAnsi="Arial" w:cs="Arial"/>
                <w:b/>
                <w:bCs/>
                <w:color w:val="FFFFFF"/>
                <w:sz w:val="20"/>
                <w:szCs w:val="20"/>
              </w:rPr>
              <w:t>How It’s Calculated</w:t>
            </w:r>
          </w:p>
        </w:tc>
        <w:tc>
          <w:tcPr>
            <w:tcW w:w="3360" w:type="dxa"/>
            <w:tcBorders>
              <w:top w:val="single" w:sz="1" w:space="0" w:color="444444"/>
              <w:left w:val="single" w:sz="1" w:space="0" w:color="444444"/>
              <w:bottom w:val="single" w:sz="1" w:space="0" w:color="444444"/>
              <w:right w:val="single" w:sz="1" w:space="0" w:color="444444"/>
            </w:tcBorders>
            <w:shd w:val="clear" w:color="auto" w:fill="2C3E50"/>
            <w:tcMar>
              <w:top w:w="80" w:type="dxa"/>
              <w:left w:w="120" w:type="dxa"/>
              <w:bottom w:w="80" w:type="dxa"/>
              <w:right w:w="120" w:type="dxa"/>
            </w:tcMar>
          </w:tcPr>
          <w:p w14:paraId="633931A8" w14:textId="77777777" w:rsidR="00A017F4" w:rsidRDefault="00000000">
            <w:r>
              <w:rPr>
                <w:rFonts w:ascii="Arial" w:eastAsia="Arial" w:hAnsi="Arial" w:cs="Arial"/>
                <w:b/>
                <w:bCs/>
                <w:color w:val="FFFFFF"/>
                <w:sz w:val="20"/>
                <w:szCs w:val="20"/>
              </w:rPr>
              <w:t>What It Represents</w:t>
            </w:r>
          </w:p>
        </w:tc>
      </w:tr>
      <w:tr w:rsidR="00A017F4" w14:paraId="5C6F72AB" w14:textId="77777777">
        <w:tblPrEx>
          <w:tblCellMar>
            <w:top w:w="0" w:type="dxa"/>
            <w:bottom w:w="0" w:type="dxa"/>
          </w:tblCellMar>
        </w:tblPrEx>
        <w:tc>
          <w:tcPr>
            <w:tcW w:w="24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4D5B7F28" w14:textId="77777777" w:rsidR="00A017F4" w:rsidRDefault="00000000">
            <w:r>
              <w:rPr>
                <w:color w:val="1A1A1A"/>
                <w:sz w:val="21"/>
                <w:szCs w:val="21"/>
              </w:rPr>
              <w:t>Our Derived Estimate</w:t>
            </w:r>
          </w:p>
        </w:tc>
        <w:tc>
          <w:tcPr>
            <w:tcW w:w="36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4A2A0423" w14:textId="77777777" w:rsidR="00A017F4" w:rsidRDefault="00000000">
            <w:r>
              <w:rPr>
                <w:color w:val="1A1A1A"/>
                <w:sz w:val="21"/>
                <w:szCs w:val="21"/>
              </w:rPr>
              <w:t xml:space="preserve">TTM </w:t>
            </w:r>
            <w:proofErr w:type="spellStart"/>
            <w:r>
              <w:rPr>
                <w:color w:val="1A1A1A"/>
                <w:sz w:val="21"/>
                <w:szCs w:val="21"/>
              </w:rPr>
              <w:t>Adj</w:t>
            </w:r>
            <w:proofErr w:type="spellEnd"/>
            <w:r>
              <w:rPr>
                <w:color w:val="1A1A1A"/>
                <w:sz w:val="21"/>
                <w:szCs w:val="21"/>
              </w:rPr>
              <w:t xml:space="preserve"> EPS × (1 + EPS Growth Rate)</w:t>
            </w:r>
          </w:p>
        </w:tc>
        <w:tc>
          <w:tcPr>
            <w:tcW w:w="336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48ED8E0D" w14:textId="77777777" w:rsidR="00A017F4" w:rsidRDefault="00000000">
            <w:r>
              <w:rPr>
                <w:color w:val="1A1A1A"/>
                <w:sz w:val="21"/>
                <w:szCs w:val="21"/>
              </w:rPr>
              <w:t>Our own clean estimate based on adjusted historical trend</w:t>
            </w:r>
          </w:p>
        </w:tc>
      </w:tr>
      <w:tr w:rsidR="00A017F4" w14:paraId="13009699" w14:textId="77777777">
        <w:tblPrEx>
          <w:tblCellMar>
            <w:top w:w="0" w:type="dxa"/>
            <w:bottom w:w="0" w:type="dxa"/>
          </w:tblCellMar>
        </w:tblPrEx>
        <w:tc>
          <w:tcPr>
            <w:tcW w:w="24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3A8F042E" w14:textId="77777777" w:rsidR="00A017F4" w:rsidRDefault="00000000">
            <w:r>
              <w:rPr>
                <w:color w:val="1A1A1A"/>
                <w:sz w:val="21"/>
                <w:szCs w:val="21"/>
              </w:rPr>
              <w:t>Analyst Consensus</w:t>
            </w:r>
          </w:p>
        </w:tc>
        <w:tc>
          <w:tcPr>
            <w:tcW w:w="36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1BA02E6E" w14:textId="77777777" w:rsidR="00A017F4" w:rsidRDefault="00000000">
            <w:r>
              <w:rPr>
                <w:color w:val="1A1A1A"/>
                <w:sz w:val="21"/>
                <w:szCs w:val="21"/>
              </w:rPr>
              <w:t>Yahoo Finance analyst estimates</w:t>
            </w:r>
          </w:p>
        </w:tc>
        <w:tc>
          <w:tcPr>
            <w:tcW w:w="336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6B220401" w14:textId="77777777" w:rsidR="00A017F4" w:rsidRDefault="00000000">
            <w:r>
              <w:rPr>
                <w:color w:val="1A1A1A"/>
                <w:sz w:val="21"/>
                <w:szCs w:val="21"/>
              </w:rPr>
              <w:t>What professional analysts covering the stock forecast</w:t>
            </w:r>
          </w:p>
        </w:tc>
      </w:tr>
    </w:tbl>
    <w:p w14:paraId="189E255B" w14:textId="77777777" w:rsidR="00A017F4" w:rsidRDefault="00000000">
      <w:pPr>
        <w:spacing w:after="160"/>
      </w:pPr>
      <w:r>
        <w:rPr>
          <w:color w:val="1A1A1A"/>
        </w:rPr>
        <w:t xml:space="preserve"> </w:t>
      </w:r>
    </w:p>
    <w:p w14:paraId="060BC943" w14:textId="77777777" w:rsidR="00A017F4" w:rsidRDefault="00000000">
      <w:pPr>
        <w:spacing w:after="160"/>
      </w:pPr>
      <w:r>
        <w:rPr>
          <w:b/>
          <w:bCs/>
          <w:color w:val="1A1A1A"/>
        </w:rPr>
        <w:t>If the two differ by more than 20%, a ⚠ flag appears.</w:t>
      </w:r>
      <w:r>
        <w:rPr>
          <w:color w:val="1A1A1A"/>
        </w:rPr>
        <w:t xml:space="preserve"> This is important. It means analysts are seeing something your trend doesn’t capture — maybe a big contract win, a product launch, or conversely a looming write-down. It’s a signal to investigate further before acting.</w:t>
      </w:r>
    </w:p>
    <w:p w14:paraId="0D34C178" w14:textId="77777777" w:rsidR="00A017F4" w:rsidRDefault="00000000">
      <w:pPr>
        <w:spacing w:after="160"/>
      </w:pPr>
      <w:r>
        <w:rPr>
          <w:color w:val="1A1A1A"/>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17F4" w14:paraId="56115DF0" w14:textId="77777777">
        <w:tblPrEx>
          <w:tblCellMar>
            <w:top w:w="0" w:type="dxa"/>
            <w:bottom w:w="0" w:type="dxa"/>
          </w:tblCellMar>
        </w:tblPrEx>
        <w:tc>
          <w:tcPr>
            <w:tcW w:w="9360" w:type="dxa"/>
            <w:tcBorders>
              <w:top w:val="single" w:sz="12" w:space="0" w:color="E6A817"/>
              <w:left w:val="single" w:sz="24" w:space="0" w:color="E6A817"/>
              <w:bottom w:val="single" w:sz="12" w:space="0" w:color="E6A817"/>
            </w:tcBorders>
            <w:shd w:val="clear" w:color="auto" w:fill="FFF3CD"/>
            <w:tcMar>
              <w:top w:w="120" w:type="dxa"/>
              <w:left w:w="160" w:type="dxa"/>
              <w:bottom w:w="120" w:type="dxa"/>
              <w:right w:w="160" w:type="dxa"/>
            </w:tcMar>
          </w:tcPr>
          <w:p w14:paraId="3BEEDFED" w14:textId="77777777" w:rsidR="00A017F4" w:rsidRDefault="00000000">
            <w:r>
              <w:rPr>
                <w:i/>
                <w:iCs/>
                <w:color w:val="3D2B00"/>
                <w:sz w:val="21"/>
                <w:szCs w:val="21"/>
              </w:rPr>
              <w:t>Example: Our derived estimate for Stock X is ₹45 EPS. Analysts forecast ₹78 EPS. Divergence = 73%. That’s a huge gap. Either the analysts know about a major positive event we haven’t priced in, or their estimate includes a one-off item. You need to read the news and annual report to understand which.</w:t>
            </w:r>
          </w:p>
        </w:tc>
      </w:tr>
    </w:tbl>
    <w:p w14:paraId="734DAE08" w14:textId="77777777" w:rsidR="00A017F4" w:rsidRDefault="00A017F4">
      <w:pPr>
        <w:pBdr>
          <w:bottom w:val="single" w:sz="4" w:space="1" w:color="DDDDDD"/>
        </w:pBdr>
        <w:spacing w:before="200" w:after="200"/>
      </w:pPr>
    </w:p>
    <w:p w14:paraId="061A4DB0" w14:textId="77777777" w:rsidR="00A017F4" w:rsidRDefault="00A017F4">
      <w:pPr>
        <w:pageBreakBefore/>
      </w:pPr>
    </w:p>
    <w:p w14:paraId="3A231841" w14:textId="77777777" w:rsidR="00A017F4" w:rsidRDefault="00000000">
      <w:pPr>
        <w:pStyle w:val="Heading1"/>
      </w:pPr>
      <w:r>
        <w:t>4. What We Used — And Why</w:t>
      </w:r>
    </w:p>
    <w:p w14:paraId="6F663BBE" w14:textId="77777777" w:rsidR="00A017F4" w:rsidRDefault="00000000">
      <w:pPr>
        <w:spacing w:after="160"/>
      </w:pPr>
      <w:r>
        <w:rPr>
          <w:color w:val="1A1A1A"/>
        </w:rPr>
        <w:t>Every metric in this model was deliberately chosen. Here’s the reasoning:</w:t>
      </w:r>
    </w:p>
    <w:p w14:paraId="400EE8D3" w14:textId="77777777" w:rsidR="00A017F4" w:rsidRDefault="00000000">
      <w:pPr>
        <w:spacing w:after="160"/>
      </w:pPr>
      <w:r>
        <w:rPr>
          <w:color w:val="1A1A1A"/>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A017F4" w14:paraId="645C003E" w14:textId="77777777">
        <w:tblPrEx>
          <w:tblCellMar>
            <w:top w:w="0" w:type="dxa"/>
            <w:bottom w:w="0" w:type="dxa"/>
          </w:tblCellMar>
        </w:tblPrEx>
        <w:tc>
          <w:tcPr>
            <w:tcW w:w="3200" w:type="dxa"/>
            <w:tcBorders>
              <w:top w:val="single" w:sz="1" w:space="0" w:color="444444"/>
              <w:left w:val="single" w:sz="1" w:space="0" w:color="444444"/>
              <w:bottom w:val="single" w:sz="1" w:space="0" w:color="444444"/>
              <w:right w:val="single" w:sz="1" w:space="0" w:color="444444"/>
            </w:tcBorders>
            <w:shd w:val="clear" w:color="auto" w:fill="2C3E50"/>
            <w:tcMar>
              <w:top w:w="80" w:type="dxa"/>
              <w:left w:w="120" w:type="dxa"/>
              <w:bottom w:w="80" w:type="dxa"/>
              <w:right w:w="120" w:type="dxa"/>
            </w:tcMar>
          </w:tcPr>
          <w:p w14:paraId="1706C9C9" w14:textId="77777777" w:rsidR="00A017F4" w:rsidRDefault="00000000">
            <w:r>
              <w:rPr>
                <w:rFonts w:ascii="Arial" w:eastAsia="Arial" w:hAnsi="Arial" w:cs="Arial"/>
                <w:b/>
                <w:bCs/>
                <w:color w:val="FFFFFF"/>
                <w:sz w:val="20"/>
                <w:szCs w:val="20"/>
              </w:rPr>
              <w:t>What We Use</w:t>
            </w:r>
          </w:p>
        </w:tc>
        <w:tc>
          <w:tcPr>
            <w:tcW w:w="6160" w:type="dxa"/>
            <w:tcBorders>
              <w:top w:val="single" w:sz="1" w:space="0" w:color="444444"/>
              <w:left w:val="single" w:sz="1" w:space="0" w:color="444444"/>
              <w:bottom w:val="single" w:sz="1" w:space="0" w:color="444444"/>
              <w:right w:val="single" w:sz="1" w:space="0" w:color="444444"/>
            </w:tcBorders>
            <w:shd w:val="clear" w:color="auto" w:fill="2C3E50"/>
            <w:tcMar>
              <w:top w:w="80" w:type="dxa"/>
              <w:left w:w="120" w:type="dxa"/>
              <w:bottom w:w="80" w:type="dxa"/>
              <w:right w:w="120" w:type="dxa"/>
            </w:tcMar>
          </w:tcPr>
          <w:p w14:paraId="7A77E368" w14:textId="77777777" w:rsidR="00A017F4" w:rsidRDefault="00000000">
            <w:r>
              <w:rPr>
                <w:rFonts w:ascii="Arial" w:eastAsia="Arial" w:hAnsi="Arial" w:cs="Arial"/>
                <w:b/>
                <w:bCs/>
                <w:color w:val="FFFFFF"/>
                <w:sz w:val="20"/>
                <w:szCs w:val="20"/>
              </w:rPr>
              <w:t>Why We Use It</w:t>
            </w:r>
          </w:p>
        </w:tc>
      </w:tr>
      <w:tr w:rsidR="00A017F4" w14:paraId="776B83F0" w14:textId="77777777">
        <w:tblPrEx>
          <w:tblCellMar>
            <w:top w:w="0" w:type="dxa"/>
            <w:bottom w:w="0" w:type="dxa"/>
          </w:tblCellMar>
        </w:tblPrEx>
        <w:tc>
          <w:tcPr>
            <w:tcW w:w="32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38824748" w14:textId="77777777" w:rsidR="00A017F4" w:rsidRDefault="00000000">
            <w:r>
              <w:rPr>
                <w:color w:val="1A1A1A"/>
                <w:sz w:val="21"/>
                <w:szCs w:val="21"/>
              </w:rPr>
              <w:t xml:space="preserve">Yahoo Finance via </w:t>
            </w:r>
            <w:proofErr w:type="spellStart"/>
            <w:r>
              <w:rPr>
                <w:color w:val="1A1A1A"/>
                <w:sz w:val="21"/>
                <w:szCs w:val="21"/>
              </w:rPr>
              <w:t>yfinance</w:t>
            </w:r>
            <w:proofErr w:type="spellEnd"/>
          </w:p>
        </w:tc>
        <w:tc>
          <w:tcPr>
            <w:tcW w:w="616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78F55930" w14:textId="77777777" w:rsidR="00A017F4" w:rsidRDefault="00000000">
            <w:r>
              <w:rPr>
                <w:color w:val="1A1A1A"/>
                <w:sz w:val="21"/>
                <w:szCs w:val="21"/>
              </w:rPr>
              <w:t>Free, reliable, covers all 50 stocks. NSE’s own API blocked cloud servers, so we dropped it.</w:t>
            </w:r>
          </w:p>
        </w:tc>
      </w:tr>
      <w:tr w:rsidR="00A017F4" w14:paraId="4D30FF57" w14:textId="77777777">
        <w:tblPrEx>
          <w:tblCellMar>
            <w:top w:w="0" w:type="dxa"/>
            <w:bottom w:w="0" w:type="dxa"/>
          </w:tblCellMar>
        </w:tblPrEx>
        <w:tc>
          <w:tcPr>
            <w:tcW w:w="32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72B197FA" w14:textId="77777777" w:rsidR="00A017F4" w:rsidRDefault="00000000">
            <w:r>
              <w:rPr>
                <w:color w:val="1A1A1A"/>
                <w:sz w:val="21"/>
                <w:szCs w:val="21"/>
              </w:rPr>
              <w:t>Adjusted EPS (not raw)</w:t>
            </w:r>
          </w:p>
        </w:tc>
        <w:tc>
          <w:tcPr>
            <w:tcW w:w="616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22205386" w14:textId="77777777" w:rsidR="00A017F4" w:rsidRDefault="00000000">
            <w:r>
              <w:rPr>
                <w:color w:val="1A1A1A"/>
                <w:sz w:val="21"/>
                <w:szCs w:val="21"/>
              </w:rPr>
              <w:t>Raw EPS includes one-time noise. Adjusted EPS reflects true recurring earning power.</w:t>
            </w:r>
          </w:p>
        </w:tc>
      </w:tr>
      <w:tr w:rsidR="00A017F4" w14:paraId="5954D341" w14:textId="77777777">
        <w:tblPrEx>
          <w:tblCellMar>
            <w:top w:w="0" w:type="dxa"/>
            <w:bottom w:w="0" w:type="dxa"/>
          </w:tblCellMar>
        </w:tblPrEx>
        <w:tc>
          <w:tcPr>
            <w:tcW w:w="32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6BC08744" w14:textId="77777777" w:rsidR="00A017F4" w:rsidRDefault="00000000">
            <w:r>
              <w:rPr>
                <w:color w:val="1A1A1A"/>
                <w:sz w:val="21"/>
                <w:szCs w:val="21"/>
              </w:rPr>
              <w:t>Sector-relative P/E</w:t>
            </w:r>
          </w:p>
        </w:tc>
        <w:tc>
          <w:tcPr>
            <w:tcW w:w="616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541233AA" w14:textId="77777777" w:rsidR="00A017F4" w:rsidRDefault="00000000">
            <w:r>
              <w:rPr>
                <w:color w:val="1A1A1A"/>
                <w:sz w:val="21"/>
                <w:szCs w:val="21"/>
              </w:rPr>
              <w:t>Absolute P/E is meaningless. A pharma company at P/E 30 is cheap; a cement company at 30 is expensive. Sector context is everything.</w:t>
            </w:r>
          </w:p>
        </w:tc>
      </w:tr>
      <w:tr w:rsidR="00A017F4" w14:paraId="748154B7" w14:textId="77777777">
        <w:tblPrEx>
          <w:tblCellMar>
            <w:top w:w="0" w:type="dxa"/>
            <w:bottom w:w="0" w:type="dxa"/>
          </w:tblCellMar>
        </w:tblPrEx>
        <w:tc>
          <w:tcPr>
            <w:tcW w:w="32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26393DEE" w14:textId="77777777" w:rsidR="00A017F4" w:rsidRDefault="00000000">
            <w:r>
              <w:rPr>
                <w:color w:val="1A1A1A"/>
                <w:sz w:val="21"/>
                <w:szCs w:val="21"/>
              </w:rPr>
              <w:t>PEG Ratio</w:t>
            </w:r>
          </w:p>
        </w:tc>
        <w:tc>
          <w:tcPr>
            <w:tcW w:w="616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7D099AB7" w14:textId="77777777" w:rsidR="00A017F4" w:rsidRDefault="00000000">
            <w:r>
              <w:rPr>
                <w:color w:val="1A1A1A"/>
                <w:sz w:val="21"/>
                <w:szCs w:val="21"/>
              </w:rPr>
              <w:t>Combines valuation and growth into one number. Prevents overpaying for slow growers.</w:t>
            </w:r>
          </w:p>
        </w:tc>
      </w:tr>
      <w:tr w:rsidR="00A017F4" w14:paraId="12D3D5B5" w14:textId="77777777">
        <w:tblPrEx>
          <w:tblCellMar>
            <w:top w:w="0" w:type="dxa"/>
            <w:bottom w:w="0" w:type="dxa"/>
          </w:tblCellMar>
        </w:tblPrEx>
        <w:tc>
          <w:tcPr>
            <w:tcW w:w="32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209BE299" w14:textId="77777777" w:rsidR="00A017F4" w:rsidRDefault="00000000">
            <w:r>
              <w:rPr>
                <w:color w:val="1A1A1A"/>
                <w:sz w:val="21"/>
                <w:szCs w:val="21"/>
              </w:rPr>
              <w:t>Relative Momentum (vs Nifty)</w:t>
            </w:r>
          </w:p>
        </w:tc>
        <w:tc>
          <w:tcPr>
            <w:tcW w:w="616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1750D3A3" w14:textId="77777777" w:rsidR="00A017F4" w:rsidRDefault="00000000">
            <w:r>
              <w:rPr>
                <w:color w:val="1A1A1A"/>
                <w:sz w:val="21"/>
                <w:szCs w:val="21"/>
              </w:rPr>
              <w:t>Absolute stock returns are misleading if the whole market moved. Relative return tells you if the stock is actually outperforming.</w:t>
            </w:r>
          </w:p>
        </w:tc>
      </w:tr>
      <w:tr w:rsidR="00A017F4" w14:paraId="73F3FFF9" w14:textId="77777777">
        <w:tblPrEx>
          <w:tblCellMar>
            <w:top w:w="0" w:type="dxa"/>
            <w:bottom w:w="0" w:type="dxa"/>
          </w:tblCellMar>
        </w:tblPrEx>
        <w:tc>
          <w:tcPr>
            <w:tcW w:w="32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63BA2AC9" w14:textId="77777777" w:rsidR="00A017F4" w:rsidRDefault="00000000">
            <w:r>
              <w:rPr>
                <w:color w:val="1A1A1A"/>
                <w:sz w:val="21"/>
                <w:szCs w:val="21"/>
              </w:rPr>
              <w:t>TTM (Trailing 12 Months)</w:t>
            </w:r>
          </w:p>
        </w:tc>
        <w:tc>
          <w:tcPr>
            <w:tcW w:w="616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78085D66" w14:textId="77777777" w:rsidR="00A017F4" w:rsidRDefault="00000000">
            <w:r>
              <w:rPr>
                <w:color w:val="1A1A1A"/>
                <w:sz w:val="21"/>
                <w:szCs w:val="21"/>
              </w:rPr>
              <w:t>Uses the last 4 quarters, not just the latest one. Smooths out seasonal spikes.</w:t>
            </w:r>
          </w:p>
        </w:tc>
      </w:tr>
      <w:tr w:rsidR="00A017F4" w14:paraId="3627FF40" w14:textId="77777777">
        <w:tblPrEx>
          <w:tblCellMar>
            <w:top w:w="0" w:type="dxa"/>
            <w:bottom w:w="0" w:type="dxa"/>
          </w:tblCellMar>
        </w:tblPrEx>
        <w:tc>
          <w:tcPr>
            <w:tcW w:w="32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72AFDF47" w14:textId="77777777" w:rsidR="00A017F4" w:rsidRDefault="00000000">
            <w:r>
              <w:rPr>
                <w:color w:val="1A1A1A"/>
                <w:sz w:val="21"/>
                <w:szCs w:val="21"/>
              </w:rPr>
              <w:t>3 momentum periods (6M, 3M, 1M)</w:t>
            </w:r>
          </w:p>
        </w:tc>
        <w:tc>
          <w:tcPr>
            <w:tcW w:w="616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60158F51" w14:textId="77777777" w:rsidR="00A017F4" w:rsidRDefault="00000000">
            <w:r>
              <w:rPr>
                <w:color w:val="1A1A1A"/>
                <w:sz w:val="21"/>
                <w:szCs w:val="21"/>
              </w:rPr>
              <w:t>Multiple timeframes reduce false signals. A stock must show broad, sustained momentum — not just a 1-week spike.</w:t>
            </w:r>
          </w:p>
        </w:tc>
      </w:tr>
      <w:tr w:rsidR="00A017F4" w14:paraId="6454B57B" w14:textId="77777777">
        <w:tblPrEx>
          <w:tblCellMar>
            <w:top w:w="0" w:type="dxa"/>
            <w:bottom w:w="0" w:type="dxa"/>
          </w:tblCellMar>
        </w:tblPrEx>
        <w:tc>
          <w:tcPr>
            <w:tcW w:w="32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37781883" w14:textId="77777777" w:rsidR="00A017F4" w:rsidRDefault="00000000">
            <w:r>
              <w:rPr>
                <w:color w:val="1A1A1A"/>
                <w:sz w:val="21"/>
                <w:szCs w:val="21"/>
              </w:rPr>
              <w:t>Banking sector D/E exemption</w:t>
            </w:r>
          </w:p>
        </w:tc>
        <w:tc>
          <w:tcPr>
            <w:tcW w:w="616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15512066" w14:textId="77777777" w:rsidR="00A017F4" w:rsidRDefault="00000000">
            <w:r>
              <w:rPr>
                <w:color w:val="1A1A1A"/>
                <w:sz w:val="21"/>
                <w:szCs w:val="21"/>
              </w:rPr>
              <w:t>Banks’ business model inherently involves high leverage. Penalising them on D/E would be comparing apples to oranges.</w:t>
            </w:r>
          </w:p>
        </w:tc>
      </w:tr>
    </w:tbl>
    <w:p w14:paraId="20C31404" w14:textId="77777777" w:rsidR="00A017F4" w:rsidRDefault="00A017F4">
      <w:pPr>
        <w:pBdr>
          <w:bottom w:val="single" w:sz="4" w:space="1" w:color="DDDDDD"/>
        </w:pBdr>
        <w:spacing w:before="200" w:after="200"/>
      </w:pPr>
    </w:p>
    <w:p w14:paraId="76E3993E" w14:textId="77777777" w:rsidR="00A017F4" w:rsidRDefault="00A017F4">
      <w:pPr>
        <w:pageBreakBefore/>
      </w:pPr>
    </w:p>
    <w:p w14:paraId="147ADDC8" w14:textId="77777777" w:rsidR="00A017F4" w:rsidRDefault="00000000">
      <w:pPr>
        <w:pStyle w:val="Heading1"/>
      </w:pPr>
      <w:r>
        <w:t>5. What We Did NOT Use — And Why</w:t>
      </w:r>
    </w:p>
    <w:p w14:paraId="489AF7AE" w14:textId="77777777" w:rsidR="00A017F4" w:rsidRDefault="00000000">
      <w:pPr>
        <w:spacing w:after="160"/>
      </w:pPr>
      <w:r>
        <w:rPr>
          <w:color w:val="1A1A1A"/>
        </w:rPr>
        <w:t>Equally important is what was deliberately left out.</w:t>
      </w:r>
    </w:p>
    <w:p w14:paraId="7C1CA69F" w14:textId="77777777" w:rsidR="00A017F4" w:rsidRDefault="00000000">
      <w:pPr>
        <w:spacing w:after="160"/>
      </w:pPr>
      <w:r>
        <w:rPr>
          <w:color w:val="1A1A1A"/>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A017F4" w14:paraId="061697F3" w14:textId="77777777">
        <w:tblPrEx>
          <w:tblCellMar>
            <w:top w:w="0" w:type="dxa"/>
            <w:bottom w:w="0" w:type="dxa"/>
          </w:tblCellMar>
        </w:tblPrEx>
        <w:tc>
          <w:tcPr>
            <w:tcW w:w="3200" w:type="dxa"/>
            <w:tcBorders>
              <w:top w:val="single" w:sz="1" w:space="0" w:color="444444"/>
              <w:left w:val="single" w:sz="1" w:space="0" w:color="444444"/>
              <w:bottom w:val="single" w:sz="1" w:space="0" w:color="444444"/>
              <w:right w:val="single" w:sz="1" w:space="0" w:color="444444"/>
            </w:tcBorders>
            <w:shd w:val="clear" w:color="auto" w:fill="2C3E50"/>
            <w:tcMar>
              <w:top w:w="80" w:type="dxa"/>
              <w:left w:w="120" w:type="dxa"/>
              <w:bottom w:w="80" w:type="dxa"/>
              <w:right w:w="120" w:type="dxa"/>
            </w:tcMar>
          </w:tcPr>
          <w:p w14:paraId="72312ED9" w14:textId="77777777" w:rsidR="00A017F4" w:rsidRDefault="00000000">
            <w:r>
              <w:rPr>
                <w:rFonts w:ascii="Arial" w:eastAsia="Arial" w:hAnsi="Arial" w:cs="Arial"/>
                <w:b/>
                <w:bCs/>
                <w:color w:val="FFFFFF"/>
                <w:sz w:val="20"/>
                <w:szCs w:val="20"/>
              </w:rPr>
              <w:t>What We Left Out</w:t>
            </w:r>
          </w:p>
        </w:tc>
        <w:tc>
          <w:tcPr>
            <w:tcW w:w="6160" w:type="dxa"/>
            <w:tcBorders>
              <w:top w:val="single" w:sz="1" w:space="0" w:color="444444"/>
              <w:left w:val="single" w:sz="1" w:space="0" w:color="444444"/>
              <w:bottom w:val="single" w:sz="1" w:space="0" w:color="444444"/>
              <w:right w:val="single" w:sz="1" w:space="0" w:color="444444"/>
            </w:tcBorders>
            <w:shd w:val="clear" w:color="auto" w:fill="2C3E50"/>
            <w:tcMar>
              <w:top w:w="80" w:type="dxa"/>
              <w:left w:w="120" w:type="dxa"/>
              <w:bottom w:w="80" w:type="dxa"/>
              <w:right w:w="120" w:type="dxa"/>
            </w:tcMar>
          </w:tcPr>
          <w:p w14:paraId="63DF3C3B" w14:textId="77777777" w:rsidR="00A017F4" w:rsidRDefault="00000000">
            <w:r>
              <w:rPr>
                <w:rFonts w:ascii="Arial" w:eastAsia="Arial" w:hAnsi="Arial" w:cs="Arial"/>
                <w:b/>
                <w:bCs/>
                <w:color w:val="FFFFFF"/>
                <w:sz w:val="20"/>
                <w:szCs w:val="20"/>
              </w:rPr>
              <w:t>Why</w:t>
            </w:r>
          </w:p>
        </w:tc>
      </w:tr>
      <w:tr w:rsidR="00A017F4" w14:paraId="254DE627" w14:textId="77777777">
        <w:tblPrEx>
          <w:tblCellMar>
            <w:top w:w="0" w:type="dxa"/>
            <w:bottom w:w="0" w:type="dxa"/>
          </w:tblCellMar>
        </w:tblPrEx>
        <w:tc>
          <w:tcPr>
            <w:tcW w:w="32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2BD00A10" w14:textId="77777777" w:rsidR="00A017F4" w:rsidRDefault="00000000">
            <w:r>
              <w:rPr>
                <w:color w:val="1A1A1A"/>
                <w:sz w:val="21"/>
                <w:szCs w:val="21"/>
              </w:rPr>
              <w:t>Absolute P/E thresholds</w:t>
            </w:r>
          </w:p>
        </w:tc>
        <w:tc>
          <w:tcPr>
            <w:tcW w:w="616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671ED7E9" w14:textId="77777777" w:rsidR="00A017F4" w:rsidRDefault="00000000">
            <w:r>
              <w:rPr>
                <w:color w:val="1A1A1A"/>
                <w:sz w:val="21"/>
                <w:szCs w:val="21"/>
              </w:rPr>
              <w:t>P/E = 25 is cheap in IT, expensive in Metals. Without sector context it misleads more than it helps.</w:t>
            </w:r>
          </w:p>
        </w:tc>
      </w:tr>
      <w:tr w:rsidR="00A017F4" w14:paraId="10075B12" w14:textId="77777777">
        <w:tblPrEx>
          <w:tblCellMar>
            <w:top w:w="0" w:type="dxa"/>
            <w:bottom w:w="0" w:type="dxa"/>
          </w:tblCellMar>
        </w:tblPrEx>
        <w:tc>
          <w:tcPr>
            <w:tcW w:w="32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38833E36" w14:textId="77777777" w:rsidR="00A017F4" w:rsidRDefault="00000000">
            <w:r>
              <w:rPr>
                <w:color w:val="1A1A1A"/>
                <w:sz w:val="21"/>
                <w:szCs w:val="21"/>
              </w:rPr>
              <w:t>Dividend Yield</w:t>
            </w:r>
          </w:p>
        </w:tc>
        <w:tc>
          <w:tcPr>
            <w:tcW w:w="616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1DF66181" w14:textId="77777777" w:rsidR="00A017F4" w:rsidRDefault="00000000">
            <w:r>
              <w:rPr>
                <w:color w:val="1A1A1A"/>
                <w:sz w:val="21"/>
                <w:szCs w:val="21"/>
              </w:rPr>
              <w:t>Most high-growth Nifty 50 companies reinvest profits rather than paying dividends (Reliance, Bajaj Finance). Scoring for dividends would penalise growth stocks unfairly.</w:t>
            </w:r>
          </w:p>
        </w:tc>
      </w:tr>
      <w:tr w:rsidR="00A017F4" w14:paraId="4BA5691A" w14:textId="77777777">
        <w:tblPrEx>
          <w:tblCellMar>
            <w:top w:w="0" w:type="dxa"/>
            <w:bottom w:w="0" w:type="dxa"/>
          </w:tblCellMar>
        </w:tblPrEx>
        <w:tc>
          <w:tcPr>
            <w:tcW w:w="32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053D86C7" w14:textId="77777777" w:rsidR="00A017F4" w:rsidRDefault="00000000">
            <w:r>
              <w:rPr>
                <w:color w:val="1A1A1A"/>
                <w:sz w:val="21"/>
                <w:szCs w:val="21"/>
              </w:rPr>
              <w:t>Revenue Growth</w:t>
            </w:r>
          </w:p>
        </w:tc>
        <w:tc>
          <w:tcPr>
            <w:tcW w:w="616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24682D7A" w14:textId="77777777" w:rsidR="00A017F4" w:rsidRDefault="00000000">
            <w:r>
              <w:rPr>
                <w:color w:val="1A1A1A"/>
                <w:sz w:val="21"/>
                <w:szCs w:val="21"/>
              </w:rPr>
              <w:t>Revenue without margin is meaningless. A company can grow revenue by selling at a loss. We focus on EPS growth because it captures whether the growth is actually profitable.</w:t>
            </w:r>
          </w:p>
        </w:tc>
      </w:tr>
      <w:tr w:rsidR="00A017F4" w14:paraId="6C942A88" w14:textId="77777777">
        <w:tblPrEx>
          <w:tblCellMar>
            <w:top w:w="0" w:type="dxa"/>
            <w:bottom w:w="0" w:type="dxa"/>
          </w:tblCellMar>
        </w:tblPrEx>
        <w:tc>
          <w:tcPr>
            <w:tcW w:w="32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23BDE4BC" w14:textId="77777777" w:rsidR="00A017F4" w:rsidRDefault="00000000">
            <w:r>
              <w:rPr>
                <w:color w:val="1A1A1A"/>
                <w:sz w:val="21"/>
                <w:szCs w:val="21"/>
              </w:rPr>
              <w:t>Price-to-Book (P/B)</w:t>
            </w:r>
          </w:p>
        </w:tc>
        <w:tc>
          <w:tcPr>
            <w:tcW w:w="616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46FCD56A" w14:textId="77777777" w:rsidR="00A017F4" w:rsidRDefault="00000000">
            <w:r>
              <w:rPr>
                <w:color w:val="1A1A1A"/>
                <w:sz w:val="21"/>
                <w:szCs w:val="21"/>
              </w:rPr>
              <w:t>Mostly relevant for asset-heavy industries (metals, real estate) but misleading for asset-light businesses (software, FMCG). Too sector-specific to apply uniformly.</w:t>
            </w:r>
          </w:p>
        </w:tc>
      </w:tr>
      <w:tr w:rsidR="00A017F4" w14:paraId="4CD739C4" w14:textId="77777777">
        <w:tblPrEx>
          <w:tblCellMar>
            <w:top w:w="0" w:type="dxa"/>
            <w:bottom w:w="0" w:type="dxa"/>
          </w:tblCellMar>
        </w:tblPrEx>
        <w:tc>
          <w:tcPr>
            <w:tcW w:w="32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0B309A3F" w14:textId="77777777" w:rsidR="00A017F4" w:rsidRDefault="00000000">
            <w:r>
              <w:rPr>
                <w:color w:val="1A1A1A"/>
                <w:sz w:val="21"/>
                <w:szCs w:val="21"/>
              </w:rPr>
              <w:t>Short-term price patterns (technical analysis)</w:t>
            </w:r>
          </w:p>
        </w:tc>
        <w:tc>
          <w:tcPr>
            <w:tcW w:w="616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629A19A8" w14:textId="77777777" w:rsidR="00A017F4" w:rsidRDefault="00000000">
            <w:r>
              <w:rPr>
                <w:color w:val="1A1A1A"/>
                <w:sz w:val="21"/>
                <w:szCs w:val="21"/>
              </w:rPr>
              <w:t>Chart patterns, RSI, MACD etc. are short-term trading tools, not investment tools. We’re holding for 3–12 months minimum.</w:t>
            </w:r>
          </w:p>
        </w:tc>
      </w:tr>
      <w:tr w:rsidR="00A017F4" w14:paraId="74E4FFDB" w14:textId="77777777">
        <w:tblPrEx>
          <w:tblCellMar>
            <w:top w:w="0" w:type="dxa"/>
            <w:bottom w:w="0" w:type="dxa"/>
          </w:tblCellMar>
        </w:tblPrEx>
        <w:tc>
          <w:tcPr>
            <w:tcW w:w="32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77CFF814" w14:textId="77777777" w:rsidR="00A017F4" w:rsidRDefault="00000000">
            <w:r>
              <w:rPr>
                <w:color w:val="1A1A1A"/>
                <w:sz w:val="21"/>
                <w:szCs w:val="21"/>
              </w:rPr>
              <w:t>News &amp; Events</w:t>
            </w:r>
          </w:p>
        </w:tc>
        <w:tc>
          <w:tcPr>
            <w:tcW w:w="616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006D1C58" w14:textId="77777777" w:rsidR="00A017F4" w:rsidRDefault="00000000">
            <w:r>
              <w:rPr>
                <w:color w:val="1A1A1A"/>
                <w:sz w:val="21"/>
                <w:szCs w:val="21"/>
              </w:rPr>
              <w:t>Earnings announcements, management guidance, and macro events are manually assessed. No model can automatically score what the CEO said in a press conference.</w:t>
            </w:r>
          </w:p>
        </w:tc>
      </w:tr>
      <w:tr w:rsidR="00A017F4" w14:paraId="79671ABB" w14:textId="77777777">
        <w:tblPrEx>
          <w:tblCellMar>
            <w:top w:w="0" w:type="dxa"/>
            <w:bottom w:w="0" w:type="dxa"/>
          </w:tblCellMar>
        </w:tblPrEx>
        <w:tc>
          <w:tcPr>
            <w:tcW w:w="32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103874FD" w14:textId="77777777" w:rsidR="00A017F4" w:rsidRDefault="00000000">
            <w:r>
              <w:rPr>
                <w:color w:val="1A1A1A"/>
                <w:sz w:val="21"/>
                <w:szCs w:val="21"/>
              </w:rPr>
              <w:t>ESG factors</w:t>
            </w:r>
          </w:p>
        </w:tc>
        <w:tc>
          <w:tcPr>
            <w:tcW w:w="616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60ECD9A9" w14:textId="77777777" w:rsidR="00A017F4" w:rsidRDefault="00000000">
            <w:r>
              <w:rPr>
                <w:color w:val="1A1A1A"/>
                <w:sz w:val="21"/>
                <w:szCs w:val="21"/>
              </w:rPr>
              <w:t>Environmental, Social, Governance scoring is subjective and data quality in India is inconsistent. Would add noise.</w:t>
            </w:r>
          </w:p>
        </w:tc>
      </w:tr>
    </w:tbl>
    <w:p w14:paraId="03797F2F" w14:textId="77777777" w:rsidR="00A017F4" w:rsidRDefault="00A017F4">
      <w:pPr>
        <w:pBdr>
          <w:bottom w:val="single" w:sz="4" w:space="1" w:color="DDDDDD"/>
        </w:pBdr>
        <w:spacing w:before="200" w:after="200"/>
      </w:pPr>
    </w:p>
    <w:p w14:paraId="6710DC4E" w14:textId="77777777" w:rsidR="00A017F4" w:rsidRDefault="00A017F4">
      <w:pPr>
        <w:pageBreakBefore/>
      </w:pPr>
    </w:p>
    <w:p w14:paraId="0CE078F3" w14:textId="77777777" w:rsidR="00A017F4" w:rsidRDefault="00000000">
      <w:pPr>
        <w:pStyle w:val="Heading1"/>
      </w:pPr>
      <w:r>
        <w:t>6. What We Use That We Could Drop (Or Reduce Weight)</w:t>
      </w:r>
    </w:p>
    <w:p w14:paraId="1A8CC93D" w14:textId="77777777" w:rsidR="00A017F4" w:rsidRDefault="00000000">
      <w:pPr>
        <w:spacing w:after="160"/>
      </w:pPr>
      <w:r>
        <w:rPr>
          <w:color w:val="1A1A1A"/>
        </w:rPr>
        <w:t>Be honest with yourself: not every metric will prove its worth over time. Here are the candidates to review after 2–3 years of real data:</w:t>
      </w:r>
    </w:p>
    <w:p w14:paraId="2610DD2A" w14:textId="77777777" w:rsidR="00A017F4" w:rsidRDefault="00000000">
      <w:pPr>
        <w:spacing w:after="160"/>
      </w:pPr>
      <w:r>
        <w:rPr>
          <w:color w:val="1A1A1A"/>
        </w:rPr>
        <w:t xml:space="preserve"> </w:t>
      </w:r>
    </w:p>
    <w:p w14:paraId="700149FB" w14:textId="77777777" w:rsidR="00A017F4" w:rsidRDefault="00000000">
      <w:pPr>
        <w:pStyle w:val="Heading2"/>
      </w:pPr>
      <w:r>
        <w:t>EPS Consistency (CV) — 5 points</w:t>
      </w:r>
    </w:p>
    <w:p w14:paraId="7C800516" w14:textId="77777777" w:rsidR="00A017F4" w:rsidRDefault="00000000">
      <w:pPr>
        <w:spacing w:after="160"/>
      </w:pPr>
      <w:r>
        <w:rPr>
          <w:color w:val="1A1A1A"/>
        </w:rPr>
        <w:t>This is the weakest signal in the model. For large-cap Nifty 50 companies, EPS is almost always fairly consistent by nature — they’re not small volatile startups. This metric might not differentiate meaningfully between companies at this index level.</w:t>
      </w:r>
    </w:p>
    <w:p w14:paraId="56501434" w14:textId="77777777" w:rsidR="00A017F4" w:rsidRDefault="00000000">
      <w:pPr>
        <w:spacing w:after="160"/>
      </w:pPr>
      <w:r>
        <w:rPr>
          <w:color w:val="1A1A1A"/>
        </w:rPr>
        <w:t xml:space="preserve"> </w:t>
      </w:r>
    </w:p>
    <w:p w14:paraId="5923E86E" w14:textId="77777777" w:rsidR="00A017F4" w:rsidRDefault="00000000">
      <w:pPr>
        <w:spacing w:after="160"/>
      </w:pPr>
      <w:r>
        <w:rPr>
          <w:b/>
          <w:bCs/>
          <w:color w:val="1A1A1A"/>
        </w:rPr>
        <w:t xml:space="preserve">Action: </w:t>
      </w:r>
      <w:r>
        <w:rPr>
          <w:color w:val="1A1A1A"/>
        </w:rPr>
        <w:t xml:space="preserve">Wait 2 years of </w:t>
      </w:r>
      <w:proofErr w:type="spellStart"/>
      <w:r>
        <w:rPr>
          <w:color w:val="1A1A1A"/>
        </w:rPr>
        <w:t>backtest</w:t>
      </w:r>
      <w:proofErr w:type="spellEnd"/>
      <w:r>
        <w:rPr>
          <w:color w:val="1A1A1A"/>
        </w:rPr>
        <w:t xml:space="preserve"> data. If removing it doesn’t change your rankings significantly, drop it and redistribute its 5 points to Momentum.</w:t>
      </w:r>
    </w:p>
    <w:p w14:paraId="5198A01F" w14:textId="77777777" w:rsidR="00A017F4" w:rsidRDefault="00000000">
      <w:pPr>
        <w:spacing w:after="160"/>
      </w:pPr>
      <w:r>
        <w:rPr>
          <w:color w:val="1A1A1A"/>
        </w:rPr>
        <w:t xml:space="preserve"> </w:t>
      </w:r>
    </w:p>
    <w:p w14:paraId="6743AF22" w14:textId="77777777" w:rsidR="00A017F4" w:rsidRDefault="00000000">
      <w:pPr>
        <w:pStyle w:val="Heading2"/>
      </w:pPr>
      <w:r>
        <w:t>1-Month Momentum — 5 points</w:t>
      </w:r>
    </w:p>
    <w:p w14:paraId="2AA29E71" w14:textId="77777777" w:rsidR="00A017F4" w:rsidRDefault="00000000">
      <w:pPr>
        <w:spacing w:after="160"/>
      </w:pPr>
      <w:r>
        <w:rPr>
          <w:color w:val="1A1A1A"/>
        </w:rPr>
        <w:t>One month is a very short window and prone to noise. A stock might have dropped 3% in one month purely because one large fund sold to rebalance — this tells you nothing about the underlying business.</w:t>
      </w:r>
    </w:p>
    <w:p w14:paraId="3BA52EE4" w14:textId="77777777" w:rsidR="00A017F4" w:rsidRDefault="00000000">
      <w:pPr>
        <w:spacing w:after="160"/>
      </w:pPr>
      <w:r>
        <w:rPr>
          <w:color w:val="1A1A1A"/>
        </w:rPr>
        <w:t xml:space="preserve"> </w:t>
      </w:r>
    </w:p>
    <w:p w14:paraId="4B04B280" w14:textId="77777777" w:rsidR="00A017F4" w:rsidRDefault="00000000">
      <w:pPr>
        <w:spacing w:after="160"/>
      </w:pPr>
      <w:r>
        <w:rPr>
          <w:b/>
          <w:bCs/>
          <w:color w:val="1A1A1A"/>
        </w:rPr>
        <w:t xml:space="preserve">Action: </w:t>
      </w:r>
      <w:r>
        <w:rPr>
          <w:color w:val="1A1A1A"/>
        </w:rPr>
        <w:t>Consider replacing the 1M signal with a 12M relative return signal, which is better supported by academic research on momentum.</w:t>
      </w:r>
    </w:p>
    <w:p w14:paraId="0E40B1E5" w14:textId="77777777" w:rsidR="00A017F4" w:rsidRDefault="00000000">
      <w:pPr>
        <w:spacing w:after="160"/>
      </w:pPr>
      <w:r>
        <w:rPr>
          <w:color w:val="1A1A1A"/>
        </w:rPr>
        <w:t xml:space="preserve"> </w:t>
      </w:r>
    </w:p>
    <w:p w14:paraId="62F5460D" w14:textId="77777777" w:rsidR="00A017F4" w:rsidRDefault="00000000">
      <w:pPr>
        <w:pStyle w:val="Heading2"/>
      </w:pPr>
      <w:r>
        <w:t>Analyst Forward EPS (for scoring)</w:t>
      </w:r>
    </w:p>
    <w:p w14:paraId="768D52D6" w14:textId="77777777" w:rsidR="00A017F4" w:rsidRDefault="00000000">
      <w:pPr>
        <w:spacing w:after="160"/>
      </w:pPr>
      <w:r>
        <w:rPr>
          <w:color w:val="1A1A1A"/>
        </w:rPr>
        <w:t>We show both analyst and derived EPS, but only use our derived EPS for scoring the PEG and Forward P/E. This is correct. Analyst estimates for Indian companies are often unreliable — thin coverage, outdated models. The display is useful for awareness; you’re right not to score with it.</w:t>
      </w:r>
    </w:p>
    <w:p w14:paraId="26AFCE16" w14:textId="77777777" w:rsidR="00A017F4" w:rsidRDefault="00A017F4">
      <w:pPr>
        <w:pBdr>
          <w:bottom w:val="single" w:sz="4" w:space="1" w:color="DDDDDD"/>
        </w:pBdr>
        <w:spacing w:before="200" w:after="200"/>
      </w:pPr>
    </w:p>
    <w:p w14:paraId="4181DCA9" w14:textId="77777777" w:rsidR="00A017F4" w:rsidRDefault="00A017F4">
      <w:pPr>
        <w:pageBreakBefore/>
      </w:pPr>
    </w:p>
    <w:p w14:paraId="2DFB21DA" w14:textId="77777777" w:rsidR="00A017F4" w:rsidRDefault="00000000">
      <w:pPr>
        <w:pStyle w:val="Heading1"/>
      </w:pPr>
      <w:r>
        <w:t>7. What We Should Add (That We Haven’t Yet)</w:t>
      </w:r>
    </w:p>
    <w:p w14:paraId="164E7599" w14:textId="77777777" w:rsidR="00A017F4" w:rsidRDefault="00000000">
      <w:pPr>
        <w:spacing w:after="160"/>
      </w:pPr>
      <w:r>
        <w:rPr>
          <w:color w:val="1A1A1A"/>
        </w:rPr>
        <w:t>These are the most impactful improvements, ranked by importance:</w:t>
      </w:r>
    </w:p>
    <w:p w14:paraId="5B023A68" w14:textId="77777777" w:rsidR="00A017F4" w:rsidRDefault="00000000">
      <w:pPr>
        <w:spacing w:after="160"/>
      </w:pPr>
      <w:r>
        <w:rPr>
          <w:color w:val="1A1A1A"/>
        </w:rPr>
        <w:t xml:space="preserve"> </w:t>
      </w:r>
    </w:p>
    <w:p w14:paraId="7F87A116" w14:textId="77777777" w:rsidR="00A017F4" w:rsidRDefault="00000000">
      <w:pPr>
        <w:pStyle w:val="Heading2"/>
      </w:pPr>
      <w:r>
        <w:t>Priority 1 — Free Cash Flow (FCF) Growth</w:t>
      </w:r>
    </w:p>
    <w:p w14:paraId="113BCC1F" w14:textId="77777777" w:rsidR="00A017F4" w:rsidRDefault="00000000">
      <w:pPr>
        <w:spacing w:after="160"/>
      </w:pPr>
      <w:r>
        <w:rPr>
          <w:color w:val="1A1A1A"/>
        </w:rPr>
        <w:t>This is the single most important metric we’re missing. EPS can be manipulated through accounting choices (depreciation, write-offs, capitalisation of expenses). Free Cash Flow cannot. It’s real money: Cash generated from the business minus capital expenditure.</w:t>
      </w:r>
    </w:p>
    <w:p w14:paraId="3E126FF1" w14:textId="77777777" w:rsidR="00A017F4" w:rsidRDefault="00000000">
      <w:pPr>
        <w:spacing w:after="160"/>
      </w:pPr>
      <w:r>
        <w:rPr>
          <w:color w:val="1A1A1A"/>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17F4" w14:paraId="6AEA4543" w14:textId="77777777">
        <w:tblPrEx>
          <w:tblCellMar>
            <w:top w:w="0" w:type="dxa"/>
            <w:bottom w:w="0" w:type="dxa"/>
          </w:tblCellMar>
        </w:tblPrEx>
        <w:tc>
          <w:tcPr>
            <w:tcW w:w="9360" w:type="dxa"/>
            <w:tcBorders>
              <w:top w:val="single" w:sz="12" w:space="0" w:color="E6A817"/>
              <w:left w:val="single" w:sz="24" w:space="0" w:color="E6A817"/>
              <w:bottom w:val="single" w:sz="12" w:space="0" w:color="E6A817"/>
            </w:tcBorders>
            <w:shd w:val="clear" w:color="auto" w:fill="FFF3CD"/>
            <w:tcMar>
              <w:top w:w="120" w:type="dxa"/>
              <w:left w:w="160" w:type="dxa"/>
              <w:bottom w:w="120" w:type="dxa"/>
              <w:right w:w="160" w:type="dxa"/>
            </w:tcMar>
          </w:tcPr>
          <w:p w14:paraId="645D509B" w14:textId="77777777" w:rsidR="00A017F4" w:rsidRDefault="00000000">
            <w:r>
              <w:rPr>
                <w:i/>
                <w:iCs/>
                <w:color w:val="3D2B00"/>
                <w:sz w:val="21"/>
                <w:szCs w:val="21"/>
              </w:rPr>
              <w:t>Analogy: A person earns ₹20 lakh salary but has a car loan, flat EMI, and credit card debt that costs ₹19 lakh per year. On paper they look wealthy (₹20L income). In reality they have almost no free cash. Free Cash Flow shows you the real picture.</w:t>
            </w:r>
          </w:p>
        </w:tc>
      </w:tr>
    </w:tbl>
    <w:p w14:paraId="38701E51" w14:textId="77777777" w:rsidR="00A017F4" w:rsidRDefault="00000000">
      <w:pPr>
        <w:spacing w:after="160"/>
      </w:pPr>
      <w:r>
        <w:rPr>
          <w:color w:val="1A1A1A"/>
        </w:rPr>
        <w:t xml:space="preserve"> </w:t>
      </w:r>
    </w:p>
    <w:p w14:paraId="4047D062" w14:textId="77777777" w:rsidR="00A017F4" w:rsidRDefault="00000000">
      <w:pPr>
        <w:spacing w:after="160"/>
      </w:pPr>
      <w:r>
        <w:rPr>
          <w:b/>
          <w:bCs/>
          <w:color w:val="1A1A1A"/>
        </w:rPr>
        <w:t xml:space="preserve">How to add: </w:t>
      </w:r>
      <w:r>
        <w:rPr>
          <w:color w:val="1A1A1A"/>
        </w:rPr>
        <w:t>Replace or supplement the EPS Consistency metric with FCF Growth or FCF Yield (Free Cash Flow per share ÷ Price). Give it 8–10 points.</w:t>
      </w:r>
    </w:p>
    <w:p w14:paraId="1E1219F8" w14:textId="77777777" w:rsidR="00A017F4" w:rsidRDefault="00000000">
      <w:pPr>
        <w:spacing w:after="160"/>
      </w:pPr>
      <w:r>
        <w:rPr>
          <w:color w:val="1A1A1A"/>
        </w:rPr>
        <w:t xml:space="preserve"> </w:t>
      </w:r>
    </w:p>
    <w:p w14:paraId="377AF4D1" w14:textId="77777777" w:rsidR="00A017F4" w:rsidRDefault="00000000">
      <w:pPr>
        <w:pStyle w:val="Heading2"/>
      </w:pPr>
      <w:r>
        <w:t>Priority 2 — Promoter Holding Trend</w:t>
      </w:r>
    </w:p>
    <w:p w14:paraId="030ED8D6" w14:textId="77777777" w:rsidR="00A017F4" w:rsidRDefault="00000000">
      <w:pPr>
        <w:spacing w:after="160"/>
      </w:pPr>
      <w:r>
        <w:rPr>
          <w:color w:val="1A1A1A"/>
        </w:rPr>
        <w:t>Promoter holding = what % of the company do the founders/family still own? The trend matters more than the absolute number.</w:t>
      </w:r>
    </w:p>
    <w:p w14:paraId="6BA13439" w14:textId="77777777" w:rsidR="00A017F4" w:rsidRDefault="00000000">
      <w:pPr>
        <w:pStyle w:val="ListParagraph"/>
        <w:numPr>
          <w:ilvl w:val="0"/>
          <w:numId w:val="2"/>
        </w:numPr>
        <w:spacing w:before="60" w:after="60"/>
      </w:pPr>
      <w:r>
        <w:rPr>
          <w:color w:val="1A1A1A"/>
        </w:rPr>
        <w:t>Promoters increasing their stake — extremely bullish signal. They’re buying more of their own company.</w:t>
      </w:r>
    </w:p>
    <w:p w14:paraId="225D6E8A" w14:textId="77777777" w:rsidR="00A017F4" w:rsidRDefault="00000000">
      <w:pPr>
        <w:pStyle w:val="ListParagraph"/>
        <w:numPr>
          <w:ilvl w:val="0"/>
          <w:numId w:val="2"/>
        </w:numPr>
        <w:spacing w:before="60" w:after="60"/>
      </w:pPr>
      <w:r>
        <w:rPr>
          <w:color w:val="1A1A1A"/>
        </w:rPr>
        <w:t>Promoters steadily reducing their stake — red flag. They’re selling what they know.</w:t>
      </w:r>
    </w:p>
    <w:p w14:paraId="75666A0A" w14:textId="77777777" w:rsidR="00A017F4" w:rsidRDefault="00000000">
      <w:pPr>
        <w:spacing w:after="160"/>
      </w:pPr>
      <w:r>
        <w:rPr>
          <w:color w:val="1A1A1A"/>
        </w:rPr>
        <w:t xml:space="preserve"> </w:t>
      </w:r>
    </w:p>
    <w:p w14:paraId="74FEED87" w14:textId="77777777" w:rsidR="00A017F4" w:rsidRDefault="00000000">
      <w:pPr>
        <w:spacing w:after="160"/>
      </w:pPr>
      <w:r>
        <w:rPr>
          <w:b/>
          <w:bCs/>
          <w:color w:val="1A1A1A"/>
        </w:rPr>
        <w:t xml:space="preserve">The catch: </w:t>
      </w:r>
      <w:r>
        <w:rPr>
          <w:color w:val="1A1A1A"/>
        </w:rPr>
        <w:t>This data is quarterly (from stock exchange filings) and would need to be manually updated or sourced from NSE/BSE directly. It’s already on your roadmap.</w:t>
      </w:r>
    </w:p>
    <w:p w14:paraId="72EB4375" w14:textId="77777777" w:rsidR="00A017F4" w:rsidRDefault="00000000">
      <w:pPr>
        <w:spacing w:after="160"/>
      </w:pPr>
      <w:r>
        <w:rPr>
          <w:color w:val="1A1A1A"/>
        </w:rPr>
        <w:t xml:space="preserve"> </w:t>
      </w:r>
    </w:p>
    <w:p w14:paraId="4687E39A" w14:textId="77777777" w:rsidR="00A017F4" w:rsidRDefault="00000000">
      <w:pPr>
        <w:pStyle w:val="Heading2"/>
      </w:pPr>
      <w:r>
        <w:t>Priority 3 — 12-Month Momentum</w:t>
      </w:r>
    </w:p>
    <w:p w14:paraId="66336DC6" w14:textId="77777777" w:rsidR="00A017F4" w:rsidRDefault="00000000">
      <w:pPr>
        <w:spacing w:after="160"/>
      </w:pPr>
      <w:r>
        <w:rPr>
          <w:color w:val="1A1A1A"/>
        </w:rPr>
        <w:t>Research by Jegadeesh &amp; Titman (the landmark academic paper on momentum) showed the strongest momentum signal is 12 months with the most recent 1 month excluded. This prevents you from accidentally buying stocks that just had a sharp short-term spike that’s likely to reverse.</w:t>
      </w:r>
    </w:p>
    <w:p w14:paraId="5E07352C" w14:textId="77777777" w:rsidR="00A017F4" w:rsidRDefault="00000000">
      <w:pPr>
        <w:spacing w:after="160"/>
      </w:pPr>
      <w:r>
        <w:rPr>
          <w:color w:val="1A1A1A"/>
        </w:rPr>
        <w:t xml:space="preserve"> </w:t>
      </w:r>
    </w:p>
    <w:p w14:paraId="558FB692" w14:textId="77777777" w:rsidR="00A017F4" w:rsidRDefault="00000000">
      <w:pPr>
        <w:spacing w:after="160"/>
      </w:pPr>
      <w:r>
        <w:rPr>
          <w:color w:val="1A1A1A"/>
        </w:rPr>
        <w:lastRenderedPageBreak/>
        <w:t xml:space="preserve">The formula: </w:t>
      </w:r>
      <w:r>
        <w:rPr>
          <w:b/>
          <w:bCs/>
          <w:color w:val="1A1A1A"/>
        </w:rPr>
        <w:t>Return from 12 months ago to 1 month ago</w:t>
      </w:r>
      <w:r>
        <w:rPr>
          <w:color w:val="1A1A1A"/>
        </w:rPr>
        <w:t xml:space="preserve"> (not including the most recent month). Consider adding this as a 4th momentum period.</w:t>
      </w:r>
    </w:p>
    <w:p w14:paraId="055BD3DD" w14:textId="77777777" w:rsidR="00A017F4" w:rsidRDefault="00000000">
      <w:pPr>
        <w:spacing w:after="160"/>
      </w:pPr>
      <w:r>
        <w:rPr>
          <w:color w:val="1A1A1A"/>
        </w:rPr>
        <w:t xml:space="preserve"> </w:t>
      </w:r>
    </w:p>
    <w:p w14:paraId="2EDB6A14" w14:textId="77777777" w:rsidR="00A017F4" w:rsidRDefault="00000000">
      <w:pPr>
        <w:pStyle w:val="Heading2"/>
      </w:pPr>
      <w:r>
        <w:t>Priority 4 — Interest Coverage Ratio</w:t>
      </w:r>
    </w:p>
    <w:p w14:paraId="32813BDC" w14:textId="77777777" w:rsidR="00A017F4" w:rsidRDefault="00000000">
      <w:pPr>
        <w:spacing w:after="160"/>
      </w:pPr>
      <w:r>
        <w:rPr>
          <w:color w:val="1A1A1A"/>
        </w:rPr>
        <w:t>For non-banking stocks with debt, the D/E ratio tells you how much debt exists, but not whether the company can comfortably service it. Interest Coverage = Operating Profit ÷ Interest Expense. A ratio below 1.5 means the company is struggling to pay interest from its profits — a stress signal even if absolute debt seems manageable.</w:t>
      </w:r>
    </w:p>
    <w:p w14:paraId="22E24269" w14:textId="77777777" w:rsidR="00A017F4" w:rsidRDefault="00A017F4">
      <w:pPr>
        <w:pBdr>
          <w:bottom w:val="single" w:sz="4" w:space="1" w:color="DDDDDD"/>
        </w:pBdr>
        <w:spacing w:before="200" w:after="200"/>
      </w:pPr>
    </w:p>
    <w:p w14:paraId="5D1A87AA" w14:textId="77777777" w:rsidR="00A017F4" w:rsidRDefault="00A017F4">
      <w:pPr>
        <w:pageBreakBefore/>
      </w:pPr>
    </w:p>
    <w:p w14:paraId="5DD37693" w14:textId="77777777" w:rsidR="00A017F4" w:rsidRDefault="00000000">
      <w:pPr>
        <w:pStyle w:val="Heading1"/>
      </w:pPr>
      <w:r>
        <w:t>8. How to Think Like a Fund Manager</w:t>
      </w:r>
    </w:p>
    <w:p w14:paraId="1478BBDF" w14:textId="77777777" w:rsidR="00A017F4" w:rsidRDefault="00000000">
      <w:pPr>
        <w:spacing w:after="160"/>
      </w:pPr>
      <w:r>
        <w:rPr>
          <w:color w:val="1A1A1A"/>
        </w:rPr>
        <w:t>The dashboard gives you data. What you do with it is the art. Here’s how a professional investor would use this system.</w:t>
      </w:r>
    </w:p>
    <w:p w14:paraId="76CC2503" w14:textId="77777777" w:rsidR="00A017F4" w:rsidRDefault="00000000">
      <w:pPr>
        <w:spacing w:after="160"/>
      </w:pPr>
      <w:r>
        <w:rPr>
          <w:color w:val="1A1A1A"/>
        </w:rPr>
        <w:t xml:space="preserve"> </w:t>
      </w:r>
    </w:p>
    <w:p w14:paraId="10B4DD7A" w14:textId="77777777" w:rsidR="00A017F4" w:rsidRDefault="00000000">
      <w:pPr>
        <w:pStyle w:val="Heading2"/>
      </w:pPr>
      <w:r>
        <w:t>Rule 1: The Score Is a Filter, Not a Final Answer</w:t>
      </w:r>
    </w:p>
    <w:p w14:paraId="05A14EB1" w14:textId="77777777" w:rsidR="00A017F4" w:rsidRDefault="00000000">
      <w:pPr>
        <w:spacing w:after="160"/>
      </w:pPr>
      <w:r>
        <w:rPr>
          <w:color w:val="1A1A1A"/>
        </w:rPr>
        <w:t>A high score tells you where to look harder. It is not a buy order. Before acting on any top-25 stock, do a 5-minute sanity check:</w:t>
      </w:r>
    </w:p>
    <w:p w14:paraId="185486B7" w14:textId="77777777" w:rsidR="00A017F4" w:rsidRDefault="00000000">
      <w:pPr>
        <w:pStyle w:val="ListParagraph"/>
        <w:numPr>
          <w:ilvl w:val="0"/>
          <w:numId w:val="2"/>
        </w:numPr>
        <w:spacing w:before="60" w:after="60"/>
      </w:pPr>
      <w:r>
        <w:rPr>
          <w:color w:val="1A1A1A"/>
        </w:rPr>
        <w:t>Read the last earnings call summary (Google “[stock name] Q3 earnings call transcript”)</w:t>
      </w:r>
    </w:p>
    <w:p w14:paraId="7DC0C69C" w14:textId="77777777" w:rsidR="00A017F4" w:rsidRDefault="00000000">
      <w:pPr>
        <w:pStyle w:val="ListParagraph"/>
        <w:numPr>
          <w:ilvl w:val="0"/>
          <w:numId w:val="2"/>
        </w:numPr>
        <w:spacing w:before="60" w:after="60"/>
      </w:pPr>
      <w:r>
        <w:rPr>
          <w:color w:val="1A1A1A"/>
        </w:rPr>
        <w:t>Check if there’s any major news — regulatory issues, management changes, large debt taken on</w:t>
      </w:r>
    </w:p>
    <w:p w14:paraId="67904E59" w14:textId="77777777" w:rsidR="00A017F4" w:rsidRDefault="00000000">
      <w:pPr>
        <w:pStyle w:val="ListParagraph"/>
        <w:numPr>
          <w:ilvl w:val="0"/>
          <w:numId w:val="2"/>
        </w:numPr>
        <w:spacing w:before="60" w:after="60"/>
      </w:pPr>
      <w:r>
        <w:rPr>
          <w:color w:val="1A1A1A"/>
        </w:rPr>
        <w:t>Look at the promoter holding trend (BSE or NSE website)</w:t>
      </w:r>
    </w:p>
    <w:p w14:paraId="261A99F4" w14:textId="77777777" w:rsidR="00A017F4" w:rsidRDefault="00000000">
      <w:pPr>
        <w:spacing w:after="160"/>
      </w:pPr>
      <w:r>
        <w:rPr>
          <w:color w:val="1A1A1A"/>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17F4" w14:paraId="0527948F" w14:textId="77777777">
        <w:tblPrEx>
          <w:tblCellMar>
            <w:top w:w="0" w:type="dxa"/>
            <w:bottom w:w="0" w:type="dxa"/>
          </w:tblCellMar>
        </w:tblPrEx>
        <w:tc>
          <w:tcPr>
            <w:tcW w:w="9360" w:type="dxa"/>
            <w:tcBorders>
              <w:top w:val="single" w:sz="12" w:space="0" w:color="E6A817"/>
              <w:left w:val="single" w:sz="24" w:space="0" w:color="E6A817"/>
              <w:bottom w:val="single" w:sz="12" w:space="0" w:color="E6A817"/>
            </w:tcBorders>
            <w:shd w:val="clear" w:color="auto" w:fill="FFF3CD"/>
            <w:tcMar>
              <w:top w:w="120" w:type="dxa"/>
              <w:left w:w="160" w:type="dxa"/>
              <w:bottom w:w="120" w:type="dxa"/>
              <w:right w:w="160" w:type="dxa"/>
            </w:tcMar>
          </w:tcPr>
          <w:p w14:paraId="6590F583" w14:textId="77777777" w:rsidR="00A017F4" w:rsidRDefault="00000000">
            <w:r>
              <w:rPr>
                <w:i/>
                <w:iCs/>
                <w:color w:val="3D2B00"/>
                <w:sz w:val="21"/>
                <w:szCs w:val="21"/>
              </w:rPr>
              <w:t>Analogy: The score is like a restaurant’s Zomato rating. A 4.5-star restaurant is worth visiting, but you still read the reviews before booking a table. High score + no red flags = confident buy.</w:t>
            </w:r>
          </w:p>
        </w:tc>
      </w:tr>
    </w:tbl>
    <w:p w14:paraId="5A7AEFFD" w14:textId="77777777" w:rsidR="00A017F4" w:rsidRDefault="00000000">
      <w:pPr>
        <w:spacing w:after="160"/>
      </w:pPr>
      <w:r>
        <w:rPr>
          <w:color w:val="1A1A1A"/>
        </w:rPr>
        <w:t xml:space="preserve"> </w:t>
      </w:r>
    </w:p>
    <w:p w14:paraId="3955A609" w14:textId="77777777" w:rsidR="00A017F4" w:rsidRDefault="00000000">
      <w:pPr>
        <w:pStyle w:val="Heading2"/>
      </w:pPr>
      <w:r>
        <w:t>Rule 2: The Bottom 25 Tells You More Than the Top 25</w:t>
      </w:r>
    </w:p>
    <w:p w14:paraId="25CF7B0B" w14:textId="77777777" w:rsidR="00A017F4" w:rsidRDefault="00000000">
      <w:pPr>
        <w:spacing w:after="160"/>
      </w:pPr>
      <w:r>
        <w:rPr>
          <w:color w:val="1A1A1A"/>
        </w:rPr>
        <w:t>Most investors focus on what to buy. Professionals obsess over what to avoid. The bottom 25 in your dashboard are stocks with weak fundamentals, expensive valuations, and poor momentum. Avoiding them is half the job.</w:t>
      </w:r>
    </w:p>
    <w:p w14:paraId="23B00B52" w14:textId="77777777" w:rsidR="00A017F4" w:rsidRDefault="00000000">
      <w:pPr>
        <w:spacing w:after="160"/>
      </w:pPr>
      <w:r>
        <w:rPr>
          <w:color w:val="1A1A1A"/>
        </w:rPr>
        <w:t xml:space="preserve"> </w:t>
      </w:r>
    </w:p>
    <w:p w14:paraId="33AF16B7" w14:textId="77777777" w:rsidR="00A017F4" w:rsidRDefault="00000000">
      <w:pPr>
        <w:spacing w:after="160"/>
      </w:pPr>
      <w:r>
        <w:rPr>
          <w:color w:val="1A1A1A"/>
        </w:rPr>
        <w:t>If you hold any stock that’s dropped into the bottom 25, that’s your sell signal — not price movement.</w:t>
      </w:r>
    </w:p>
    <w:p w14:paraId="5F0740B9" w14:textId="77777777" w:rsidR="00A017F4" w:rsidRDefault="00000000">
      <w:pPr>
        <w:spacing w:after="160"/>
      </w:pPr>
      <w:r>
        <w:rPr>
          <w:color w:val="1A1A1A"/>
        </w:rPr>
        <w:t xml:space="preserve"> </w:t>
      </w:r>
    </w:p>
    <w:p w14:paraId="344AD5AB" w14:textId="77777777" w:rsidR="00A017F4" w:rsidRDefault="00000000">
      <w:pPr>
        <w:pStyle w:val="Heading2"/>
      </w:pPr>
      <w:r>
        <w:t>Rule 3: Rebalance Quarterly, Not Daily</w:t>
      </w:r>
    </w:p>
    <w:p w14:paraId="35F3E081" w14:textId="77777777" w:rsidR="00A017F4" w:rsidRDefault="00000000">
      <w:pPr>
        <w:spacing w:after="160"/>
      </w:pPr>
      <w:r>
        <w:rPr>
          <w:color w:val="1A1A1A"/>
        </w:rPr>
        <w:t>Your model is designed for quarterly rebalancing. The scoring uses quarterly fundamental data and medium-term momentum (3–6 months). Checking the dashboard daily and making decisions is counterproductive — you’ll generate transaction costs and emotional noise.</w:t>
      </w:r>
    </w:p>
    <w:p w14:paraId="67F89778" w14:textId="77777777" w:rsidR="00A017F4" w:rsidRDefault="00000000">
      <w:pPr>
        <w:spacing w:after="160"/>
      </w:pPr>
      <w:r>
        <w:rPr>
          <w:color w:val="1A1A1A"/>
        </w:rPr>
        <w:t xml:space="preserve"> </w:t>
      </w:r>
    </w:p>
    <w:p w14:paraId="46D7B1EE" w14:textId="77777777" w:rsidR="00A017F4" w:rsidRDefault="00000000">
      <w:pPr>
        <w:spacing w:after="160"/>
      </w:pPr>
      <w:r>
        <w:rPr>
          <w:b/>
          <w:bCs/>
          <w:color w:val="1A1A1A"/>
        </w:rPr>
        <w:t xml:space="preserve">The schedule: </w:t>
      </w:r>
      <w:r>
        <w:rPr>
          <w:color w:val="1A1A1A"/>
        </w:rPr>
        <w:t>Review and rebalance every quarter. Sell stocks that have left the top 25. Buy those that have entered. Resist the urge to react to daily moves.</w:t>
      </w:r>
    </w:p>
    <w:p w14:paraId="5BD1E168" w14:textId="77777777" w:rsidR="00A017F4" w:rsidRDefault="00000000">
      <w:pPr>
        <w:spacing w:after="160"/>
      </w:pPr>
      <w:r>
        <w:rPr>
          <w:color w:val="1A1A1A"/>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17F4" w14:paraId="1BADA9D3" w14:textId="77777777">
        <w:tblPrEx>
          <w:tblCellMar>
            <w:top w:w="0" w:type="dxa"/>
            <w:bottom w:w="0" w:type="dxa"/>
          </w:tblCellMar>
        </w:tblPrEx>
        <w:tc>
          <w:tcPr>
            <w:tcW w:w="9360" w:type="dxa"/>
            <w:tcBorders>
              <w:top w:val="single" w:sz="12" w:space="0" w:color="E6A817"/>
              <w:left w:val="single" w:sz="24" w:space="0" w:color="E6A817"/>
              <w:bottom w:val="single" w:sz="12" w:space="0" w:color="E6A817"/>
            </w:tcBorders>
            <w:shd w:val="clear" w:color="auto" w:fill="FFF3CD"/>
            <w:tcMar>
              <w:top w:w="120" w:type="dxa"/>
              <w:left w:w="160" w:type="dxa"/>
              <w:bottom w:w="120" w:type="dxa"/>
              <w:right w:w="160" w:type="dxa"/>
            </w:tcMar>
          </w:tcPr>
          <w:p w14:paraId="1DC14CD8" w14:textId="77777777" w:rsidR="00A017F4" w:rsidRDefault="00000000">
            <w:r>
              <w:rPr>
                <w:i/>
                <w:iCs/>
                <w:color w:val="3D2B00"/>
                <w:sz w:val="21"/>
                <w:szCs w:val="21"/>
              </w:rPr>
              <w:lastRenderedPageBreak/>
              <w:t>Analogy: You don’t weigh yourself every hour to track your diet. You weigh yourself every week. Daily fluctuations are noise; weekly trends are signal. Same for your portfolio — quarterly rebalancing is the right cadence for this model.</w:t>
            </w:r>
          </w:p>
        </w:tc>
      </w:tr>
    </w:tbl>
    <w:p w14:paraId="7058D5B2" w14:textId="77777777" w:rsidR="00A017F4" w:rsidRDefault="00000000">
      <w:pPr>
        <w:spacing w:after="160"/>
      </w:pPr>
      <w:r>
        <w:rPr>
          <w:color w:val="1A1A1A"/>
        </w:rPr>
        <w:t xml:space="preserve"> </w:t>
      </w:r>
    </w:p>
    <w:p w14:paraId="1B0B09E6" w14:textId="77777777" w:rsidR="00A017F4" w:rsidRDefault="00000000">
      <w:pPr>
        <w:pStyle w:val="Heading2"/>
      </w:pPr>
      <w:r>
        <w:t>Rule 4: Watch the Divergence Flag Closely</w:t>
      </w:r>
    </w:p>
    <w:p w14:paraId="11877654" w14:textId="77777777" w:rsidR="00A017F4" w:rsidRDefault="00000000">
      <w:pPr>
        <w:spacing w:after="160"/>
      </w:pPr>
      <w:r>
        <w:rPr>
          <w:color w:val="1A1A1A"/>
        </w:rPr>
        <w:t>When the ⚠ flag appears between your derived forward EPS and analyst consensus, that’s a conversation starter, not an alarm. Ask:</w:t>
      </w:r>
    </w:p>
    <w:p w14:paraId="14D329B8" w14:textId="77777777" w:rsidR="00A017F4" w:rsidRDefault="00000000">
      <w:pPr>
        <w:pStyle w:val="ListParagraph"/>
        <w:numPr>
          <w:ilvl w:val="0"/>
          <w:numId w:val="2"/>
        </w:numPr>
        <w:spacing w:before="60" w:after="60"/>
      </w:pPr>
      <w:r>
        <w:rPr>
          <w:color w:val="1A1A1A"/>
        </w:rPr>
        <w:t>Are analysts pricing in a major event (acquisition, new product, regulatory approval) that our trend doesn’t see?</w:t>
      </w:r>
    </w:p>
    <w:p w14:paraId="03F429FA" w14:textId="77777777" w:rsidR="00A017F4" w:rsidRDefault="00000000">
      <w:pPr>
        <w:pStyle w:val="ListParagraph"/>
        <w:numPr>
          <w:ilvl w:val="0"/>
          <w:numId w:val="2"/>
        </w:numPr>
        <w:spacing w:before="60" w:after="60"/>
      </w:pPr>
      <w:r>
        <w:rPr>
          <w:color w:val="1A1A1A"/>
        </w:rPr>
        <w:t>Or are analyst estimates polluted by one-off exceptional items?</w:t>
      </w:r>
    </w:p>
    <w:p w14:paraId="48FAFCCA" w14:textId="77777777" w:rsidR="00A017F4" w:rsidRDefault="00000000">
      <w:pPr>
        <w:spacing w:after="160"/>
      </w:pPr>
      <w:r>
        <w:rPr>
          <w:color w:val="1A1A1A"/>
        </w:rPr>
        <w:t xml:space="preserve"> </w:t>
      </w:r>
    </w:p>
    <w:p w14:paraId="5FC0A839" w14:textId="77777777" w:rsidR="00A017F4" w:rsidRDefault="00000000">
      <w:pPr>
        <w:spacing w:after="160"/>
      </w:pPr>
      <w:r>
        <w:rPr>
          <w:color w:val="1A1A1A"/>
        </w:rPr>
        <w:t>A ⚠ flag means “do more homework before acting on this stock” — not “avoid.”</w:t>
      </w:r>
    </w:p>
    <w:p w14:paraId="7D02808C" w14:textId="77777777" w:rsidR="00A017F4" w:rsidRDefault="00000000">
      <w:pPr>
        <w:spacing w:after="160"/>
      </w:pPr>
      <w:r>
        <w:rPr>
          <w:color w:val="1A1A1A"/>
        </w:rPr>
        <w:t xml:space="preserve"> </w:t>
      </w:r>
    </w:p>
    <w:p w14:paraId="640A8600" w14:textId="77777777" w:rsidR="00A017F4" w:rsidRDefault="00000000">
      <w:pPr>
        <w:pStyle w:val="Heading2"/>
      </w:pPr>
      <w:r>
        <w:t xml:space="preserve">Rule 5: The </w:t>
      </w:r>
      <w:proofErr w:type="spellStart"/>
      <w:r>
        <w:t>Backtest</w:t>
      </w:r>
      <w:proofErr w:type="spellEnd"/>
      <w:r>
        <w:t xml:space="preserve"> Is Evidence, Not a Promise</w:t>
      </w:r>
    </w:p>
    <w:p w14:paraId="02C393AF" w14:textId="77777777" w:rsidR="00A017F4" w:rsidRDefault="00000000">
      <w:pPr>
        <w:spacing w:after="160"/>
      </w:pPr>
      <w:r>
        <w:rPr>
          <w:color w:val="1A1A1A"/>
        </w:rPr>
        <w:t xml:space="preserve">The </w:t>
      </w:r>
      <w:proofErr w:type="spellStart"/>
      <w:r>
        <w:rPr>
          <w:color w:val="1A1A1A"/>
        </w:rPr>
        <w:t>backtest</w:t>
      </w:r>
      <w:proofErr w:type="spellEnd"/>
      <w:r>
        <w:rPr>
          <w:color w:val="1A1A1A"/>
        </w:rPr>
        <w:t xml:space="preserve"> shows how this model would have performed from 2022–2025 using historical data. Strong </w:t>
      </w:r>
      <w:proofErr w:type="spellStart"/>
      <w:r>
        <w:rPr>
          <w:color w:val="1A1A1A"/>
        </w:rPr>
        <w:t>backtest</w:t>
      </w:r>
      <w:proofErr w:type="spellEnd"/>
      <w:r>
        <w:rPr>
          <w:color w:val="1A1A1A"/>
        </w:rPr>
        <w:t xml:space="preserve"> results mean the model has a logical, tested basis. They do </w:t>
      </w:r>
      <w:r>
        <w:rPr>
          <w:b/>
          <w:bCs/>
          <w:color w:val="1A1A1A"/>
        </w:rPr>
        <w:t>not</w:t>
      </w:r>
      <w:r>
        <w:rPr>
          <w:color w:val="1A1A1A"/>
        </w:rPr>
        <w:t xml:space="preserve"> guarantee future results.</w:t>
      </w:r>
    </w:p>
    <w:p w14:paraId="24054059" w14:textId="77777777" w:rsidR="00A017F4" w:rsidRDefault="00000000">
      <w:pPr>
        <w:spacing w:after="160"/>
      </w:pPr>
      <w:r>
        <w:rPr>
          <w:color w:val="1A1A1A"/>
        </w:rPr>
        <w:t xml:space="preserve"> </w:t>
      </w:r>
    </w:p>
    <w:p w14:paraId="78824A68" w14:textId="77777777" w:rsidR="00A017F4" w:rsidRDefault="00000000">
      <w:pPr>
        <w:spacing w:after="160"/>
      </w:pPr>
      <w:r>
        <w:rPr>
          <w:color w:val="1A1A1A"/>
        </w:rPr>
        <w:t xml:space="preserve">What to look for in the </w:t>
      </w:r>
      <w:proofErr w:type="spellStart"/>
      <w:r>
        <w:rPr>
          <w:color w:val="1A1A1A"/>
        </w:rPr>
        <w:t>backtest</w:t>
      </w:r>
      <w:proofErr w:type="spellEnd"/>
      <w:r>
        <w:rPr>
          <w:color w:val="1A1A1A"/>
        </w:rPr>
        <w:t>:</w:t>
      </w:r>
    </w:p>
    <w:p w14:paraId="396D71D7" w14:textId="77777777" w:rsidR="00A017F4" w:rsidRDefault="00000000">
      <w:pPr>
        <w:pStyle w:val="ListParagraph"/>
        <w:numPr>
          <w:ilvl w:val="0"/>
          <w:numId w:val="2"/>
        </w:numPr>
        <w:spacing w:before="60" w:after="60"/>
      </w:pPr>
      <w:r>
        <w:rPr>
          <w:b/>
          <w:bCs/>
          <w:color w:val="1A1A1A"/>
        </w:rPr>
        <w:t>Hit rate above 55%:</w:t>
      </w:r>
      <w:r>
        <w:rPr>
          <w:color w:val="1A1A1A"/>
        </w:rPr>
        <w:t xml:space="preserve"> More than half of your 25 picks beat the index each quarter. 60%+ is excellent.</w:t>
      </w:r>
    </w:p>
    <w:p w14:paraId="36B51AE6" w14:textId="77777777" w:rsidR="00A017F4" w:rsidRDefault="00000000">
      <w:pPr>
        <w:pStyle w:val="ListParagraph"/>
        <w:numPr>
          <w:ilvl w:val="0"/>
          <w:numId w:val="2"/>
        </w:numPr>
        <w:spacing w:before="60" w:after="60"/>
      </w:pPr>
      <w:r>
        <w:rPr>
          <w:b/>
          <w:bCs/>
          <w:color w:val="1A1A1A"/>
        </w:rPr>
        <w:t>Positive alpha:</w:t>
      </w:r>
      <w:r>
        <w:rPr>
          <w:color w:val="1A1A1A"/>
        </w:rPr>
        <w:t xml:space="preserve"> Annual return above what the market risk level would predict.</w:t>
      </w:r>
    </w:p>
    <w:p w14:paraId="5CD5C291" w14:textId="77777777" w:rsidR="00A017F4" w:rsidRDefault="00000000">
      <w:pPr>
        <w:pStyle w:val="ListParagraph"/>
        <w:numPr>
          <w:ilvl w:val="0"/>
          <w:numId w:val="2"/>
        </w:numPr>
        <w:spacing w:before="60" w:after="60"/>
      </w:pPr>
      <w:r>
        <w:rPr>
          <w:b/>
          <w:bCs/>
          <w:color w:val="1A1A1A"/>
        </w:rPr>
        <w:t>Sharpe ratio above 0.5:</w:t>
      </w:r>
      <w:r>
        <w:rPr>
          <w:color w:val="1A1A1A"/>
        </w:rPr>
        <w:t xml:space="preserve"> Decent return per unit of risk taken.</w:t>
      </w:r>
    </w:p>
    <w:p w14:paraId="0F962CCA" w14:textId="77777777" w:rsidR="00A017F4" w:rsidRDefault="00000000">
      <w:pPr>
        <w:pStyle w:val="ListParagraph"/>
        <w:numPr>
          <w:ilvl w:val="0"/>
          <w:numId w:val="2"/>
        </w:numPr>
        <w:spacing w:before="60" w:after="60"/>
      </w:pPr>
      <w:r>
        <w:rPr>
          <w:b/>
          <w:bCs/>
          <w:color w:val="1A1A1A"/>
        </w:rPr>
        <w:t>Performance in bad quarters:</w:t>
      </w:r>
      <w:r>
        <w:rPr>
          <w:color w:val="1A1A1A"/>
        </w:rPr>
        <w:t xml:space="preserve"> How did the model perform in 2022–Q1 when the market fell sharply? Did it fall less than the index? That’s the real test of quality.</w:t>
      </w:r>
    </w:p>
    <w:p w14:paraId="0F40FB61" w14:textId="77777777" w:rsidR="00A017F4" w:rsidRDefault="00000000">
      <w:pPr>
        <w:spacing w:after="160"/>
      </w:pPr>
      <w:r>
        <w:rPr>
          <w:color w:val="1A1A1A"/>
        </w:rPr>
        <w:t xml:space="preserve"> </w:t>
      </w:r>
    </w:p>
    <w:p w14:paraId="4AF88258" w14:textId="77777777" w:rsidR="00A017F4" w:rsidRDefault="00000000">
      <w:pPr>
        <w:pStyle w:val="Heading2"/>
      </w:pPr>
      <w:r>
        <w:t>Rule 6: Track Your Predictions Honestly</w:t>
      </w:r>
    </w:p>
    <w:p w14:paraId="3AAD3619" w14:textId="77777777" w:rsidR="00A017F4" w:rsidRDefault="00000000">
      <w:pPr>
        <w:spacing w:after="160"/>
      </w:pPr>
      <w:r>
        <w:rPr>
          <w:color w:val="1A1A1A"/>
        </w:rPr>
        <w:t>You locked in your first prediction on April 18, 2026. In April 2027, you will compare those 25 stocks’ actual returns against the Nifty 50 return.</w:t>
      </w:r>
    </w:p>
    <w:p w14:paraId="2201258A" w14:textId="77777777" w:rsidR="00A017F4" w:rsidRDefault="00000000">
      <w:pPr>
        <w:spacing w:after="160"/>
      </w:pPr>
      <w:r>
        <w:rPr>
          <w:color w:val="1A1A1A"/>
        </w:rPr>
        <w:t xml:space="preserve"> </w:t>
      </w:r>
    </w:p>
    <w:p w14:paraId="2109EB69" w14:textId="77777777" w:rsidR="00A017F4" w:rsidRDefault="00000000">
      <w:pPr>
        <w:spacing w:after="160"/>
      </w:pPr>
      <w:r>
        <w:rPr>
          <w:color w:val="1A1A1A"/>
        </w:rPr>
        <w:t>Be honest when you look at the results. If 12 of 25 beat the index, that’s below the 50% chance you’d get from a random coin flip. If 18 of 25 beat it, that’s genuine signal. Over 3–5 years and 12–20 quarterly predictions, you’ll have statistically meaningful evidence of whether this model actually works — or whether it just looked good in hindsight.</w:t>
      </w:r>
    </w:p>
    <w:p w14:paraId="1498F18A" w14:textId="77777777" w:rsidR="00A017F4" w:rsidRDefault="00000000">
      <w:pPr>
        <w:spacing w:after="160"/>
      </w:pPr>
      <w:r>
        <w:rPr>
          <w:color w:val="1A1A1A"/>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17F4" w14:paraId="5227EBC3" w14:textId="77777777">
        <w:tblPrEx>
          <w:tblCellMar>
            <w:top w:w="0" w:type="dxa"/>
            <w:bottom w:w="0" w:type="dxa"/>
          </w:tblCellMar>
        </w:tblPrEx>
        <w:tc>
          <w:tcPr>
            <w:tcW w:w="9360" w:type="dxa"/>
            <w:tcBorders>
              <w:top w:val="single" w:sz="12" w:space="0" w:color="E6A817"/>
              <w:left w:val="single" w:sz="24" w:space="0" w:color="E6A817"/>
              <w:bottom w:val="single" w:sz="12" w:space="0" w:color="E6A817"/>
            </w:tcBorders>
            <w:shd w:val="clear" w:color="auto" w:fill="FFF3CD"/>
            <w:tcMar>
              <w:top w:w="120" w:type="dxa"/>
              <w:left w:w="160" w:type="dxa"/>
              <w:bottom w:w="120" w:type="dxa"/>
              <w:right w:w="160" w:type="dxa"/>
            </w:tcMar>
          </w:tcPr>
          <w:p w14:paraId="4A76FF2B" w14:textId="77777777" w:rsidR="00A017F4" w:rsidRDefault="00000000">
            <w:r>
              <w:rPr>
                <w:i/>
                <w:iCs/>
                <w:color w:val="3D2B00"/>
                <w:sz w:val="21"/>
                <w:szCs w:val="21"/>
              </w:rPr>
              <w:lastRenderedPageBreak/>
              <w:t>The honest benchmark: A dart-throwing monkey randomly picking 25 stocks would get roughly 50% right over time (some better, some worse than index). You need to beat 50% consistently to prove this model has skill. A professional fund manager who averages 60–65% hit rate over 5 years is considered excellent.</w:t>
            </w:r>
          </w:p>
        </w:tc>
      </w:tr>
    </w:tbl>
    <w:p w14:paraId="608C7B31" w14:textId="77777777" w:rsidR="00A017F4" w:rsidRDefault="00000000">
      <w:pPr>
        <w:spacing w:after="160"/>
      </w:pPr>
      <w:r>
        <w:rPr>
          <w:color w:val="1A1A1A"/>
        </w:rPr>
        <w:t xml:space="preserve"> </w:t>
      </w:r>
    </w:p>
    <w:p w14:paraId="085F0176" w14:textId="77777777" w:rsidR="00A017F4" w:rsidRDefault="00000000">
      <w:pPr>
        <w:pStyle w:val="Heading2"/>
      </w:pPr>
      <w:r>
        <w:t>Rule 7: The Model Does Not Know About Macro</w:t>
      </w:r>
    </w:p>
    <w:p w14:paraId="3FC7CC9B" w14:textId="77777777" w:rsidR="00A017F4" w:rsidRDefault="00000000">
      <w:pPr>
        <w:spacing w:after="160"/>
      </w:pPr>
      <w:r>
        <w:rPr>
          <w:color w:val="1A1A1A"/>
        </w:rPr>
        <w:t>This model looks at company-level data. It does not know about:</w:t>
      </w:r>
    </w:p>
    <w:p w14:paraId="6F012DBF" w14:textId="77777777" w:rsidR="00A017F4" w:rsidRDefault="00000000">
      <w:pPr>
        <w:pStyle w:val="ListParagraph"/>
        <w:numPr>
          <w:ilvl w:val="0"/>
          <w:numId w:val="2"/>
        </w:numPr>
        <w:spacing w:before="60" w:after="60"/>
      </w:pPr>
      <w:r>
        <w:rPr>
          <w:color w:val="1A1A1A"/>
        </w:rPr>
        <w:t>RBI interest rate decisions</w:t>
      </w:r>
    </w:p>
    <w:p w14:paraId="1B44F79E" w14:textId="77777777" w:rsidR="00A017F4" w:rsidRDefault="00000000">
      <w:pPr>
        <w:pStyle w:val="ListParagraph"/>
        <w:numPr>
          <w:ilvl w:val="0"/>
          <w:numId w:val="2"/>
        </w:numPr>
        <w:spacing w:before="60" w:after="60"/>
      </w:pPr>
      <w:r>
        <w:rPr>
          <w:color w:val="1A1A1A"/>
        </w:rPr>
        <w:t>Global oil price shocks</w:t>
      </w:r>
    </w:p>
    <w:p w14:paraId="3FDC2C5C" w14:textId="77777777" w:rsidR="00A017F4" w:rsidRDefault="00000000">
      <w:pPr>
        <w:pStyle w:val="ListParagraph"/>
        <w:numPr>
          <w:ilvl w:val="0"/>
          <w:numId w:val="2"/>
        </w:numPr>
        <w:spacing w:before="60" w:after="60"/>
      </w:pPr>
      <w:r>
        <w:rPr>
          <w:color w:val="1A1A1A"/>
        </w:rPr>
        <w:t>Elections and policy changes</w:t>
      </w:r>
    </w:p>
    <w:p w14:paraId="7C9E9597" w14:textId="77777777" w:rsidR="00A017F4" w:rsidRDefault="00000000">
      <w:pPr>
        <w:pStyle w:val="ListParagraph"/>
        <w:numPr>
          <w:ilvl w:val="0"/>
          <w:numId w:val="2"/>
        </w:numPr>
        <w:spacing w:before="60" w:after="60"/>
      </w:pPr>
      <w:r>
        <w:rPr>
          <w:color w:val="1A1A1A"/>
        </w:rPr>
        <w:t>Geopolitical events (wars, trade wars)</w:t>
      </w:r>
    </w:p>
    <w:p w14:paraId="6ADDCFB1" w14:textId="77777777" w:rsidR="00A017F4" w:rsidRDefault="00000000">
      <w:pPr>
        <w:spacing w:after="160"/>
      </w:pPr>
      <w:r>
        <w:rPr>
          <w:color w:val="1A1A1A"/>
        </w:rPr>
        <w:t xml:space="preserve"> </w:t>
      </w:r>
    </w:p>
    <w:p w14:paraId="5A75B3A8" w14:textId="77777777" w:rsidR="00A017F4" w:rsidRDefault="00000000">
      <w:pPr>
        <w:spacing w:after="160"/>
      </w:pPr>
      <w:r>
        <w:rPr>
          <w:color w:val="1A1A1A"/>
        </w:rPr>
        <w:t>In a sudden macro shock (like March 2020 Covid crash), every stock will fall regardless of its score. The model will not protect you from systemic market events. What it does is ensure that when the market recovers, your holdings are in stronger positions than the index. Over 3–5 years, these events average out.</w:t>
      </w:r>
    </w:p>
    <w:p w14:paraId="707A25B2" w14:textId="77777777" w:rsidR="00A017F4" w:rsidRDefault="00A017F4">
      <w:pPr>
        <w:pBdr>
          <w:bottom w:val="single" w:sz="4" w:space="1" w:color="DDDDDD"/>
        </w:pBdr>
        <w:spacing w:before="200" w:after="200"/>
      </w:pPr>
    </w:p>
    <w:p w14:paraId="19050C90" w14:textId="77777777" w:rsidR="00A017F4" w:rsidRDefault="00A017F4">
      <w:pPr>
        <w:pageBreakBefore/>
      </w:pPr>
    </w:p>
    <w:p w14:paraId="71BF9D31" w14:textId="77777777" w:rsidR="00A017F4" w:rsidRDefault="00000000">
      <w:pPr>
        <w:pStyle w:val="Heading1"/>
      </w:pPr>
      <w:r>
        <w:t>9. Reading the Dashboard — What Every Number Means</w:t>
      </w:r>
    </w:p>
    <w:p w14:paraId="5EFE596F" w14:textId="77777777" w:rsidR="00A017F4" w:rsidRDefault="00000000">
      <w:pPr>
        <w:pStyle w:val="Heading2"/>
      </w:pPr>
      <w:r>
        <w:t>Overview Tab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A017F4" w14:paraId="7C3217EB" w14:textId="77777777">
        <w:tblPrEx>
          <w:tblCellMar>
            <w:top w:w="0" w:type="dxa"/>
            <w:bottom w:w="0" w:type="dxa"/>
          </w:tblCellMar>
        </w:tblPrEx>
        <w:tc>
          <w:tcPr>
            <w:tcW w:w="3400" w:type="dxa"/>
            <w:tcBorders>
              <w:top w:val="single" w:sz="1" w:space="0" w:color="444444"/>
              <w:left w:val="single" w:sz="1" w:space="0" w:color="444444"/>
              <w:bottom w:val="single" w:sz="1" w:space="0" w:color="444444"/>
              <w:right w:val="single" w:sz="1" w:space="0" w:color="444444"/>
            </w:tcBorders>
            <w:shd w:val="clear" w:color="auto" w:fill="2C3E50"/>
            <w:tcMar>
              <w:top w:w="80" w:type="dxa"/>
              <w:left w:w="120" w:type="dxa"/>
              <w:bottom w:w="80" w:type="dxa"/>
              <w:right w:w="120" w:type="dxa"/>
            </w:tcMar>
          </w:tcPr>
          <w:p w14:paraId="5EB9E23F" w14:textId="77777777" w:rsidR="00A017F4" w:rsidRDefault="00000000">
            <w:r>
              <w:rPr>
                <w:rFonts w:ascii="Arial" w:eastAsia="Arial" w:hAnsi="Arial" w:cs="Arial"/>
                <w:b/>
                <w:bCs/>
                <w:color w:val="FFFFFF"/>
                <w:sz w:val="20"/>
                <w:szCs w:val="20"/>
              </w:rPr>
              <w:t>What You See</w:t>
            </w:r>
          </w:p>
        </w:tc>
        <w:tc>
          <w:tcPr>
            <w:tcW w:w="5960" w:type="dxa"/>
            <w:tcBorders>
              <w:top w:val="single" w:sz="1" w:space="0" w:color="444444"/>
              <w:left w:val="single" w:sz="1" w:space="0" w:color="444444"/>
              <w:bottom w:val="single" w:sz="1" w:space="0" w:color="444444"/>
              <w:right w:val="single" w:sz="1" w:space="0" w:color="444444"/>
            </w:tcBorders>
            <w:shd w:val="clear" w:color="auto" w:fill="2C3E50"/>
            <w:tcMar>
              <w:top w:w="80" w:type="dxa"/>
              <w:left w:w="120" w:type="dxa"/>
              <w:bottom w:w="80" w:type="dxa"/>
              <w:right w:w="120" w:type="dxa"/>
            </w:tcMar>
          </w:tcPr>
          <w:p w14:paraId="1C296C72" w14:textId="77777777" w:rsidR="00A017F4" w:rsidRDefault="00000000">
            <w:r>
              <w:rPr>
                <w:rFonts w:ascii="Arial" w:eastAsia="Arial" w:hAnsi="Arial" w:cs="Arial"/>
                <w:b/>
                <w:bCs/>
                <w:color w:val="FFFFFF"/>
                <w:sz w:val="20"/>
                <w:szCs w:val="20"/>
              </w:rPr>
              <w:t>What It Means</w:t>
            </w:r>
          </w:p>
        </w:tc>
      </w:tr>
      <w:tr w:rsidR="00A017F4" w14:paraId="549D078E" w14:textId="77777777">
        <w:tblPrEx>
          <w:tblCellMar>
            <w:top w:w="0" w:type="dxa"/>
            <w:bottom w:w="0" w:type="dxa"/>
          </w:tblCellMar>
        </w:tblPrEx>
        <w:tc>
          <w:tcPr>
            <w:tcW w:w="34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28CC8FA7" w14:textId="77777777" w:rsidR="00A017F4" w:rsidRDefault="00000000">
            <w:r>
              <w:rPr>
                <w:color w:val="1A1A1A"/>
                <w:sz w:val="21"/>
                <w:szCs w:val="21"/>
              </w:rPr>
              <w:t>Nifty 50 Index price</w:t>
            </w:r>
          </w:p>
        </w:tc>
        <w:tc>
          <w:tcPr>
            <w:tcW w:w="596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4AAFC81E" w14:textId="77777777" w:rsidR="00A017F4" w:rsidRDefault="00000000">
            <w:r>
              <w:rPr>
                <w:color w:val="1A1A1A"/>
                <w:sz w:val="21"/>
                <w:szCs w:val="21"/>
              </w:rPr>
              <w:t>Today’s live Nifty 50 level, fetched from Yahoo Finance</w:t>
            </w:r>
          </w:p>
        </w:tc>
      </w:tr>
      <w:tr w:rsidR="00A017F4" w14:paraId="49B969BE" w14:textId="77777777">
        <w:tblPrEx>
          <w:tblCellMar>
            <w:top w:w="0" w:type="dxa"/>
            <w:bottom w:w="0" w:type="dxa"/>
          </w:tblCellMar>
        </w:tblPrEx>
        <w:tc>
          <w:tcPr>
            <w:tcW w:w="34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2737B891" w14:textId="77777777" w:rsidR="00A017F4" w:rsidRDefault="00000000">
            <w:proofErr w:type="spellStart"/>
            <w:r>
              <w:rPr>
                <w:color w:val="1A1A1A"/>
                <w:sz w:val="21"/>
                <w:szCs w:val="21"/>
              </w:rPr>
              <w:t>Avg</w:t>
            </w:r>
            <w:proofErr w:type="spellEnd"/>
            <w:r>
              <w:rPr>
                <w:color w:val="1A1A1A"/>
                <w:sz w:val="21"/>
                <w:szCs w:val="21"/>
              </w:rPr>
              <w:t xml:space="preserve"> </w:t>
            </w:r>
            <w:proofErr w:type="spellStart"/>
            <w:r>
              <w:rPr>
                <w:color w:val="1A1A1A"/>
                <w:sz w:val="21"/>
                <w:szCs w:val="21"/>
              </w:rPr>
              <w:t>Adj</w:t>
            </w:r>
            <w:proofErr w:type="spellEnd"/>
            <w:r>
              <w:rPr>
                <w:color w:val="1A1A1A"/>
                <w:sz w:val="21"/>
                <w:szCs w:val="21"/>
              </w:rPr>
              <w:t xml:space="preserve"> P/E (Index)</w:t>
            </w:r>
          </w:p>
        </w:tc>
        <w:tc>
          <w:tcPr>
            <w:tcW w:w="596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1FB04E52" w14:textId="77777777" w:rsidR="00A017F4" w:rsidRDefault="00000000">
            <w:r>
              <w:rPr>
                <w:color w:val="1A1A1A"/>
                <w:sz w:val="21"/>
                <w:szCs w:val="21"/>
              </w:rPr>
              <w:t>Average adjusted P/E across all 50 stocks. Historical range: 15–25. Below 16 = cheap market. Above 26 = expensive.</w:t>
            </w:r>
          </w:p>
        </w:tc>
      </w:tr>
      <w:tr w:rsidR="00A017F4" w14:paraId="3E52F8C2" w14:textId="77777777">
        <w:tblPrEx>
          <w:tblCellMar>
            <w:top w:w="0" w:type="dxa"/>
            <w:bottom w:w="0" w:type="dxa"/>
          </w:tblCellMar>
        </w:tblPrEx>
        <w:tc>
          <w:tcPr>
            <w:tcW w:w="34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691A8293" w14:textId="77777777" w:rsidR="00A017F4" w:rsidRDefault="00000000">
            <w:r>
              <w:rPr>
                <w:color w:val="1A1A1A"/>
                <w:sz w:val="21"/>
                <w:szCs w:val="21"/>
              </w:rPr>
              <w:t>BUY / HOLD / AVOID counts</w:t>
            </w:r>
          </w:p>
        </w:tc>
        <w:tc>
          <w:tcPr>
            <w:tcW w:w="596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39103877" w14:textId="77777777" w:rsidR="00A017F4" w:rsidRDefault="00000000">
            <w:r>
              <w:rPr>
                <w:color w:val="1A1A1A"/>
                <w:sz w:val="21"/>
                <w:szCs w:val="21"/>
              </w:rPr>
              <w:t>How many of 50 stocks currently score ≥50 (Buy), 35–49 (Hold), or &lt;35 (Avoid)</w:t>
            </w:r>
          </w:p>
        </w:tc>
      </w:tr>
      <w:tr w:rsidR="00A017F4" w14:paraId="2138983A" w14:textId="77777777">
        <w:tblPrEx>
          <w:tblCellMar>
            <w:top w:w="0" w:type="dxa"/>
            <w:bottom w:w="0" w:type="dxa"/>
          </w:tblCellMar>
        </w:tblPrEx>
        <w:tc>
          <w:tcPr>
            <w:tcW w:w="34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101E07EA" w14:textId="77777777" w:rsidR="00A017F4" w:rsidRDefault="00000000">
            <w:r>
              <w:rPr>
                <w:color w:val="1A1A1A"/>
                <w:sz w:val="21"/>
                <w:szCs w:val="21"/>
              </w:rPr>
              <w:t>EPS Adjusted Stocks</w:t>
            </w:r>
          </w:p>
        </w:tc>
        <w:tc>
          <w:tcPr>
            <w:tcW w:w="596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6B2262E3" w14:textId="77777777" w:rsidR="00A017F4" w:rsidRDefault="00000000">
            <w:r>
              <w:rPr>
                <w:color w:val="1A1A1A"/>
                <w:sz w:val="21"/>
                <w:szCs w:val="21"/>
              </w:rPr>
              <w:t>How many stocks had at least one EPS adjustment applied (CLEAN + PARTIAL combined)</w:t>
            </w:r>
          </w:p>
        </w:tc>
      </w:tr>
      <w:tr w:rsidR="00A017F4" w14:paraId="55D26564" w14:textId="77777777">
        <w:tblPrEx>
          <w:tblCellMar>
            <w:top w:w="0" w:type="dxa"/>
            <w:bottom w:w="0" w:type="dxa"/>
          </w:tblCellMar>
        </w:tblPrEx>
        <w:tc>
          <w:tcPr>
            <w:tcW w:w="34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1334A2FE" w14:textId="77777777" w:rsidR="00A017F4" w:rsidRDefault="00000000">
            <w:r>
              <w:rPr>
                <w:color w:val="1A1A1A"/>
                <w:sz w:val="21"/>
                <w:szCs w:val="21"/>
              </w:rPr>
              <w:t>Data Freshness</w:t>
            </w:r>
          </w:p>
        </w:tc>
        <w:tc>
          <w:tcPr>
            <w:tcW w:w="596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655DAD68" w14:textId="77777777" w:rsidR="00A017F4" w:rsidRDefault="00000000">
            <w:r>
              <w:rPr>
                <w:color w:val="1A1A1A"/>
                <w:sz w:val="21"/>
                <w:szCs w:val="21"/>
              </w:rPr>
              <w:t>When the last successful data fetch ran. If it shows more than 2 days ago on a weekday, something went wrong.</w:t>
            </w:r>
          </w:p>
        </w:tc>
      </w:tr>
      <w:tr w:rsidR="00A017F4" w14:paraId="0D8A2C92" w14:textId="77777777">
        <w:tblPrEx>
          <w:tblCellMar>
            <w:top w:w="0" w:type="dxa"/>
            <w:bottom w:w="0" w:type="dxa"/>
          </w:tblCellMar>
        </w:tblPrEx>
        <w:tc>
          <w:tcPr>
            <w:tcW w:w="34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03889BC7" w14:textId="77777777" w:rsidR="00A017F4" w:rsidRDefault="00000000">
            <w:r>
              <w:rPr>
                <w:color w:val="1A1A1A"/>
                <w:sz w:val="21"/>
                <w:szCs w:val="21"/>
              </w:rPr>
              <w:t>Top 25 Buy List</w:t>
            </w:r>
          </w:p>
        </w:tc>
        <w:tc>
          <w:tcPr>
            <w:tcW w:w="596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2ACCCABB" w14:textId="77777777" w:rsidR="00A017F4" w:rsidRDefault="00000000">
            <w:r>
              <w:rPr>
                <w:color w:val="1A1A1A"/>
                <w:sz w:val="21"/>
                <w:szCs w:val="21"/>
              </w:rPr>
              <w:t>Your 25 stocks to hold. Ranked by total score.</w:t>
            </w:r>
          </w:p>
        </w:tc>
      </w:tr>
      <w:tr w:rsidR="00A017F4" w14:paraId="76188B15" w14:textId="77777777">
        <w:tblPrEx>
          <w:tblCellMar>
            <w:top w:w="0" w:type="dxa"/>
            <w:bottom w:w="0" w:type="dxa"/>
          </w:tblCellMar>
        </w:tblPrEx>
        <w:tc>
          <w:tcPr>
            <w:tcW w:w="34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08DC9F34" w14:textId="77777777" w:rsidR="00A017F4" w:rsidRDefault="00000000">
            <w:r>
              <w:rPr>
                <w:color w:val="1A1A1A"/>
                <w:sz w:val="21"/>
                <w:szCs w:val="21"/>
              </w:rPr>
              <w:t>Bottom 25 Avoid List</w:t>
            </w:r>
          </w:p>
        </w:tc>
        <w:tc>
          <w:tcPr>
            <w:tcW w:w="596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12D45048" w14:textId="77777777" w:rsidR="00A017F4" w:rsidRDefault="00000000">
            <w:r>
              <w:rPr>
                <w:color w:val="1A1A1A"/>
                <w:sz w:val="21"/>
                <w:szCs w:val="21"/>
              </w:rPr>
              <w:t>Your 25 stocks to stay away from.</w:t>
            </w:r>
          </w:p>
        </w:tc>
      </w:tr>
      <w:tr w:rsidR="00A017F4" w14:paraId="37B1E8DF" w14:textId="77777777">
        <w:tblPrEx>
          <w:tblCellMar>
            <w:top w:w="0" w:type="dxa"/>
            <w:bottom w:w="0" w:type="dxa"/>
          </w:tblCellMar>
        </w:tblPrEx>
        <w:tc>
          <w:tcPr>
            <w:tcW w:w="34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269C95EC" w14:textId="77777777" w:rsidR="00A017F4" w:rsidRDefault="00000000">
            <w:r>
              <w:rPr>
                <w:color w:val="1A1A1A"/>
                <w:sz w:val="21"/>
                <w:szCs w:val="21"/>
              </w:rPr>
              <w:t>P/E Gauge</w:t>
            </w:r>
          </w:p>
        </w:tc>
        <w:tc>
          <w:tcPr>
            <w:tcW w:w="596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60304AC9" w14:textId="77777777" w:rsidR="00A017F4" w:rsidRDefault="00000000">
            <w:r>
              <w:rPr>
                <w:color w:val="1A1A1A"/>
                <w:sz w:val="21"/>
                <w:szCs w:val="21"/>
              </w:rPr>
              <w:t>Visual indicator of whether the overall market is cheap, fair, or expensive. Orange marker moves along the gauge.</w:t>
            </w:r>
          </w:p>
        </w:tc>
      </w:tr>
      <w:tr w:rsidR="00A017F4" w14:paraId="7BB4F7D0" w14:textId="77777777">
        <w:tblPrEx>
          <w:tblCellMar>
            <w:top w:w="0" w:type="dxa"/>
            <w:bottom w:w="0" w:type="dxa"/>
          </w:tblCellMar>
        </w:tblPrEx>
        <w:tc>
          <w:tcPr>
            <w:tcW w:w="34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3F3F8369" w14:textId="77777777" w:rsidR="00A017F4" w:rsidRDefault="00000000">
            <w:r>
              <w:rPr>
                <w:color w:val="1A1A1A"/>
                <w:sz w:val="21"/>
                <w:szCs w:val="21"/>
              </w:rPr>
              <w:t>Sector Cards</w:t>
            </w:r>
          </w:p>
        </w:tc>
        <w:tc>
          <w:tcPr>
            <w:tcW w:w="596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02A1292B" w14:textId="77777777" w:rsidR="00A017F4" w:rsidRDefault="00000000">
            <w:r>
              <w:rPr>
                <w:color w:val="1A1A1A"/>
                <w:sz w:val="21"/>
                <w:szCs w:val="21"/>
              </w:rPr>
              <w:t>Average P/E and average score per sector. Useful for spotting which sectors are collectively cheap or expensive.</w:t>
            </w:r>
          </w:p>
        </w:tc>
      </w:tr>
    </w:tbl>
    <w:p w14:paraId="6893D24F" w14:textId="77777777" w:rsidR="00A017F4" w:rsidRDefault="00000000">
      <w:pPr>
        <w:spacing w:after="160"/>
      </w:pPr>
      <w:r>
        <w:rPr>
          <w:color w:val="1A1A1A"/>
        </w:rPr>
        <w:t xml:space="preserve"> </w:t>
      </w:r>
    </w:p>
    <w:p w14:paraId="09F81943" w14:textId="77777777" w:rsidR="00A017F4" w:rsidRDefault="00000000">
      <w:pPr>
        <w:pStyle w:val="Heading2"/>
      </w:pPr>
      <w:r>
        <w:t>All Stocks Tab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017F4" w14:paraId="03B7636F" w14:textId="77777777">
        <w:tblPrEx>
          <w:tblCellMar>
            <w:top w:w="0" w:type="dxa"/>
            <w:bottom w:w="0" w:type="dxa"/>
          </w:tblCellMar>
        </w:tblPrEx>
        <w:tc>
          <w:tcPr>
            <w:tcW w:w="2800" w:type="dxa"/>
            <w:tcBorders>
              <w:top w:val="single" w:sz="1" w:space="0" w:color="444444"/>
              <w:left w:val="single" w:sz="1" w:space="0" w:color="444444"/>
              <w:bottom w:val="single" w:sz="1" w:space="0" w:color="444444"/>
              <w:right w:val="single" w:sz="1" w:space="0" w:color="444444"/>
            </w:tcBorders>
            <w:shd w:val="clear" w:color="auto" w:fill="2C3E50"/>
            <w:tcMar>
              <w:top w:w="80" w:type="dxa"/>
              <w:left w:w="120" w:type="dxa"/>
              <w:bottom w:w="80" w:type="dxa"/>
              <w:right w:w="120" w:type="dxa"/>
            </w:tcMar>
          </w:tcPr>
          <w:p w14:paraId="0DEDDCC9" w14:textId="77777777" w:rsidR="00A017F4" w:rsidRDefault="00000000">
            <w:r>
              <w:rPr>
                <w:rFonts w:ascii="Arial" w:eastAsia="Arial" w:hAnsi="Arial" w:cs="Arial"/>
                <w:b/>
                <w:bCs/>
                <w:color w:val="FFFFFF"/>
                <w:sz w:val="20"/>
                <w:szCs w:val="20"/>
              </w:rPr>
              <w:t>Column</w:t>
            </w:r>
          </w:p>
        </w:tc>
        <w:tc>
          <w:tcPr>
            <w:tcW w:w="6560" w:type="dxa"/>
            <w:tcBorders>
              <w:top w:val="single" w:sz="1" w:space="0" w:color="444444"/>
              <w:left w:val="single" w:sz="1" w:space="0" w:color="444444"/>
              <w:bottom w:val="single" w:sz="1" w:space="0" w:color="444444"/>
              <w:right w:val="single" w:sz="1" w:space="0" w:color="444444"/>
            </w:tcBorders>
            <w:shd w:val="clear" w:color="auto" w:fill="2C3E50"/>
            <w:tcMar>
              <w:top w:w="80" w:type="dxa"/>
              <w:left w:w="120" w:type="dxa"/>
              <w:bottom w:w="80" w:type="dxa"/>
              <w:right w:w="120" w:type="dxa"/>
            </w:tcMar>
          </w:tcPr>
          <w:p w14:paraId="793BBC65" w14:textId="77777777" w:rsidR="00A017F4" w:rsidRDefault="00000000">
            <w:r>
              <w:rPr>
                <w:rFonts w:ascii="Arial" w:eastAsia="Arial" w:hAnsi="Arial" w:cs="Arial"/>
                <w:b/>
                <w:bCs/>
                <w:color w:val="FFFFFF"/>
                <w:sz w:val="20"/>
                <w:szCs w:val="20"/>
              </w:rPr>
              <w:t>What It Means</w:t>
            </w:r>
          </w:p>
        </w:tc>
      </w:tr>
      <w:tr w:rsidR="00A017F4" w14:paraId="3E1532D5" w14:textId="77777777">
        <w:tblPrEx>
          <w:tblCellMar>
            <w:top w:w="0" w:type="dxa"/>
            <w:bottom w:w="0" w:type="dxa"/>
          </w:tblCellMar>
        </w:tblPrEx>
        <w:tc>
          <w:tcPr>
            <w:tcW w:w="28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2D6E4CCD" w14:textId="77777777" w:rsidR="00A017F4" w:rsidRDefault="00000000">
            <w:r>
              <w:rPr>
                <w:color w:val="1A1A1A"/>
                <w:sz w:val="21"/>
                <w:szCs w:val="21"/>
              </w:rPr>
              <w:t>Signal chip (BUY/HOLD/AVOID)</w:t>
            </w:r>
          </w:p>
        </w:tc>
        <w:tc>
          <w:tcPr>
            <w:tcW w:w="656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7B852624" w14:textId="77777777" w:rsidR="00A017F4" w:rsidRDefault="00000000">
            <w:r>
              <w:rPr>
                <w:color w:val="1A1A1A"/>
                <w:sz w:val="21"/>
                <w:szCs w:val="21"/>
              </w:rPr>
              <w:t>The verdict based on total score</w:t>
            </w:r>
          </w:p>
        </w:tc>
      </w:tr>
      <w:tr w:rsidR="00A017F4" w14:paraId="1B7C04AF" w14:textId="77777777">
        <w:tblPrEx>
          <w:tblCellMar>
            <w:top w:w="0" w:type="dxa"/>
            <w:bottom w:w="0" w:type="dxa"/>
          </w:tblCellMar>
        </w:tblPrEx>
        <w:tc>
          <w:tcPr>
            <w:tcW w:w="28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4E4BE3AE" w14:textId="77777777" w:rsidR="00A017F4" w:rsidRDefault="00000000">
            <w:r>
              <w:rPr>
                <w:color w:val="1A1A1A"/>
                <w:sz w:val="21"/>
                <w:szCs w:val="21"/>
              </w:rPr>
              <w:t>Score bar + F/V/M chips</w:t>
            </w:r>
          </w:p>
        </w:tc>
        <w:tc>
          <w:tcPr>
            <w:tcW w:w="656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506A5CEE" w14:textId="77777777" w:rsidR="00A017F4" w:rsidRDefault="00000000">
            <w:r>
              <w:rPr>
                <w:color w:val="1A1A1A"/>
                <w:sz w:val="21"/>
                <w:szCs w:val="21"/>
              </w:rPr>
              <w:t>Visual score out of 100. F = Fundamental (blue), V = Valuation (purple), M = Momentum (green). Tells you where the score is coming from.</w:t>
            </w:r>
          </w:p>
        </w:tc>
      </w:tr>
      <w:tr w:rsidR="00A017F4" w14:paraId="5FE14C54" w14:textId="77777777">
        <w:tblPrEx>
          <w:tblCellMar>
            <w:top w:w="0" w:type="dxa"/>
            <w:bottom w:w="0" w:type="dxa"/>
          </w:tblCellMar>
        </w:tblPrEx>
        <w:tc>
          <w:tcPr>
            <w:tcW w:w="28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7FCC6877" w14:textId="77777777" w:rsidR="00A017F4" w:rsidRDefault="00000000">
            <w:r>
              <w:rPr>
                <w:color w:val="1A1A1A"/>
                <w:sz w:val="21"/>
                <w:szCs w:val="21"/>
              </w:rPr>
              <w:t>Price</w:t>
            </w:r>
          </w:p>
        </w:tc>
        <w:tc>
          <w:tcPr>
            <w:tcW w:w="656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5FD09497" w14:textId="77777777" w:rsidR="00A017F4" w:rsidRDefault="00000000">
            <w:r>
              <w:rPr>
                <w:color w:val="1A1A1A"/>
                <w:sz w:val="21"/>
                <w:szCs w:val="21"/>
              </w:rPr>
              <w:t>Today’s closing price in rupees</w:t>
            </w:r>
          </w:p>
        </w:tc>
      </w:tr>
      <w:tr w:rsidR="00A017F4" w14:paraId="0B8589FC" w14:textId="77777777">
        <w:tblPrEx>
          <w:tblCellMar>
            <w:top w:w="0" w:type="dxa"/>
            <w:bottom w:w="0" w:type="dxa"/>
          </w:tblCellMar>
        </w:tblPrEx>
        <w:tc>
          <w:tcPr>
            <w:tcW w:w="28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613A2CCC" w14:textId="77777777" w:rsidR="00A017F4" w:rsidRDefault="00000000">
            <w:r>
              <w:rPr>
                <w:color w:val="1A1A1A"/>
                <w:sz w:val="21"/>
                <w:szCs w:val="21"/>
              </w:rPr>
              <w:t>Market Cap (Cr)</w:t>
            </w:r>
          </w:p>
        </w:tc>
        <w:tc>
          <w:tcPr>
            <w:tcW w:w="656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0FD578BC" w14:textId="77777777" w:rsidR="00A017F4" w:rsidRDefault="00000000">
            <w:r>
              <w:rPr>
                <w:color w:val="1A1A1A"/>
                <w:sz w:val="21"/>
                <w:szCs w:val="21"/>
              </w:rPr>
              <w:t>Total company value in crore rupees. Shows you the scale of the business.</w:t>
            </w:r>
          </w:p>
        </w:tc>
      </w:tr>
      <w:tr w:rsidR="00A017F4" w14:paraId="76FD63BD" w14:textId="77777777">
        <w:tblPrEx>
          <w:tblCellMar>
            <w:top w:w="0" w:type="dxa"/>
            <w:bottom w:w="0" w:type="dxa"/>
          </w:tblCellMar>
        </w:tblPrEx>
        <w:tc>
          <w:tcPr>
            <w:tcW w:w="28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1D0B392E" w14:textId="77777777" w:rsidR="00A017F4" w:rsidRDefault="00000000">
            <w:r>
              <w:rPr>
                <w:color w:val="1A1A1A"/>
                <w:sz w:val="21"/>
                <w:szCs w:val="21"/>
              </w:rPr>
              <w:t xml:space="preserve">TTM </w:t>
            </w:r>
            <w:proofErr w:type="spellStart"/>
            <w:r>
              <w:rPr>
                <w:color w:val="1A1A1A"/>
                <w:sz w:val="21"/>
                <w:szCs w:val="21"/>
              </w:rPr>
              <w:t>Adj</w:t>
            </w:r>
            <w:proofErr w:type="spellEnd"/>
            <w:r>
              <w:rPr>
                <w:color w:val="1A1A1A"/>
                <w:sz w:val="21"/>
                <w:szCs w:val="21"/>
              </w:rPr>
              <w:t xml:space="preserve"> EPS</w:t>
            </w:r>
          </w:p>
        </w:tc>
        <w:tc>
          <w:tcPr>
            <w:tcW w:w="656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529D48C4" w14:textId="77777777" w:rsidR="00A017F4" w:rsidRDefault="00000000">
            <w:r>
              <w:rPr>
                <w:color w:val="1A1A1A"/>
                <w:sz w:val="21"/>
                <w:szCs w:val="21"/>
              </w:rPr>
              <w:t>Our cleaned Trailing 12-Month Adjusted EPS. The most honest earnings number we have.</w:t>
            </w:r>
          </w:p>
        </w:tc>
      </w:tr>
      <w:tr w:rsidR="00A017F4" w14:paraId="13C2BFEF" w14:textId="77777777">
        <w:tblPrEx>
          <w:tblCellMar>
            <w:top w:w="0" w:type="dxa"/>
            <w:bottom w:w="0" w:type="dxa"/>
          </w:tblCellMar>
        </w:tblPrEx>
        <w:tc>
          <w:tcPr>
            <w:tcW w:w="28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71E83002" w14:textId="77777777" w:rsidR="00A017F4" w:rsidRDefault="00000000">
            <w:r>
              <w:rPr>
                <w:color w:val="1A1A1A"/>
                <w:sz w:val="21"/>
                <w:szCs w:val="21"/>
              </w:rPr>
              <w:t>EPS Quality chip</w:t>
            </w:r>
          </w:p>
        </w:tc>
        <w:tc>
          <w:tcPr>
            <w:tcW w:w="656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7386C1B9" w14:textId="77777777" w:rsidR="00A017F4" w:rsidRDefault="00000000">
            <w:r>
              <w:rPr>
                <w:color w:val="1A1A1A"/>
                <w:sz w:val="21"/>
                <w:szCs w:val="21"/>
              </w:rPr>
              <w:t>CLEAN / PARTIAL / UNVERIFIED. How many adjustments we could apply.</w:t>
            </w:r>
          </w:p>
        </w:tc>
      </w:tr>
      <w:tr w:rsidR="00A017F4" w14:paraId="25E0E0B7" w14:textId="77777777">
        <w:tblPrEx>
          <w:tblCellMar>
            <w:top w:w="0" w:type="dxa"/>
            <w:bottom w:w="0" w:type="dxa"/>
          </w:tblCellMar>
        </w:tblPrEx>
        <w:tc>
          <w:tcPr>
            <w:tcW w:w="28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3149F2B1" w14:textId="77777777" w:rsidR="00A017F4" w:rsidRDefault="00000000">
            <w:r>
              <w:rPr>
                <w:color w:val="1A1A1A"/>
                <w:sz w:val="21"/>
                <w:szCs w:val="21"/>
              </w:rPr>
              <w:lastRenderedPageBreak/>
              <w:t>EPS Growth %</w:t>
            </w:r>
          </w:p>
        </w:tc>
        <w:tc>
          <w:tcPr>
            <w:tcW w:w="656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7CF032FC" w14:textId="77777777" w:rsidR="00A017F4" w:rsidRDefault="00000000">
            <w:r>
              <w:rPr>
                <w:color w:val="1A1A1A"/>
                <w:sz w:val="21"/>
                <w:szCs w:val="21"/>
              </w:rPr>
              <w:t>Year-on-year growth in Adjusted EPS</w:t>
            </w:r>
          </w:p>
        </w:tc>
      </w:tr>
      <w:tr w:rsidR="00A017F4" w14:paraId="72F7C6F5" w14:textId="77777777">
        <w:tblPrEx>
          <w:tblCellMar>
            <w:top w:w="0" w:type="dxa"/>
            <w:bottom w:w="0" w:type="dxa"/>
          </w:tblCellMar>
        </w:tblPrEx>
        <w:tc>
          <w:tcPr>
            <w:tcW w:w="28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3F198700" w14:textId="77777777" w:rsidR="00A017F4" w:rsidRDefault="00000000">
            <w:proofErr w:type="spellStart"/>
            <w:r>
              <w:rPr>
                <w:color w:val="1A1A1A"/>
                <w:sz w:val="21"/>
                <w:szCs w:val="21"/>
              </w:rPr>
              <w:t>Adj</w:t>
            </w:r>
            <w:proofErr w:type="spellEnd"/>
            <w:r>
              <w:rPr>
                <w:color w:val="1A1A1A"/>
                <w:sz w:val="21"/>
                <w:szCs w:val="21"/>
              </w:rPr>
              <w:t xml:space="preserve"> TTM P/E</w:t>
            </w:r>
          </w:p>
        </w:tc>
        <w:tc>
          <w:tcPr>
            <w:tcW w:w="656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515CDF85" w14:textId="77777777" w:rsidR="00A017F4" w:rsidRDefault="00000000">
            <w:r>
              <w:rPr>
                <w:color w:val="1A1A1A"/>
                <w:sz w:val="21"/>
                <w:szCs w:val="21"/>
              </w:rPr>
              <w:t xml:space="preserve">Price ÷ TTM </w:t>
            </w:r>
            <w:proofErr w:type="spellStart"/>
            <w:r>
              <w:rPr>
                <w:color w:val="1A1A1A"/>
                <w:sz w:val="21"/>
                <w:szCs w:val="21"/>
              </w:rPr>
              <w:t>Adj</w:t>
            </w:r>
            <w:proofErr w:type="spellEnd"/>
            <w:r>
              <w:rPr>
                <w:color w:val="1A1A1A"/>
                <w:sz w:val="21"/>
                <w:szCs w:val="21"/>
              </w:rPr>
              <w:t xml:space="preserve"> EPS. How many years of adjusted earnings you’re paying.</w:t>
            </w:r>
          </w:p>
        </w:tc>
      </w:tr>
      <w:tr w:rsidR="00A017F4" w14:paraId="4507A7C5" w14:textId="77777777">
        <w:tblPrEx>
          <w:tblCellMar>
            <w:top w:w="0" w:type="dxa"/>
            <w:bottom w:w="0" w:type="dxa"/>
          </w:tblCellMar>
        </w:tblPrEx>
        <w:tc>
          <w:tcPr>
            <w:tcW w:w="28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26989672" w14:textId="77777777" w:rsidR="00A017F4" w:rsidRDefault="00000000">
            <w:r>
              <w:rPr>
                <w:color w:val="1A1A1A"/>
                <w:sz w:val="21"/>
                <w:szCs w:val="21"/>
              </w:rPr>
              <w:t xml:space="preserve">Derived </w:t>
            </w:r>
            <w:proofErr w:type="spellStart"/>
            <w:r>
              <w:rPr>
                <w:color w:val="1A1A1A"/>
                <w:sz w:val="21"/>
                <w:szCs w:val="21"/>
              </w:rPr>
              <w:t>Fwd</w:t>
            </w:r>
            <w:proofErr w:type="spellEnd"/>
            <w:r>
              <w:rPr>
                <w:color w:val="1A1A1A"/>
                <w:sz w:val="21"/>
                <w:szCs w:val="21"/>
              </w:rPr>
              <w:t xml:space="preserve"> P/E</w:t>
            </w:r>
          </w:p>
        </w:tc>
        <w:tc>
          <w:tcPr>
            <w:tcW w:w="656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46D06D8D" w14:textId="77777777" w:rsidR="00A017F4" w:rsidRDefault="00000000">
            <w:r>
              <w:rPr>
                <w:color w:val="1A1A1A"/>
                <w:sz w:val="21"/>
                <w:szCs w:val="21"/>
              </w:rPr>
              <w:t>Price ÷ Our derived forward EPS estimate</w:t>
            </w:r>
          </w:p>
        </w:tc>
      </w:tr>
      <w:tr w:rsidR="00A017F4" w14:paraId="4796053D" w14:textId="77777777">
        <w:tblPrEx>
          <w:tblCellMar>
            <w:top w:w="0" w:type="dxa"/>
            <w:bottom w:w="0" w:type="dxa"/>
          </w:tblCellMar>
        </w:tblPrEx>
        <w:tc>
          <w:tcPr>
            <w:tcW w:w="28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51BBF979" w14:textId="77777777" w:rsidR="00A017F4" w:rsidRDefault="00000000">
            <w:r>
              <w:rPr>
                <w:color w:val="1A1A1A"/>
                <w:sz w:val="21"/>
                <w:szCs w:val="21"/>
              </w:rPr>
              <w:t xml:space="preserve">Analyst </w:t>
            </w:r>
            <w:proofErr w:type="spellStart"/>
            <w:r>
              <w:rPr>
                <w:color w:val="1A1A1A"/>
                <w:sz w:val="21"/>
                <w:szCs w:val="21"/>
              </w:rPr>
              <w:t>Fwd</w:t>
            </w:r>
            <w:proofErr w:type="spellEnd"/>
            <w:r>
              <w:rPr>
                <w:color w:val="1A1A1A"/>
                <w:sz w:val="21"/>
                <w:szCs w:val="21"/>
              </w:rPr>
              <w:t xml:space="preserve"> P/E</w:t>
            </w:r>
          </w:p>
        </w:tc>
        <w:tc>
          <w:tcPr>
            <w:tcW w:w="656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335E66AF" w14:textId="77777777" w:rsidR="00A017F4" w:rsidRDefault="00000000">
            <w:r>
              <w:rPr>
                <w:color w:val="1A1A1A"/>
                <w:sz w:val="21"/>
                <w:szCs w:val="21"/>
              </w:rPr>
              <w:t>Price ÷ Yahoo analyst consensus forward EPS</w:t>
            </w:r>
          </w:p>
        </w:tc>
      </w:tr>
      <w:tr w:rsidR="00A017F4" w14:paraId="307EE66E" w14:textId="77777777">
        <w:tblPrEx>
          <w:tblCellMar>
            <w:top w:w="0" w:type="dxa"/>
            <w:bottom w:w="0" w:type="dxa"/>
          </w:tblCellMar>
        </w:tblPrEx>
        <w:tc>
          <w:tcPr>
            <w:tcW w:w="28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6153E1CE" w14:textId="77777777" w:rsidR="00A017F4" w:rsidRDefault="00000000">
            <w:r>
              <w:rPr>
                <w:color w:val="1A1A1A"/>
                <w:sz w:val="21"/>
                <w:szCs w:val="21"/>
              </w:rPr>
              <w:t>⚠ Divergence flag</w:t>
            </w:r>
          </w:p>
        </w:tc>
        <w:tc>
          <w:tcPr>
            <w:tcW w:w="656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6A0A8435" w14:textId="77777777" w:rsidR="00A017F4" w:rsidRDefault="00000000">
            <w:r>
              <w:rPr>
                <w:color w:val="1A1A1A"/>
                <w:sz w:val="21"/>
                <w:szCs w:val="21"/>
              </w:rPr>
              <w:t>Appears when derived vs analyst forward EPS gap exceeds 20%. Investigate before acting.</w:t>
            </w:r>
          </w:p>
        </w:tc>
      </w:tr>
      <w:tr w:rsidR="00A017F4" w14:paraId="323A3186" w14:textId="77777777">
        <w:tblPrEx>
          <w:tblCellMar>
            <w:top w:w="0" w:type="dxa"/>
            <w:bottom w:w="0" w:type="dxa"/>
          </w:tblCellMar>
        </w:tblPrEx>
        <w:tc>
          <w:tcPr>
            <w:tcW w:w="28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0F5AE97F" w14:textId="77777777" w:rsidR="00A017F4" w:rsidRDefault="00000000">
            <w:r>
              <w:rPr>
                <w:color w:val="1A1A1A"/>
                <w:sz w:val="21"/>
                <w:szCs w:val="21"/>
              </w:rPr>
              <w:t>ROE</w:t>
            </w:r>
          </w:p>
        </w:tc>
        <w:tc>
          <w:tcPr>
            <w:tcW w:w="656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2DBC7751" w14:textId="77777777" w:rsidR="00A017F4" w:rsidRDefault="00000000">
            <w:r>
              <w:rPr>
                <w:color w:val="1A1A1A"/>
                <w:sz w:val="21"/>
                <w:szCs w:val="21"/>
              </w:rPr>
              <w:t>Return on Equity percentage</w:t>
            </w:r>
          </w:p>
        </w:tc>
      </w:tr>
      <w:tr w:rsidR="00A017F4" w14:paraId="347D42C1" w14:textId="77777777">
        <w:tblPrEx>
          <w:tblCellMar>
            <w:top w:w="0" w:type="dxa"/>
            <w:bottom w:w="0" w:type="dxa"/>
          </w:tblCellMar>
        </w:tblPrEx>
        <w:tc>
          <w:tcPr>
            <w:tcW w:w="28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7D8AA603" w14:textId="77777777" w:rsidR="00A017F4" w:rsidRDefault="00000000">
            <w:r>
              <w:rPr>
                <w:color w:val="1A1A1A"/>
                <w:sz w:val="21"/>
                <w:szCs w:val="21"/>
              </w:rPr>
              <w:t>D/E</w:t>
            </w:r>
          </w:p>
        </w:tc>
        <w:tc>
          <w:tcPr>
            <w:tcW w:w="656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4B0FB41B" w14:textId="77777777" w:rsidR="00A017F4" w:rsidRDefault="00000000">
            <w:r>
              <w:rPr>
                <w:color w:val="1A1A1A"/>
                <w:sz w:val="21"/>
                <w:szCs w:val="21"/>
              </w:rPr>
              <w:t>Debt to Equity ratio. Shows “Bank” for banking stocks (exempt from scoring).</w:t>
            </w:r>
          </w:p>
        </w:tc>
      </w:tr>
      <w:tr w:rsidR="00A017F4" w14:paraId="0A8E8931" w14:textId="77777777">
        <w:tblPrEx>
          <w:tblCellMar>
            <w:top w:w="0" w:type="dxa"/>
            <w:bottom w:w="0" w:type="dxa"/>
          </w:tblCellMar>
        </w:tblPrEx>
        <w:tc>
          <w:tcPr>
            <w:tcW w:w="28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4476C2E0" w14:textId="77777777" w:rsidR="00A017F4" w:rsidRDefault="00000000">
            <w:r>
              <w:rPr>
                <w:color w:val="1A1A1A"/>
                <w:sz w:val="21"/>
                <w:szCs w:val="21"/>
              </w:rPr>
              <w:t>Margin Trend</w:t>
            </w:r>
          </w:p>
        </w:tc>
        <w:tc>
          <w:tcPr>
            <w:tcW w:w="656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1B1EE045" w14:textId="77777777" w:rsidR="00A017F4" w:rsidRDefault="00000000">
            <w:r>
              <w:rPr>
                <w:color w:val="1A1A1A"/>
                <w:sz w:val="21"/>
                <w:szCs w:val="21"/>
              </w:rPr>
              <w:t>Whether operating margin is expanding, flat, or contracting over last 4 quarters</w:t>
            </w:r>
          </w:p>
        </w:tc>
      </w:tr>
      <w:tr w:rsidR="00A017F4" w14:paraId="67AF0B3F" w14:textId="77777777">
        <w:tblPrEx>
          <w:tblCellMar>
            <w:top w:w="0" w:type="dxa"/>
            <w:bottom w:w="0" w:type="dxa"/>
          </w:tblCellMar>
        </w:tblPrEx>
        <w:tc>
          <w:tcPr>
            <w:tcW w:w="28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1931D347" w14:textId="77777777" w:rsidR="00A017F4" w:rsidRDefault="00000000">
            <w:r>
              <w:rPr>
                <w:color w:val="1A1A1A"/>
                <w:sz w:val="21"/>
                <w:szCs w:val="21"/>
              </w:rPr>
              <w:t>6M / 3M / 1M Relative Return</w:t>
            </w:r>
          </w:p>
        </w:tc>
        <w:tc>
          <w:tcPr>
            <w:tcW w:w="656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2783004B" w14:textId="77777777" w:rsidR="00A017F4" w:rsidRDefault="00000000">
            <w:r>
              <w:rPr>
                <w:color w:val="1A1A1A"/>
                <w:sz w:val="21"/>
                <w:szCs w:val="21"/>
              </w:rPr>
              <w:t>How much the stock has outperformed (+) or underperformed (−) the Nifty 50 over each period</w:t>
            </w:r>
          </w:p>
        </w:tc>
      </w:tr>
    </w:tbl>
    <w:p w14:paraId="414F4D19" w14:textId="77777777" w:rsidR="00A017F4" w:rsidRDefault="00000000">
      <w:pPr>
        <w:spacing w:after="160"/>
      </w:pPr>
      <w:r>
        <w:rPr>
          <w:color w:val="1A1A1A"/>
        </w:rPr>
        <w:t xml:space="preserve"> </w:t>
      </w:r>
    </w:p>
    <w:p w14:paraId="1A4D906D" w14:textId="77777777" w:rsidR="00A017F4" w:rsidRDefault="00000000">
      <w:pPr>
        <w:spacing w:after="160"/>
      </w:pPr>
      <w:r>
        <w:rPr>
          <w:color w:val="1A1A1A"/>
        </w:rPr>
        <w:t>Click any row to expand it. You’ll see the full score breakdown (what drove each metric), quarterly EPS history, and both forward EPS estimates side by side.</w:t>
      </w:r>
    </w:p>
    <w:p w14:paraId="2CAA5EFF" w14:textId="77777777" w:rsidR="00A017F4" w:rsidRDefault="00000000">
      <w:pPr>
        <w:spacing w:after="160"/>
      </w:pPr>
      <w:r>
        <w:rPr>
          <w:color w:val="1A1A1A"/>
        </w:rPr>
        <w:t xml:space="preserve"> </w:t>
      </w:r>
    </w:p>
    <w:p w14:paraId="1F0B155C" w14:textId="77777777" w:rsidR="00A017F4" w:rsidRDefault="00000000">
      <w:pPr>
        <w:pStyle w:val="Heading2"/>
      </w:pPr>
      <w:proofErr w:type="spellStart"/>
      <w:r>
        <w:t>Backtest</w:t>
      </w:r>
      <w:proofErr w:type="spellEnd"/>
      <w:r>
        <w:t xml:space="preserve"> Tab</w:t>
      </w:r>
    </w:p>
    <w:p w14:paraId="073F3128" w14:textId="77777777" w:rsidR="00A017F4" w:rsidRDefault="00000000">
      <w:pPr>
        <w:spacing w:after="160"/>
      </w:pPr>
      <w:r>
        <w:rPr>
          <w:color w:val="1A1A1A"/>
        </w:rPr>
        <w:t>This shows the historical simulation from Feb 2022 to Nov 2025 (16 quarterly rebalances). Key numbers to look at:</w:t>
      </w:r>
    </w:p>
    <w:p w14:paraId="1E4D90FE" w14:textId="77777777" w:rsidR="00A017F4" w:rsidRDefault="00000000">
      <w:pPr>
        <w:spacing w:after="160"/>
      </w:pPr>
      <w:r>
        <w:rPr>
          <w:color w:val="1A1A1A"/>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000"/>
        <w:gridCol w:w="2960"/>
      </w:tblGrid>
      <w:tr w:rsidR="00A017F4" w14:paraId="53BCB5E4" w14:textId="77777777">
        <w:tblPrEx>
          <w:tblCellMar>
            <w:top w:w="0" w:type="dxa"/>
            <w:bottom w:w="0" w:type="dxa"/>
          </w:tblCellMar>
        </w:tblPrEx>
        <w:tc>
          <w:tcPr>
            <w:tcW w:w="2400" w:type="dxa"/>
            <w:tcBorders>
              <w:top w:val="single" w:sz="1" w:space="0" w:color="444444"/>
              <w:left w:val="single" w:sz="1" w:space="0" w:color="444444"/>
              <w:bottom w:val="single" w:sz="1" w:space="0" w:color="444444"/>
              <w:right w:val="single" w:sz="1" w:space="0" w:color="444444"/>
            </w:tcBorders>
            <w:shd w:val="clear" w:color="auto" w:fill="2C3E50"/>
            <w:tcMar>
              <w:top w:w="80" w:type="dxa"/>
              <w:left w:w="120" w:type="dxa"/>
              <w:bottom w:w="80" w:type="dxa"/>
              <w:right w:w="120" w:type="dxa"/>
            </w:tcMar>
          </w:tcPr>
          <w:p w14:paraId="20C0225D" w14:textId="77777777" w:rsidR="00A017F4" w:rsidRDefault="00000000">
            <w:r>
              <w:rPr>
                <w:rFonts w:ascii="Arial" w:eastAsia="Arial" w:hAnsi="Arial" w:cs="Arial"/>
                <w:b/>
                <w:bCs/>
                <w:color w:val="FFFFFF"/>
                <w:sz w:val="20"/>
                <w:szCs w:val="20"/>
              </w:rPr>
              <w:t>Metric</w:t>
            </w:r>
          </w:p>
        </w:tc>
        <w:tc>
          <w:tcPr>
            <w:tcW w:w="4000" w:type="dxa"/>
            <w:tcBorders>
              <w:top w:val="single" w:sz="1" w:space="0" w:color="444444"/>
              <w:left w:val="single" w:sz="1" w:space="0" w:color="444444"/>
              <w:bottom w:val="single" w:sz="1" w:space="0" w:color="444444"/>
              <w:right w:val="single" w:sz="1" w:space="0" w:color="444444"/>
            </w:tcBorders>
            <w:shd w:val="clear" w:color="auto" w:fill="2C3E50"/>
            <w:tcMar>
              <w:top w:w="80" w:type="dxa"/>
              <w:left w:w="120" w:type="dxa"/>
              <w:bottom w:w="80" w:type="dxa"/>
              <w:right w:w="120" w:type="dxa"/>
            </w:tcMar>
          </w:tcPr>
          <w:p w14:paraId="05F30535" w14:textId="77777777" w:rsidR="00A017F4" w:rsidRDefault="00000000">
            <w:r>
              <w:rPr>
                <w:rFonts w:ascii="Arial" w:eastAsia="Arial" w:hAnsi="Arial" w:cs="Arial"/>
                <w:b/>
                <w:bCs/>
                <w:color w:val="FFFFFF"/>
                <w:sz w:val="20"/>
                <w:szCs w:val="20"/>
              </w:rPr>
              <w:t>What It Means</w:t>
            </w:r>
          </w:p>
        </w:tc>
        <w:tc>
          <w:tcPr>
            <w:tcW w:w="2960" w:type="dxa"/>
            <w:tcBorders>
              <w:top w:val="single" w:sz="1" w:space="0" w:color="444444"/>
              <w:left w:val="single" w:sz="1" w:space="0" w:color="444444"/>
              <w:bottom w:val="single" w:sz="1" w:space="0" w:color="444444"/>
              <w:right w:val="single" w:sz="1" w:space="0" w:color="444444"/>
            </w:tcBorders>
            <w:shd w:val="clear" w:color="auto" w:fill="2C3E50"/>
            <w:tcMar>
              <w:top w:w="80" w:type="dxa"/>
              <w:left w:w="120" w:type="dxa"/>
              <w:bottom w:w="80" w:type="dxa"/>
              <w:right w:w="120" w:type="dxa"/>
            </w:tcMar>
          </w:tcPr>
          <w:p w14:paraId="571B774D" w14:textId="77777777" w:rsidR="00A017F4" w:rsidRDefault="00000000">
            <w:r>
              <w:rPr>
                <w:rFonts w:ascii="Arial" w:eastAsia="Arial" w:hAnsi="Arial" w:cs="Arial"/>
                <w:b/>
                <w:bCs/>
                <w:color w:val="FFFFFF"/>
                <w:sz w:val="20"/>
                <w:szCs w:val="20"/>
              </w:rPr>
              <w:t>What’s Good?</w:t>
            </w:r>
          </w:p>
        </w:tc>
      </w:tr>
      <w:tr w:rsidR="00A017F4" w14:paraId="1CBAC42A" w14:textId="77777777">
        <w:tblPrEx>
          <w:tblCellMar>
            <w:top w:w="0" w:type="dxa"/>
            <w:bottom w:w="0" w:type="dxa"/>
          </w:tblCellMar>
        </w:tblPrEx>
        <w:tc>
          <w:tcPr>
            <w:tcW w:w="24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099ABB68" w14:textId="77777777" w:rsidR="00A017F4" w:rsidRDefault="00000000">
            <w:r>
              <w:rPr>
                <w:color w:val="1A1A1A"/>
                <w:sz w:val="21"/>
                <w:szCs w:val="21"/>
              </w:rPr>
              <w:t>Total Return vs Benchmark</w:t>
            </w:r>
          </w:p>
        </w:tc>
        <w:tc>
          <w:tcPr>
            <w:tcW w:w="40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10143484" w14:textId="77777777" w:rsidR="00A017F4" w:rsidRDefault="00000000">
            <w:r>
              <w:rPr>
                <w:color w:val="1A1A1A"/>
                <w:sz w:val="21"/>
                <w:szCs w:val="21"/>
              </w:rPr>
              <w:t>Portfolio return vs Nifty 50 buy-and-hold over the full period</w:t>
            </w:r>
          </w:p>
        </w:tc>
        <w:tc>
          <w:tcPr>
            <w:tcW w:w="296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722F541D" w14:textId="77777777" w:rsidR="00A017F4" w:rsidRDefault="00000000">
            <w:r>
              <w:rPr>
                <w:color w:val="1A1A1A"/>
                <w:sz w:val="21"/>
                <w:szCs w:val="21"/>
              </w:rPr>
              <w:t>Portfolio &gt; Benchmark</w:t>
            </w:r>
          </w:p>
        </w:tc>
      </w:tr>
      <w:tr w:rsidR="00A017F4" w14:paraId="770AEF3E" w14:textId="77777777">
        <w:tblPrEx>
          <w:tblCellMar>
            <w:top w:w="0" w:type="dxa"/>
            <w:bottom w:w="0" w:type="dxa"/>
          </w:tblCellMar>
        </w:tblPrEx>
        <w:tc>
          <w:tcPr>
            <w:tcW w:w="24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44043AD3" w14:textId="77777777" w:rsidR="00A017F4" w:rsidRDefault="00000000">
            <w:r>
              <w:rPr>
                <w:color w:val="1A1A1A"/>
                <w:sz w:val="21"/>
                <w:szCs w:val="21"/>
              </w:rPr>
              <w:t>CAGR (Compound Annual Growth Rate)</w:t>
            </w:r>
          </w:p>
        </w:tc>
        <w:tc>
          <w:tcPr>
            <w:tcW w:w="40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71519A00" w14:textId="77777777" w:rsidR="00A017F4" w:rsidRDefault="00000000">
            <w:r>
              <w:rPr>
                <w:color w:val="1A1A1A"/>
                <w:sz w:val="21"/>
                <w:szCs w:val="21"/>
              </w:rPr>
              <w:t>Annualised return percentage, compounded</w:t>
            </w:r>
          </w:p>
        </w:tc>
        <w:tc>
          <w:tcPr>
            <w:tcW w:w="296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628DDAAC" w14:textId="77777777" w:rsidR="00A017F4" w:rsidRDefault="00000000">
            <w:r>
              <w:rPr>
                <w:color w:val="1A1A1A"/>
                <w:sz w:val="21"/>
                <w:szCs w:val="21"/>
              </w:rPr>
              <w:t>Higher than Nifty 50 CAGR</w:t>
            </w:r>
          </w:p>
        </w:tc>
      </w:tr>
      <w:tr w:rsidR="00A017F4" w14:paraId="653105C3" w14:textId="77777777">
        <w:tblPrEx>
          <w:tblCellMar>
            <w:top w:w="0" w:type="dxa"/>
            <w:bottom w:w="0" w:type="dxa"/>
          </w:tblCellMar>
        </w:tblPrEx>
        <w:tc>
          <w:tcPr>
            <w:tcW w:w="24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798919E7" w14:textId="77777777" w:rsidR="00A017F4" w:rsidRDefault="00000000">
            <w:r>
              <w:rPr>
                <w:color w:val="1A1A1A"/>
                <w:sz w:val="21"/>
                <w:szCs w:val="21"/>
              </w:rPr>
              <w:t>Annual Alpha</w:t>
            </w:r>
          </w:p>
        </w:tc>
        <w:tc>
          <w:tcPr>
            <w:tcW w:w="40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1BB3A0D7" w14:textId="77777777" w:rsidR="00A017F4" w:rsidRDefault="00000000">
            <w:r>
              <w:rPr>
                <w:color w:val="1A1A1A"/>
                <w:sz w:val="21"/>
                <w:szCs w:val="21"/>
              </w:rPr>
              <w:t>Annual outperformance after adjusting for market risk (beta)</w:t>
            </w:r>
          </w:p>
        </w:tc>
        <w:tc>
          <w:tcPr>
            <w:tcW w:w="296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552E1D90" w14:textId="77777777" w:rsidR="00A017F4" w:rsidRDefault="00000000">
            <w:r>
              <w:rPr>
                <w:color w:val="1A1A1A"/>
                <w:sz w:val="21"/>
                <w:szCs w:val="21"/>
              </w:rPr>
              <w:t>Positive alpha</w:t>
            </w:r>
          </w:p>
        </w:tc>
      </w:tr>
      <w:tr w:rsidR="00A017F4" w14:paraId="1DA2D37F" w14:textId="77777777">
        <w:tblPrEx>
          <w:tblCellMar>
            <w:top w:w="0" w:type="dxa"/>
            <w:bottom w:w="0" w:type="dxa"/>
          </w:tblCellMar>
        </w:tblPrEx>
        <w:tc>
          <w:tcPr>
            <w:tcW w:w="24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24B6EBA0" w14:textId="77777777" w:rsidR="00A017F4" w:rsidRDefault="00000000">
            <w:r>
              <w:rPr>
                <w:color w:val="1A1A1A"/>
                <w:sz w:val="21"/>
                <w:szCs w:val="21"/>
              </w:rPr>
              <w:t>Sharpe Ratio</w:t>
            </w:r>
          </w:p>
        </w:tc>
        <w:tc>
          <w:tcPr>
            <w:tcW w:w="40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187A0E2D" w14:textId="77777777" w:rsidR="00A017F4" w:rsidRDefault="00000000">
            <w:r>
              <w:rPr>
                <w:color w:val="1A1A1A"/>
                <w:sz w:val="21"/>
                <w:szCs w:val="21"/>
              </w:rPr>
              <w:t>Return earned per unit of risk taken. Calculated using 7% risk-free rate (G-Sec).</w:t>
            </w:r>
          </w:p>
        </w:tc>
        <w:tc>
          <w:tcPr>
            <w:tcW w:w="296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1D7E9EE7" w14:textId="77777777" w:rsidR="00A017F4" w:rsidRDefault="00000000">
            <w:r>
              <w:rPr>
                <w:color w:val="1A1A1A"/>
                <w:sz w:val="21"/>
                <w:szCs w:val="21"/>
              </w:rPr>
              <w:t>Above 0.5 = decent. Above 1.0 = excellent.</w:t>
            </w:r>
          </w:p>
        </w:tc>
      </w:tr>
      <w:tr w:rsidR="00A017F4" w14:paraId="16B12688" w14:textId="77777777">
        <w:tblPrEx>
          <w:tblCellMar>
            <w:top w:w="0" w:type="dxa"/>
            <w:bottom w:w="0" w:type="dxa"/>
          </w:tblCellMar>
        </w:tblPrEx>
        <w:tc>
          <w:tcPr>
            <w:tcW w:w="24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0A985EDF" w14:textId="77777777" w:rsidR="00A017F4" w:rsidRDefault="00000000">
            <w:r>
              <w:rPr>
                <w:color w:val="1A1A1A"/>
                <w:sz w:val="21"/>
                <w:szCs w:val="21"/>
              </w:rPr>
              <w:t>Beta</w:t>
            </w:r>
          </w:p>
        </w:tc>
        <w:tc>
          <w:tcPr>
            <w:tcW w:w="40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127C392D" w14:textId="77777777" w:rsidR="00A017F4" w:rsidRDefault="00000000">
            <w:r>
              <w:rPr>
                <w:color w:val="1A1A1A"/>
                <w:sz w:val="21"/>
                <w:szCs w:val="21"/>
              </w:rPr>
              <w:t>How much the portfolio moves relative to the index. Beta = 1 means same volatility as index.</w:t>
            </w:r>
          </w:p>
        </w:tc>
        <w:tc>
          <w:tcPr>
            <w:tcW w:w="296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42AA349C" w14:textId="77777777" w:rsidR="00A017F4" w:rsidRDefault="00000000">
            <w:r>
              <w:rPr>
                <w:color w:val="1A1A1A"/>
                <w:sz w:val="21"/>
                <w:szCs w:val="21"/>
              </w:rPr>
              <w:t>0.8–1.2 is healthy. Above 1.5 means too volatile.</w:t>
            </w:r>
          </w:p>
        </w:tc>
      </w:tr>
      <w:tr w:rsidR="00A017F4" w14:paraId="094EF122" w14:textId="77777777">
        <w:tblPrEx>
          <w:tblCellMar>
            <w:top w:w="0" w:type="dxa"/>
            <w:bottom w:w="0" w:type="dxa"/>
          </w:tblCellMar>
        </w:tblPrEx>
        <w:tc>
          <w:tcPr>
            <w:tcW w:w="24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251FEB6D" w14:textId="77777777" w:rsidR="00A017F4" w:rsidRDefault="00000000">
            <w:r>
              <w:rPr>
                <w:color w:val="1A1A1A"/>
                <w:sz w:val="21"/>
                <w:szCs w:val="21"/>
              </w:rPr>
              <w:t>Hit Rate</w:t>
            </w:r>
          </w:p>
        </w:tc>
        <w:tc>
          <w:tcPr>
            <w:tcW w:w="40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54977B08" w14:textId="77777777" w:rsidR="00A017F4" w:rsidRDefault="00000000">
            <w:r>
              <w:rPr>
                <w:color w:val="1A1A1A"/>
                <w:sz w:val="21"/>
                <w:szCs w:val="21"/>
              </w:rPr>
              <w:t>What % of the 25 picks each quarter actually beat the Nifty 50</w:t>
            </w:r>
          </w:p>
        </w:tc>
        <w:tc>
          <w:tcPr>
            <w:tcW w:w="296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5257B1DB" w14:textId="77777777" w:rsidR="00A017F4" w:rsidRDefault="00000000">
            <w:r>
              <w:rPr>
                <w:color w:val="1A1A1A"/>
                <w:sz w:val="21"/>
                <w:szCs w:val="21"/>
              </w:rPr>
              <w:t>Above 55% shows genuine skill</w:t>
            </w:r>
          </w:p>
        </w:tc>
      </w:tr>
      <w:tr w:rsidR="00A017F4" w14:paraId="4C8C8941" w14:textId="77777777">
        <w:tblPrEx>
          <w:tblCellMar>
            <w:top w:w="0" w:type="dxa"/>
            <w:bottom w:w="0" w:type="dxa"/>
          </w:tblCellMar>
        </w:tblPrEx>
        <w:tc>
          <w:tcPr>
            <w:tcW w:w="24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34855F46" w14:textId="77777777" w:rsidR="00A017F4" w:rsidRDefault="00000000">
            <w:r>
              <w:rPr>
                <w:color w:val="1A1A1A"/>
                <w:sz w:val="21"/>
                <w:szCs w:val="21"/>
              </w:rPr>
              <w:lastRenderedPageBreak/>
              <w:t>W/L Record</w:t>
            </w:r>
          </w:p>
        </w:tc>
        <w:tc>
          <w:tcPr>
            <w:tcW w:w="40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7BA4C390" w14:textId="77777777" w:rsidR="00A017F4" w:rsidRDefault="00000000">
            <w:r>
              <w:rPr>
                <w:color w:val="1A1A1A"/>
                <w:sz w:val="21"/>
                <w:szCs w:val="21"/>
              </w:rPr>
              <w:t>How many quarters the portfolio beat vs lagged the Nifty 50</w:t>
            </w:r>
          </w:p>
        </w:tc>
        <w:tc>
          <w:tcPr>
            <w:tcW w:w="296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7AEF61EC" w14:textId="77777777" w:rsidR="00A017F4" w:rsidRDefault="00000000">
            <w:r>
              <w:rPr>
                <w:color w:val="1A1A1A"/>
                <w:sz w:val="21"/>
                <w:szCs w:val="21"/>
              </w:rPr>
              <w:t>More wins than losses</w:t>
            </w:r>
          </w:p>
        </w:tc>
      </w:tr>
    </w:tbl>
    <w:p w14:paraId="467A5975" w14:textId="77777777" w:rsidR="00A017F4" w:rsidRDefault="00A017F4">
      <w:pPr>
        <w:pBdr>
          <w:bottom w:val="single" w:sz="4" w:space="1" w:color="DDDDDD"/>
        </w:pBdr>
        <w:spacing w:before="200" w:after="200"/>
      </w:pPr>
    </w:p>
    <w:p w14:paraId="5EC6A4FC" w14:textId="77777777" w:rsidR="00A017F4" w:rsidRDefault="00A017F4">
      <w:pPr>
        <w:pageBreakBefore/>
      </w:pPr>
    </w:p>
    <w:p w14:paraId="05B43C54" w14:textId="77777777" w:rsidR="00A017F4" w:rsidRDefault="00000000">
      <w:pPr>
        <w:pStyle w:val="Heading1"/>
      </w:pPr>
      <w:r>
        <w:t>10. One-Page Summary — The Model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560"/>
        <w:gridCol w:w="1800"/>
      </w:tblGrid>
      <w:tr w:rsidR="00A017F4" w14:paraId="35ED2944" w14:textId="77777777">
        <w:tblPrEx>
          <w:tblCellMar>
            <w:top w:w="0" w:type="dxa"/>
            <w:bottom w:w="0" w:type="dxa"/>
          </w:tblCellMar>
        </w:tblPrEx>
        <w:tc>
          <w:tcPr>
            <w:tcW w:w="3000" w:type="dxa"/>
            <w:tcBorders>
              <w:top w:val="single" w:sz="1" w:space="0" w:color="444444"/>
              <w:left w:val="single" w:sz="1" w:space="0" w:color="444444"/>
              <w:bottom w:val="single" w:sz="1" w:space="0" w:color="444444"/>
              <w:right w:val="single" w:sz="1" w:space="0" w:color="444444"/>
            </w:tcBorders>
            <w:shd w:val="clear" w:color="auto" w:fill="2C3E50"/>
            <w:tcMar>
              <w:top w:w="80" w:type="dxa"/>
              <w:left w:w="120" w:type="dxa"/>
              <w:bottom w:w="80" w:type="dxa"/>
              <w:right w:w="120" w:type="dxa"/>
            </w:tcMar>
          </w:tcPr>
          <w:p w14:paraId="6E7B21C1" w14:textId="77777777" w:rsidR="00A017F4" w:rsidRDefault="00000000">
            <w:r>
              <w:rPr>
                <w:rFonts w:ascii="Arial" w:eastAsia="Arial" w:hAnsi="Arial" w:cs="Arial"/>
                <w:b/>
                <w:bCs/>
                <w:color w:val="FFFFFF"/>
                <w:sz w:val="20"/>
                <w:szCs w:val="20"/>
              </w:rPr>
              <w:t>Category</w:t>
            </w:r>
          </w:p>
        </w:tc>
        <w:tc>
          <w:tcPr>
            <w:tcW w:w="4560" w:type="dxa"/>
            <w:tcBorders>
              <w:top w:val="single" w:sz="1" w:space="0" w:color="444444"/>
              <w:left w:val="single" w:sz="1" w:space="0" w:color="444444"/>
              <w:bottom w:val="single" w:sz="1" w:space="0" w:color="444444"/>
              <w:right w:val="single" w:sz="1" w:space="0" w:color="444444"/>
            </w:tcBorders>
            <w:shd w:val="clear" w:color="auto" w:fill="2C3E50"/>
            <w:tcMar>
              <w:top w:w="80" w:type="dxa"/>
              <w:left w:w="120" w:type="dxa"/>
              <w:bottom w:w="80" w:type="dxa"/>
              <w:right w:w="120" w:type="dxa"/>
            </w:tcMar>
          </w:tcPr>
          <w:p w14:paraId="04CACEA5" w14:textId="77777777" w:rsidR="00A017F4" w:rsidRDefault="00000000">
            <w:r>
              <w:rPr>
                <w:rFonts w:ascii="Arial" w:eastAsia="Arial" w:hAnsi="Arial" w:cs="Arial"/>
                <w:b/>
                <w:bCs/>
                <w:color w:val="FFFFFF"/>
                <w:sz w:val="20"/>
                <w:szCs w:val="20"/>
              </w:rPr>
              <w:t>What We Measure</w:t>
            </w:r>
          </w:p>
        </w:tc>
        <w:tc>
          <w:tcPr>
            <w:tcW w:w="1800" w:type="dxa"/>
            <w:tcBorders>
              <w:top w:val="single" w:sz="1" w:space="0" w:color="444444"/>
              <w:left w:val="single" w:sz="1" w:space="0" w:color="444444"/>
              <w:bottom w:val="single" w:sz="1" w:space="0" w:color="444444"/>
              <w:right w:val="single" w:sz="1" w:space="0" w:color="444444"/>
            </w:tcBorders>
            <w:shd w:val="clear" w:color="auto" w:fill="2C3E50"/>
            <w:tcMar>
              <w:top w:w="80" w:type="dxa"/>
              <w:left w:w="120" w:type="dxa"/>
              <w:bottom w:w="80" w:type="dxa"/>
              <w:right w:w="120" w:type="dxa"/>
            </w:tcMar>
          </w:tcPr>
          <w:p w14:paraId="73664836" w14:textId="77777777" w:rsidR="00A017F4" w:rsidRDefault="00000000">
            <w:r>
              <w:rPr>
                <w:rFonts w:ascii="Arial" w:eastAsia="Arial" w:hAnsi="Arial" w:cs="Arial"/>
                <w:b/>
                <w:bCs/>
                <w:color w:val="FFFFFF"/>
                <w:sz w:val="20"/>
                <w:szCs w:val="20"/>
              </w:rPr>
              <w:t>Points</w:t>
            </w:r>
          </w:p>
        </w:tc>
      </w:tr>
      <w:tr w:rsidR="00A017F4" w14:paraId="6A6E4D7B" w14:textId="77777777">
        <w:tblPrEx>
          <w:tblCellMar>
            <w:top w:w="0" w:type="dxa"/>
            <w:bottom w:w="0" w:type="dxa"/>
          </w:tblCellMar>
        </w:tblPrEx>
        <w:tc>
          <w:tcPr>
            <w:tcW w:w="30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6654F409" w14:textId="77777777" w:rsidR="00A017F4" w:rsidRDefault="00000000">
            <w:r>
              <w:rPr>
                <w:color w:val="1A1A1A"/>
                <w:sz w:val="21"/>
                <w:szCs w:val="21"/>
              </w:rPr>
              <w:t>Fundamental: EPS Growth</w:t>
            </w:r>
          </w:p>
        </w:tc>
        <w:tc>
          <w:tcPr>
            <w:tcW w:w="456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6422F168" w14:textId="77777777" w:rsidR="00A017F4" w:rsidRDefault="00000000">
            <w:r>
              <w:rPr>
                <w:color w:val="1A1A1A"/>
                <w:sz w:val="21"/>
                <w:szCs w:val="21"/>
              </w:rPr>
              <w:t>Year-on-year growth in Adjusted EPS</w:t>
            </w:r>
          </w:p>
        </w:tc>
        <w:tc>
          <w:tcPr>
            <w:tcW w:w="18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2B941174" w14:textId="77777777" w:rsidR="00A017F4" w:rsidRDefault="00000000">
            <w:r>
              <w:rPr>
                <w:color w:val="1A1A1A"/>
                <w:sz w:val="21"/>
                <w:szCs w:val="21"/>
              </w:rPr>
              <w:t>15</w:t>
            </w:r>
          </w:p>
        </w:tc>
      </w:tr>
      <w:tr w:rsidR="00A017F4" w14:paraId="15004033" w14:textId="77777777">
        <w:tblPrEx>
          <w:tblCellMar>
            <w:top w:w="0" w:type="dxa"/>
            <w:bottom w:w="0" w:type="dxa"/>
          </w:tblCellMar>
        </w:tblPrEx>
        <w:tc>
          <w:tcPr>
            <w:tcW w:w="30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249F4652" w14:textId="77777777" w:rsidR="00A017F4" w:rsidRDefault="00000000">
            <w:r>
              <w:rPr>
                <w:color w:val="1A1A1A"/>
                <w:sz w:val="21"/>
                <w:szCs w:val="21"/>
              </w:rPr>
              <w:t>Fundamental: Margin Trend</w:t>
            </w:r>
          </w:p>
        </w:tc>
        <w:tc>
          <w:tcPr>
            <w:tcW w:w="456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0D597B14" w14:textId="77777777" w:rsidR="00A017F4" w:rsidRDefault="00000000">
            <w:r>
              <w:rPr>
                <w:color w:val="1A1A1A"/>
                <w:sz w:val="21"/>
                <w:szCs w:val="21"/>
              </w:rPr>
              <w:t>Is operating margin expanding or contracting?</w:t>
            </w:r>
          </w:p>
        </w:tc>
        <w:tc>
          <w:tcPr>
            <w:tcW w:w="18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3CD36616" w14:textId="77777777" w:rsidR="00A017F4" w:rsidRDefault="00000000">
            <w:r>
              <w:rPr>
                <w:color w:val="1A1A1A"/>
                <w:sz w:val="21"/>
                <w:szCs w:val="21"/>
              </w:rPr>
              <w:t>10</w:t>
            </w:r>
          </w:p>
        </w:tc>
      </w:tr>
      <w:tr w:rsidR="00A017F4" w14:paraId="7D242279" w14:textId="77777777">
        <w:tblPrEx>
          <w:tblCellMar>
            <w:top w:w="0" w:type="dxa"/>
            <w:bottom w:w="0" w:type="dxa"/>
          </w:tblCellMar>
        </w:tblPrEx>
        <w:tc>
          <w:tcPr>
            <w:tcW w:w="30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45AB8EB6" w14:textId="77777777" w:rsidR="00A017F4" w:rsidRDefault="00000000">
            <w:r>
              <w:rPr>
                <w:color w:val="1A1A1A"/>
                <w:sz w:val="21"/>
                <w:szCs w:val="21"/>
              </w:rPr>
              <w:t>Fundamental: ROE</w:t>
            </w:r>
          </w:p>
        </w:tc>
        <w:tc>
          <w:tcPr>
            <w:tcW w:w="456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618EC012" w14:textId="77777777" w:rsidR="00A017F4" w:rsidRDefault="00000000">
            <w:r>
              <w:rPr>
                <w:color w:val="1A1A1A"/>
                <w:sz w:val="21"/>
                <w:szCs w:val="21"/>
              </w:rPr>
              <w:t>Profit earned per ₹100 of owners’ equity</w:t>
            </w:r>
          </w:p>
        </w:tc>
        <w:tc>
          <w:tcPr>
            <w:tcW w:w="18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3C6B5838" w14:textId="77777777" w:rsidR="00A017F4" w:rsidRDefault="00000000">
            <w:r>
              <w:rPr>
                <w:color w:val="1A1A1A"/>
                <w:sz w:val="21"/>
                <w:szCs w:val="21"/>
              </w:rPr>
              <w:t>10</w:t>
            </w:r>
          </w:p>
        </w:tc>
      </w:tr>
      <w:tr w:rsidR="00A017F4" w14:paraId="411D7BC9" w14:textId="77777777">
        <w:tblPrEx>
          <w:tblCellMar>
            <w:top w:w="0" w:type="dxa"/>
            <w:bottom w:w="0" w:type="dxa"/>
          </w:tblCellMar>
        </w:tblPrEx>
        <w:tc>
          <w:tcPr>
            <w:tcW w:w="30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6E4B7CC2" w14:textId="77777777" w:rsidR="00A017F4" w:rsidRDefault="00000000">
            <w:r>
              <w:rPr>
                <w:color w:val="1A1A1A"/>
                <w:sz w:val="21"/>
                <w:szCs w:val="21"/>
              </w:rPr>
              <w:t>Fundamental: Debt/Equity</w:t>
            </w:r>
          </w:p>
        </w:tc>
        <w:tc>
          <w:tcPr>
            <w:tcW w:w="456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60FE019B" w14:textId="77777777" w:rsidR="00A017F4" w:rsidRDefault="00000000">
            <w:r>
              <w:rPr>
                <w:color w:val="1A1A1A"/>
                <w:sz w:val="21"/>
                <w:szCs w:val="21"/>
              </w:rPr>
              <w:t>Financial risk from leverage (banks exempt)</w:t>
            </w:r>
          </w:p>
        </w:tc>
        <w:tc>
          <w:tcPr>
            <w:tcW w:w="18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0B907D24" w14:textId="77777777" w:rsidR="00A017F4" w:rsidRDefault="00000000">
            <w:r>
              <w:rPr>
                <w:color w:val="1A1A1A"/>
                <w:sz w:val="21"/>
                <w:szCs w:val="21"/>
              </w:rPr>
              <w:t>10</w:t>
            </w:r>
          </w:p>
        </w:tc>
      </w:tr>
      <w:tr w:rsidR="00A017F4" w14:paraId="72EA6E37" w14:textId="77777777">
        <w:tblPrEx>
          <w:tblCellMar>
            <w:top w:w="0" w:type="dxa"/>
            <w:bottom w:w="0" w:type="dxa"/>
          </w:tblCellMar>
        </w:tblPrEx>
        <w:tc>
          <w:tcPr>
            <w:tcW w:w="30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2322A038" w14:textId="77777777" w:rsidR="00A017F4" w:rsidRDefault="00000000">
            <w:r>
              <w:rPr>
                <w:color w:val="1A1A1A"/>
                <w:sz w:val="21"/>
                <w:szCs w:val="21"/>
              </w:rPr>
              <w:t>Fundamental: EPS Consistency</w:t>
            </w:r>
          </w:p>
        </w:tc>
        <w:tc>
          <w:tcPr>
            <w:tcW w:w="456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026941CA" w14:textId="77777777" w:rsidR="00A017F4" w:rsidRDefault="00000000">
            <w:r>
              <w:rPr>
                <w:color w:val="1A1A1A"/>
                <w:sz w:val="21"/>
                <w:szCs w:val="21"/>
              </w:rPr>
              <w:t>How stable/predictable are earnings?</w:t>
            </w:r>
          </w:p>
        </w:tc>
        <w:tc>
          <w:tcPr>
            <w:tcW w:w="18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1B0D93C3" w14:textId="77777777" w:rsidR="00A017F4" w:rsidRDefault="00000000">
            <w:r>
              <w:rPr>
                <w:color w:val="1A1A1A"/>
                <w:sz w:val="21"/>
                <w:szCs w:val="21"/>
              </w:rPr>
              <w:t>5</w:t>
            </w:r>
          </w:p>
        </w:tc>
      </w:tr>
      <w:tr w:rsidR="00A017F4" w14:paraId="23DA1EB3" w14:textId="77777777">
        <w:tblPrEx>
          <w:tblCellMar>
            <w:top w:w="0" w:type="dxa"/>
            <w:bottom w:w="0" w:type="dxa"/>
          </w:tblCellMar>
        </w:tblPrEx>
        <w:tc>
          <w:tcPr>
            <w:tcW w:w="30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269324AD" w14:textId="77777777" w:rsidR="00A017F4" w:rsidRDefault="00000000">
            <w:r>
              <w:rPr>
                <w:color w:val="1A1A1A"/>
                <w:sz w:val="21"/>
                <w:szCs w:val="21"/>
              </w:rPr>
              <w:t>Valuation: P/E vs Sector</w:t>
            </w:r>
          </w:p>
        </w:tc>
        <w:tc>
          <w:tcPr>
            <w:tcW w:w="456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75F2BB83" w14:textId="77777777" w:rsidR="00A017F4" w:rsidRDefault="00000000">
            <w:r>
              <w:rPr>
                <w:color w:val="1A1A1A"/>
                <w:sz w:val="21"/>
                <w:szCs w:val="21"/>
              </w:rPr>
              <w:t>Is the stock cheap or expensive vs its peers?</w:t>
            </w:r>
          </w:p>
        </w:tc>
        <w:tc>
          <w:tcPr>
            <w:tcW w:w="18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7C109968" w14:textId="77777777" w:rsidR="00A017F4" w:rsidRDefault="00000000">
            <w:r>
              <w:rPr>
                <w:color w:val="1A1A1A"/>
                <w:sz w:val="21"/>
                <w:szCs w:val="21"/>
              </w:rPr>
              <w:t>10</w:t>
            </w:r>
          </w:p>
        </w:tc>
      </w:tr>
      <w:tr w:rsidR="00A017F4" w14:paraId="6E7F391F" w14:textId="77777777">
        <w:tblPrEx>
          <w:tblCellMar>
            <w:top w:w="0" w:type="dxa"/>
            <w:bottom w:w="0" w:type="dxa"/>
          </w:tblCellMar>
        </w:tblPrEx>
        <w:tc>
          <w:tcPr>
            <w:tcW w:w="30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01D86C82" w14:textId="77777777" w:rsidR="00A017F4" w:rsidRDefault="00000000">
            <w:r>
              <w:rPr>
                <w:color w:val="1A1A1A"/>
                <w:sz w:val="21"/>
                <w:szCs w:val="21"/>
              </w:rPr>
              <w:t>Valuation: PEG Ratio</w:t>
            </w:r>
          </w:p>
        </w:tc>
        <w:tc>
          <w:tcPr>
            <w:tcW w:w="456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66C76288" w14:textId="77777777" w:rsidR="00A017F4" w:rsidRDefault="00000000">
            <w:r>
              <w:rPr>
                <w:color w:val="1A1A1A"/>
                <w:sz w:val="21"/>
                <w:szCs w:val="21"/>
              </w:rPr>
              <w:t>Is the stock cheap relative to its growth rate?</w:t>
            </w:r>
          </w:p>
        </w:tc>
        <w:tc>
          <w:tcPr>
            <w:tcW w:w="18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0A1BFB2A" w14:textId="77777777" w:rsidR="00A017F4" w:rsidRDefault="00000000">
            <w:r>
              <w:rPr>
                <w:color w:val="1A1A1A"/>
                <w:sz w:val="21"/>
                <w:szCs w:val="21"/>
              </w:rPr>
              <w:t>10</w:t>
            </w:r>
          </w:p>
        </w:tc>
      </w:tr>
      <w:tr w:rsidR="00A017F4" w14:paraId="031BFD0E" w14:textId="77777777">
        <w:tblPrEx>
          <w:tblCellMar>
            <w:top w:w="0" w:type="dxa"/>
            <w:bottom w:w="0" w:type="dxa"/>
          </w:tblCellMar>
        </w:tblPrEx>
        <w:tc>
          <w:tcPr>
            <w:tcW w:w="30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21BF4350" w14:textId="77777777" w:rsidR="00A017F4" w:rsidRDefault="00000000">
            <w:r>
              <w:rPr>
                <w:color w:val="1A1A1A"/>
                <w:sz w:val="21"/>
                <w:szCs w:val="21"/>
              </w:rPr>
              <w:t>Momentum: 6-Month Relative</w:t>
            </w:r>
          </w:p>
        </w:tc>
        <w:tc>
          <w:tcPr>
            <w:tcW w:w="456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41862104" w14:textId="77777777" w:rsidR="00A017F4" w:rsidRDefault="00000000">
            <w:r>
              <w:rPr>
                <w:color w:val="1A1A1A"/>
                <w:sz w:val="21"/>
                <w:szCs w:val="21"/>
              </w:rPr>
              <w:t>Has stock outperformed Nifty over 6 months?</w:t>
            </w:r>
          </w:p>
        </w:tc>
        <w:tc>
          <w:tcPr>
            <w:tcW w:w="18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51AD5ED5" w14:textId="77777777" w:rsidR="00A017F4" w:rsidRDefault="00000000">
            <w:r>
              <w:rPr>
                <w:color w:val="1A1A1A"/>
                <w:sz w:val="21"/>
                <w:szCs w:val="21"/>
              </w:rPr>
              <w:t>15</w:t>
            </w:r>
          </w:p>
        </w:tc>
      </w:tr>
      <w:tr w:rsidR="00A017F4" w14:paraId="55BD919C" w14:textId="77777777">
        <w:tblPrEx>
          <w:tblCellMar>
            <w:top w:w="0" w:type="dxa"/>
            <w:bottom w:w="0" w:type="dxa"/>
          </w:tblCellMar>
        </w:tblPrEx>
        <w:tc>
          <w:tcPr>
            <w:tcW w:w="30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63C7B63C" w14:textId="77777777" w:rsidR="00A017F4" w:rsidRDefault="00000000">
            <w:r>
              <w:rPr>
                <w:color w:val="1A1A1A"/>
                <w:sz w:val="21"/>
                <w:szCs w:val="21"/>
              </w:rPr>
              <w:t>Momentum: 3-Month Relative</w:t>
            </w:r>
          </w:p>
        </w:tc>
        <w:tc>
          <w:tcPr>
            <w:tcW w:w="456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7FA705D2" w14:textId="77777777" w:rsidR="00A017F4" w:rsidRDefault="00000000">
            <w:r>
              <w:rPr>
                <w:color w:val="1A1A1A"/>
                <w:sz w:val="21"/>
                <w:szCs w:val="21"/>
              </w:rPr>
              <w:t>Has stock outperformed Nifty over 3 months?</w:t>
            </w:r>
          </w:p>
        </w:tc>
        <w:tc>
          <w:tcPr>
            <w:tcW w:w="18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45973AF5" w14:textId="77777777" w:rsidR="00A017F4" w:rsidRDefault="00000000">
            <w:r>
              <w:rPr>
                <w:color w:val="1A1A1A"/>
                <w:sz w:val="21"/>
                <w:szCs w:val="21"/>
              </w:rPr>
              <w:t>10</w:t>
            </w:r>
          </w:p>
        </w:tc>
      </w:tr>
      <w:tr w:rsidR="00A017F4" w14:paraId="7F29AA2B" w14:textId="77777777">
        <w:tblPrEx>
          <w:tblCellMar>
            <w:top w:w="0" w:type="dxa"/>
            <w:bottom w:w="0" w:type="dxa"/>
          </w:tblCellMar>
        </w:tblPrEx>
        <w:tc>
          <w:tcPr>
            <w:tcW w:w="30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6487E7E2" w14:textId="77777777" w:rsidR="00A017F4" w:rsidRDefault="00000000">
            <w:r>
              <w:rPr>
                <w:color w:val="1A1A1A"/>
                <w:sz w:val="21"/>
                <w:szCs w:val="21"/>
              </w:rPr>
              <w:t>Momentum: 1-Month Relative</w:t>
            </w:r>
          </w:p>
        </w:tc>
        <w:tc>
          <w:tcPr>
            <w:tcW w:w="456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4CD7BD9D" w14:textId="77777777" w:rsidR="00A017F4" w:rsidRDefault="00000000">
            <w:r>
              <w:rPr>
                <w:color w:val="1A1A1A"/>
                <w:sz w:val="21"/>
                <w:szCs w:val="21"/>
              </w:rPr>
              <w:t>Has stock outperformed Nifty over 1 month?</w:t>
            </w:r>
          </w:p>
        </w:tc>
        <w:tc>
          <w:tcPr>
            <w:tcW w:w="1800" w:type="dxa"/>
            <w:tcBorders>
              <w:top w:val="single" w:sz="1" w:space="0" w:color="EEEEEE"/>
              <w:left w:val="single" w:sz="1" w:space="0" w:color="DDDDDD"/>
              <w:bottom w:val="single" w:sz="1" w:space="0" w:color="EEEEEE"/>
              <w:right w:val="single" w:sz="1" w:space="0" w:color="DDDDDD"/>
            </w:tcBorders>
            <w:shd w:val="clear" w:color="auto" w:fill="F5F6F7"/>
            <w:tcMar>
              <w:top w:w="80" w:type="dxa"/>
              <w:left w:w="120" w:type="dxa"/>
              <w:bottom w:w="80" w:type="dxa"/>
              <w:right w:w="120" w:type="dxa"/>
            </w:tcMar>
          </w:tcPr>
          <w:p w14:paraId="0B921B30" w14:textId="77777777" w:rsidR="00A017F4" w:rsidRDefault="00000000">
            <w:r>
              <w:rPr>
                <w:color w:val="1A1A1A"/>
                <w:sz w:val="21"/>
                <w:szCs w:val="21"/>
              </w:rPr>
              <w:t>5</w:t>
            </w:r>
          </w:p>
        </w:tc>
      </w:tr>
      <w:tr w:rsidR="00A017F4" w14:paraId="3D58D8A3" w14:textId="77777777">
        <w:tblPrEx>
          <w:tblCellMar>
            <w:top w:w="0" w:type="dxa"/>
            <w:bottom w:w="0" w:type="dxa"/>
          </w:tblCellMar>
        </w:tblPrEx>
        <w:tc>
          <w:tcPr>
            <w:tcW w:w="30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7C723A7D" w14:textId="77777777" w:rsidR="00A017F4" w:rsidRDefault="00000000">
            <w:r>
              <w:rPr>
                <w:color w:val="1A1A1A"/>
                <w:sz w:val="21"/>
                <w:szCs w:val="21"/>
              </w:rPr>
              <w:t>TOTAL</w:t>
            </w:r>
          </w:p>
        </w:tc>
        <w:tc>
          <w:tcPr>
            <w:tcW w:w="456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453ACBD0" w14:textId="77777777" w:rsidR="00A017F4" w:rsidRDefault="00A017F4"/>
        </w:tc>
        <w:tc>
          <w:tcPr>
            <w:tcW w:w="1800" w:type="dxa"/>
            <w:tcBorders>
              <w:top w:val="single" w:sz="1" w:space="0" w:color="EEEEEE"/>
              <w:left w:val="single" w:sz="1" w:space="0" w:color="DDDDDD"/>
              <w:bottom w:val="single" w:sz="1" w:space="0" w:color="EEEEEE"/>
              <w:right w:val="single" w:sz="1" w:space="0" w:color="DDDDDD"/>
            </w:tcBorders>
            <w:shd w:val="clear" w:color="auto" w:fill="FFFFFF"/>
            <w:tcMar>
              <w:top w:w="80" w:type="dxa"/>
              <w:left w:w="120" w:type="dxa"/>
              <w:bottom w:w="80" w:type="dxa"/>
              <w:right w:w="120" w:type="dxa"/>
            </w:tcMar>
          </w:tcPr>
          <w:p w14:paraId="7BA9D4E2" w14:textId="77777777" w:rsidR="00A017F4" w:rsidRDefault="00000000">
            <w:r>
              <w:rPr>
                <w:color w:val="1A1A1A"/>
                <w:sz w:val="21"/>
                <w:szCs w:val="21"/>
              </w:rPr>
              <w:t>100</w:t>
            </w:r>
          </w:p>
        </w:tc>
      </w:tr>
    </w:tbl>
    <w:p w14:paraId="147BCCD8" w14:textId="77777777" w:rsidR="00A017F4" w:rsidRDefault="00000000">
      <w:pPr>
        <w:spacing w:after="160"/>
      </w:pPr>
      <w:r>
        <w:rPr>
          <w:color w:val="1A1A1A"/>
        </w:rPr>
        <w:t xml:space="preserve"> </w:t>
      </w:r>
    </w:p>
    <w:p w14:paraId="6C6E35F6" w14:textId="77777777" w:rsidR="00A017F4" w:rsidRDefault="00000000">
      <w:pPr>
        <w:spacing w:after="160"/>
      </w:pPr>
      <w:r>
        <w:rPr>
          <w:b/>
          <w:bCs/>
          <w:color w:val="1A1A1A"/>
        </w:rPr>
        <w:t xml:space="preserve">Signal Thresholds: </w:t>
      </w:r>
      <w:r>
        <w:rPr>
          <w:color w:val="1A1A1A"/>
        </w:rPr>
        <w:t>Score ≥50 = BUY — Score 35–49 = HOLD — Score &lt;35 = AVOID</w:t>
      </w:r>
    </w:p>
    <w:p w14:paraId="5B1900BF" w14:textId="77777777" w:rsidR="00A017F4" w:rsidRDefault="00000000">
      <w:pPr>
        <w:spacing w:after="160"/>
      </w:pPr>
      <w:r>
        <w:rPr>
          <w:b/>
          <w:bCs/>
          <w:color w:val="1A1A1A"/>
        </w:rPr>
        <w:t xml:space="preserve">Strategy: </w:t>
      </w:r>
      <w:r>
        <w:rPr>
          <w:color w:val="1A1A1A"/>
        </w:rPr>
        <w:t>Hold the top 25 stocks by score. Rebalance quarterly. Avoid the bottom 25.</w:t>
      </w:r>
    </w:p>
    <w:p w14:paraId="693E8C41" w14:textId="77777777" w:rsidR="00A017F4" w:rsidRDefault="00000000">
      <w:pPr>
        <w:spacing w:after="160"/>
      </w:pPr>
      <w:r>
        <w:rPr>
          <w:b/>
          <w:bCs/>
          <w:color w:val="1A1A1A"/>
        </w:rPr>
        <w:t xml:space="preserve">Data Source: </w:t>
      </w:r>
      <w:r>
        <w:rPr>
          <w:color w:val="1A1A1A"/>
        </w:rPr>
        <w:t>Yahoo Finance, updated daily on weekdays at 4pm IST via automated script.</w:t>
      </w:r>
    </w:p>
    <w:p w14:paraId="1F9796E5" w14:textId="77777777" w:rsidR="00A017F4" w:rsidRDefault="00000000">
      <w:pPr>
        <w:spacing w:after="160"/>
      </w:pPr>
      <w:r>
        <w:rPr>
          <w:b/>
          <w:bCs/>
          <w:color w:val="1A1A1A"/>
        </w:rPr>
        <w:t xml:space="preserve">EPS Adjustment: </w:t>
      </w:r>
      <w:r>
        <w:rPr>
          <w:color w:val="1A1A1A"/>
        </w:rPr>
        <w:t>Adjusted for exceptional items (25% Indian tax rate) and minority interest.</w:t>
      </w:r>
    </w:p>
    <w:p w14:paraId="15849DA5" w14:textId="77777777" w:rsidR="00A017F4" w:rsidRDefault="00000000">
      <w:pPr>
        <w:spacing w:after="160"/>
      </w:pPr>
      <w:r>
        <w:rPr>
          <w:b/>
          <w:bCs/>
          <w:color w:val="1A1A1A"/>
        </w:rPr>
        <w:t xml:space="preserve">Forward EPS: </w:t>
      </w:r>
      <w:r>
        <w:rPr>
          <w:color w:val="1A1A1A"/>
        </w:rPr>
        <w:t>Two versions shown — derived estimate (clean) and analyst consensus. ⚠ if &gt;20% divergence.</w:t>
      </w:r>
    </w:p>
    <w:p w14:paraId="1BA07D3D" w14:textId="77777777" w:rsidR="00A017F4" w:rsidRDefault="00000000">
      <w:pPr>
        <w:spacing w:after="160"/>
      </w:pPr>
      <w:r>
        <w:rPr>
          <w:color w:val="1A1A1A"/>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17F4" w14:paraId="221B29F0" w14:textId="77777777">
        <w:tblPrEx>
          <w:tblCellMar>
            <w:top w:w="0" w:type="dxa"/>
            <w:bottom w:w="0" w:type="dxa"/>
          </w:tblCellMar>
        </w:tblPrEx>
        <w:tc>
          <w:tcPr>
            <w:tcW w:w="9360" w:type="dxa"/>
            <w:tcBorders>
              <w:top w:val="single" w:sz="12" w:space="0" w:color="E6A817"/>
              <w:left w:val="single" w:sz="24" w:space="0" w:color="E6A817"/>
              <w:bottom w:val="single" w:sz="12" w:space="0" w:color="E6A817"/>
            </w:tcBorders>
            <w:shd w:val="clear" w:color="auto" w:fill="FFF3CD"/>
            <w:tcMar>
              <w:top w:w="120" w:type="dxa"/>
              <w:left w:w="160" w:type="dxa"/>
              <w:bottom w:w="120" w:type="dxa"/>
              <w:right w:w="160" w:type="dxa"/>
            </w:tcMar>
          </w:tcPr>
          <w:p w14:paraId="76F14CC5" w14:textId="77777777" w:rsidR="00A017F4" w:rsidRDefault="00000000">
            <w:r>
              <w:rPr>
                <w:i/>
                <w:iCs/>
                <w:color w:val="3D2B00"/>
                <w:sz w:val="21"/>
                <w:szCs w:val="21"/>
              </w:rPr>
              <w:t xml:space="preserve">The Goal: Beat the Nifty 50 index by concentrating into the top 25 highest-scored stocks and rebalancing quarterly. Over 3–5 years of real predictions vs actual results, you will have statistically meaningful evidence of whether this model generates genuine alpha — or whether the </w:t>
            </w:r>
            <w:proofErr w:type="spellStart"/>
            <w:r>
              <w:rPr>
                <w:i/>
                <w:iCs/>
                <w:color w:val="3D2B00"/>
                <w:sz w:val="21"/>
                <w:szCs w:val="21"/>
              </w:rPr>
              <w:t>backtest</w:t>
            </w:r>
            <w:proofErr w:type="spellEnd"/>
            <w:r>
              <w:rPr>
                <w:i/>
                <w:iCs/>
                <w:color w:val="3D2B00"/>
                <w:sz w:val="21"/>
                <w:szCs w:val="21"/>
              </w:rPr>
              <w:t xml:space="preserve"> was lucky. First prediction locked: April 18, 2026. First review: April 2027.</w:t>
            </w:r>
          </w:p>
        </w:tc>
      </w:tr>
    </w:tbl>
    <w:p w14:paraId="0724A625" w14:textId="77777777" w:rsidR="00A017F4" w:rsidRDefault="00000000">
      <w:pPr>
        <w:spacing w:after="160"/>
      </w:pPr>
      <w:r>
        <w:rPr>
          <w:color w:val="1A1A1A"/>
        </w:rPr>
        <w:t xml:space="preserve">  </w:t>
      </w:r>
    </w:p>
    <w:p w14:paraId="240697A2" w14:textId="77777777" w:rsidR="00A017F4" w:rsidRDefault="00000000">
      <w:pPr>
        <w:spacing w:before="400"/>
        <w:jc w:val="center"/>
      </w:pPr>
      <w:r>
        <w:rPr>
          <w:rFonts w:ascii="Arial" w:eastAsia="Arial" w:hAnsi="Arial" w:cs="Arial"/>
          <w:i/>
          <w:iCs/>
          <w:color w:val="AAAAAA"/>
          <w:sz w:val="20"/>
          <w:szCs w:val="20"/>
        </w:rPr>
        <w:t>— End of Document —</w:t>
      </w:r>
    </w:p>
    <w:p w14:paraId="2BF3F28D" w14:textId="77777777" w:rsidR="00A017F4" w:rsidRDefault="00000000">
      <w:pPr>
        <w:jc w:val="center"/>
      </w:pPr>
      <w:r>
        <w:rPr>
          <w:rFonts w:ascii="Arial" w:eastAsia="Arial" w:hAnsi="Arial" w:cs="Arial"/>
          <w:color w:val="CCCCCC"/>
          <w:sz w:val="18"/>
          <w:szCs w:val="18"/>
        </w:rPr>
        <w:t>Live dashboard: naushimathur.github.io/Nifty-Dashboard | Built April 2026</w:t>
      </w:r>
    </w:p>
    <w:sectPr w:rsidR="00A017F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8636C" w14:textId="77777777" w:rsidR="000350C8" w:rsidRDefault="000350C8">
      <w:r>
        <w:separator/>
      </w:r>
    </w:p>
  </w:endnote>
  <w:endnote w:type="continuationSeparator" w:id="0">
    <w:p w14:paraId="31153DB7" w14:textId="77777777" w:rsidR="000350C8" w:rsidRDefault="00035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75FFD" w14:textId="77777777" w:rsidR="00A017F4" w:rsidRDefault="00000000">
    <w:pPr>
      <w:pBdr>
        <w:top w:val="single" w:sz="4" w:space="8" w:color="DDDDDD"/>
      </w:pBdr>
      <w:jc w:val="center"/>
    </w:pPr>
    <w:r>
      <w:rPr>
        <w:rFonts w:ascii="Arial" w:eastAsia="Arial" w:hAnsi="Arial" w:cs="Arial"/>
        <w:color w:val="AAAAAA"/>
        <w:sz w:val="18"/>
        <w:szCs w:val="18"/>
      </w:rPr>
      <w:t xml:space="preserve">Page </w:t>
    </w:r>
    <w:r>
      <w:rPr>
        <w:rFonts w:ascii="Arial" w:eastAsia="Arial" w:hAnsi="Arial" w:cs="Arial"/>
        <w:color w:val="AAAAAA"/>
        <w:sz w:val="18"/>
        <w:szCs w:val="18"/>
      </w:rPr>
      <w:fldChar w:fldCharType="begin"/>
    </w:r>
    <w:r>
      <w:rPr>
        <w:rFonts w:ascii="Arial" w:eastAsia="Arial" w:hAnsi="Arial" w:cs="Arial"/>
        <w:color w:val="AAAAAA"/>
        <w:sz w:val="18"/>
        <w:szCs w:val="18"/>
      </w:rPr>
      <w:instrText>PAGE</w:instrText>
    </w:r>
    <w:r>
      <w:rPr>
        <w:rFonts w:ascii="Arial" w:eastAsia="Arial" w:hAnsi="Arial" w:cs="Arial"/>
        <w:color w:val="AAAAAA"/>
        <w:sz w:val="18"/>
        <w:szCs w:val="18"/>
      </w:rPr>
      <w:fldChar w:fldCharType="separate"/>
    </w:r>
    <w:r w:rsidR="0079108D">
      <w:rPr>
        <w:rFonts w:ascii="Arial" w:eastAsia="Arial" w:hAnsi="Arial" w:cs="Arial"/>
        <w:noProof/>
        <w:color w:val="AAAAAA"/>
        <w:sz w:val="18"/>
        <w:szCs w:val="18"/>
      </w:rPr>
      <w:t>1</w:t>
    </w:r>
    <w:r>
      <w:rPr>
        <w:rFonts w:ascii="Arial" w:eastAsia="Arial" w:hAnsi="Arial" w:cs="Arial"/>
        <w:color w:val="AAAAAA"/>
        <w:sz w:val="18"/>
        <w:szCs w:val="18"/>
      </w:rPr>
      <w:fldChar w:fldCharType="end"/>
    </w:r>
    <w:r>
      <w:rPr>
        <w:rFonts w:ascii="Arial" w:eastAsia="Arial" w:hAnsi="Arial" w:cs="Arial"/>
        <w:color w:val="CCCCCC"/>
        <w:sz w:val="18"/>
        <w:szCs w:val="18"/>
      </w:rPr>
      <w:t xml:space="preserve"> | For personal investment research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43DC6" w14:textId="77777777" w:rsidR="000350C8" w:rsidRDefault="000350C8">
      <w:r>
        <w:separator/>
      </w:r>
    </w:p>
  </w:footnote>
  <w:footnote w:type="continuationSeparator" w:id="0">
    <w:p w14:paraId="655A5667" w14:textId="77777777" w:rsidR="000350C8" w:rsidRDefault="00035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46198" w14:textId="77777777" w:rsidR="00A017F4" w:rsidRDefault="00000000">
    <w:pPr>
      <w:pBdr>
        <w:bottom w:val="single" w:sz="4" w:space="8" w:color="DDDDDD"/>
      </w:pBdr>
      <w:tabs>
        <w:tab w:val="left" w:pos="9360"/>
      </w:tabs>
    </w:pPr>
    <w:r>
      <w:rPr>
        <w:rFonts w:ascii="Arial" w:eastAsia="Arial" w:hAnsi="Arial" w:cs="Arial"/>
        <w:color w:val="888888"/>
        <w:sz w:val="18"/>
        <w:szCs w:val="18"/>
      </w:rPr>
      <w:t>Nifty 50 Dashboard — My Model Explained</w:t>
    </w:r>
    <w:r>
      <w:rPr>
        <w:rFonts w:ascii="Arial" w:eastAsia="Arial" w:hAnsi="Arial" w:cs="Arial"/>
        <w:sz w:val="18"/>
        <w:szCs w:val="18"/>
      </w:rPr>
      <w:tab/>
    </w:r>
    <w:r>
      <w:rPr>
        <w:rFonts w:ascii="Arial" w:eastAsia="Arial" w:hAnsi="Arial" w:cs="Arial"/>
        <w:sz w:val="18"/>
        <w:szCs w:val="18"/>
      </w:rPr>
      <w:tab/>
    </w:r>
    <w:proofErr w:type="spellStart"/>
    <w:r>
      <w:rPr>
        <w:rFonts w:ascii="Arial" w:eastAsia="Arial" w:hAnsi="Arial" w:cs="Arial"/>
        <w:color w:val="AAAAAA"/>
        <w:sz w:val="18"/>
        <w:szCs w:val="18"/>
      </w:rPr>
      <w:t>Naushi</w:t>
    </w:r>
    <w:proofErr w:type="spellEnd"/>
    <w:r>
      <w:rPr>
        <w:rFonts w:ascii="Arial" w:eastAsia="Arial" w:hAnsi="Arial" w:cs="Arial"/>
        <w:color w:val="AAAAAA"/>
        <w:sz w:val="18"/>
        <w:szCs w:val="18"/>
      </w:rPr>
      <w:t xml:space="preserve"> Mathur | 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94DC6"/>
    <w:multiLevelType w:val="hybridMultilevel"/>
    <w:tmpl w:val="BFB6412A"/>
    <w:lvl w:ilvl="0" w:tplc="6DF61766">
      <w:start w:val="1"/>
      <w:numFmt w:val="bullet"/>
      <w:lvlText w:val="•"/>
      <w:lvlJc w:val="left"/>
      <w:pPr>
        <w:ind w:left="720" w:hanging="360"/>
      </w:pPr>
    </w:lvl>
    <w:lvl w:ilvl="1" w:tplc="03AC1BB8">
      <w:start w:val="1"/>
      <w:numFmt w:val="bullet"/>
      <w:lvlText w:val="◦"/>
      <w:lvlJc w:val="left"/>
      <w:pPr>
        <w:ind w:left="1080" w:hanging="360"/>
      </w:pPr>
    </w:lvl>
    <w:lvl w:ilvl="2" w:tplc="D0C4946C">
      <w:numFmt w:val="decimal"/>
      <w:lvlText w:val=""/>
      <w:lvlJc w:val="left"/>
    </w:lvl>
    <w:lvl w:ilvl="3" w:tplc="790C5674">
      <w:numFmt w:val="decimal"/>
      <w:lvlText w:val=""/>
      <w:lvlJc w:val="left"/>
    </w:lvl>
    <w:lvl w:ilvl="4" w:tplc="248C6958">
      <w:numFmt w:val="decimal"/>
      <w:lvlText w:val=""/>
      <w:lvlJc w:val="left"/>
    </w:lvl>
    <w:lvl w:ilvl="5" w:tplc="C602C36E">
      <w:numFmt w:val="decimal"/>
      <w:lvlText w:val=""/>
      <w:lvlJc w:val="left"/>
    </w:lvl>
    <w:lvl w:ilvl="6" w:tplc="E6BAF4C6">
      <w:numFmt w:val="decimal"/>
      <w:lvlText w:val=""/>
      <w:lvlJc w:val="left"/>
    </w:lvl>
    <w:lvl w:ilvl="7" w:tplc="1C0C75E2">
      <w:numFmt w:val="decimal"/>
      <w:lvlText w:val=""/>
      <w:lvlJc w:val="left"/>
    </w:lvl>
    <w:lvl w:ilvl="8" w:tplc="F0D264D8">
      <w:numFmt w:val="decimal"/>
      <w:lvlText w:val=""/>
      <w:lvlJc w:val="left"/>
    </w:lvl>
  </w:abstractNum>
  <w:abstractNum w:abstractNumId="1" w15:restartNumberingAfterBreak="0">
    <w:nsid w:val="317358BA"/>
    <w:multiLevelType w:val="hybridMultilevel"/>
    <w:tmpl w:val="29307542"/>
    <w:lvl w:ilvl="0" w:tplc="D1F8A2C2">
      <w:start w:val="1"/>
      <w:numFmt w:val="decimal"/>
      <w:lvlText w:val="%1."/>
      <w:lvlJc w:val="left"/>
      <w:pPr>
        <w:ind w:left="720" w:hanging="360"/>
      </w:pPr>
    </w:lvl>
    <w:lvl w:ilvl="1" w:tplc="9CEEE39C">
      <w:numFmt w:val="decimal"/>
      <w:lvlText w:val=""/>
      <w:lvlJc w:val="left"/>
    </w:lvl>
    <w:lvl w:ilvl="2" w:tplc="74B856FA">
      <w:numFmt w:val="decimal"/>
      <w:lvlText w:val=""/>
      <w:lvlJc w:val="left"/>
    </w:lvl>
    <w:lvl w:ilvl="3" w:tplc="3A8678AE">
      <w:numFmt w:val="decimal"/>
      <w:lvlText w:val=""/>
      <w:lvlJc w:val="left"/>
    </w:lvl>
    <w:lvl w:ilvl="4" w:tplc="3CE8EE82">
      <w:numFmt w:val="decimal"/>
      <w:lvlText w:val=""/>
      <w:lvlJc w:val="left"/>
    </w:lvl>
    <w:lvl w:ilvl="5" w:tplc="88744A58">
      <w:numFmt w:val="decimal"/>
      <w:lvlText w:val=""/>
      <w:lvlJc w:val="left"/>
    </w:lvl>
    <w:lvl w:ilvl="6" w:tplc="A7BC786E">
      <w:numFmt w:val="decimal"/>
      <w:lvlText w:val=""/>
      <w:lvlJc w:val="left"/>
    </w:lvl>
    <w:lvl w:ilvl="7" w:tplc="981C1124">
      <w:numFmt w:val="decimal"/>
      <w:lvlText w:val=""/>
      <w:lvlJc w:val="left"/>
    </w:lvl>
    <w:lvl w:ilvl="8" w:tplc="0226BD18">
      <w:numFmt w:val="decimal"/>
      <w:lvlText w:val=""/>
      <w:lvlJc w:val="left"/>
    </w:lvl>
  </w:abstractNum>
  <w:abstractNum w:abstractNumId="2" w15:restartNumberingAfterBreak="0">
    <w:nsid w:val="571A3D62"/>
    <w:multiLevelType w:val="hybridMultilevel"/>
    <w:tmpl w:val="28EC6B7E"/>
    <w:lvl w:ilvl="0" w:tplc="32B4B13A">
      <w:start w:val="1"/>
      <w:numFmt w:val="bullet"/>
      <w:lvlText w:val="●"/>
      <w:lvlJc w:val="left"/>
      <w:pPr>
        <w:ind w:left="720" w:hanging="360"/>
      </w:pPr>
    </w:lvl>
    <w:lvl w:ilvl="1" w:tplc="9188B486">
      <w:start w:val="1"/>
      <w:numFmt w:val="bullet"/>
      <w:lvlText w:val="○"/>
      <w:lvlJc w:val="left"/>
      <w:pPr>
        <w:ind w:left="1440" w:hanging="360"/>
      </w:pPr>
    </w:lvl>
    <w:lvl w:ilvl="2" w:tplc="1DF0D63C">
      <w:start w:val="1"/>
      <w:numFmt w:val="bullet"/>
      <w:lvlText w:val="■"/>
      <w:lvlJc w:val="left"/>
      <w:pPr>
        <w:ind w:left="2160" w:hanging="360"/>
      </w:pPr>
    </w:lvl>
    <w:lvl w:ilvl="3" w:tplc="4CA480A8">
      <w:start w:val="1"/>
      <w:numFmt w:val="bullet"/>
      <w:lvlText w:val="●"/>
      <w:lvlJc w:val="left"/>
      <w:pPr>
        <w:ind w:left="2880" w:hanging="360"/>
      </w:pPr>
    </w:lvl>
    <w:lvl w:ilvl="4" w:tplc="3544ED1A">
      <w:start w:val="1"/>
      <w:numFmt w:val="bullet"/>
      <w:lvlText w:val="○"/>
      <w:lvlJc w:val="left"/>
      <w:pPr>
        <w:ind w:left="3600" w:hanging="360"/>
      </w:pPr>
    </w:lvl>
    <w:lvl w:ilvl="5" w:tplc="97845094">
      <w:start w:val="1"/>
      <w:numFmt w:val="bullet"/>
      <w:lvlText w:val="■"/>
      <w:lvlJc w:val="left"/>
      <w:pPr>
        <w:ind w:left="4320" w:hanging="360"/>
      </w:pPr>
    </w:lvl>
    <w:lvl w:ilvl="6" w:tplc="91D07CE4">
      <w:start w:val="1"/>
      <w:numFmt w:val="bullet"/>
      <w:lvlText w:val="●"/>
      <w:lvlJc w:val="left"/>
      <w:pPr>
        <w:ind w:left="5040" w:hanging="360"/>
      </w:pPr>
    </w:lvl>
    <w:lvl w:ilvl="7" w:tplc="94AE5268">
      <w:start w:val="1"/>
      <w:numFmt w:val="bullet"/>
      <w:lvlText w:val="●"/>
      <w:lvlJc w:val="left"/>
      <w:pPr>
        <w:ind w:left="5760" w:hanging="360"/>
      </w:pPr>
    </w:lvl>
    <w:lvl w:ilvl="8" w:tplc="E7EA83CC">
      <w:start w:val="1"/>
      <w:numFmt w:val="bullet"/>
      <w:lvlText w:val="●"/>
      <w:lvlJc w:val="left"/>
      <w:pPr>
        <w:ind w:left="6480" w:hanging="360"/>
      </w:pPr>
    </w:lvl>
  </w:abstractNum>
  <w:num w:numId="1" w16cid:durableId="2123258076">
    <w:abstractNumId w:val="2"/>
    <w:lvlOverride w:ilvl="0">
      <w:startOverride w:val="1"/>
    </w:lvlOverride>
  </w:num>
  <w:num w:numId="2" w16cid:durableId="14358317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Q0sTC1NLM0sjAzsLRU0lEKTi0uzszPAykwrAUAcO47fSwAAAA="/>
  </w:docVars>
  <w:rsids>
    <w:rsidRoot w:val="00A017F4"/>
    <w:rsid w:val="000350C8"/>
    <w:rsid w:val="0079108D"/>
    <w:rsid w:val="008C4DF5"/>
    <w:rsid w:val="00A017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256AD"/>
  <w15:docId w15:val="{9B2F88C9-8909-4131-AA5D-B6BECB819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rFonts w:ascii="Arial" w:eastAsia="Arial" w:hAnsi="Arial" w:cs="Arial"/>
      <w:b/>
      <w:bCs/>
      <w:color w:val="E05A00"/>
      <w:sz w:val="36"/>
      <w:szCs w:val="36"/>
    </w:rPr>
  </w:style>
  <w:style w:type="paragraph" w:styleId="Heading2">
    <w:name w:val="heading 2"/>
    <w:uiPriority w:val="9"/>
    <w:unhideWhenUsed/>
    <w:qFormat/>
    <w:pPr>
      <w:spacing w:before="320" w:after="120"/>
      <w:outlineLvl w:val="1"/>
    </w:pPr>
    <w:rPr>
      <w:rFonts w:ascii="Arial" w:eastAsia="Arial" w:hAnsi="Arial" w:cs="Arial"/>
      <w:b/>
      <w:bCs/>
      <w:color w:val="2C3E50"/>
      <w:sz w:val="28"/>
      <w:szCs w:val="28"/>
    </w:rPr>
  </w:style>
  <w:style w:type="paragraph" w:styleId="Heading3">
    <w:name w:val="heading 3"/>
    <w:uiPriority w:val="9"/>
    <w:unhideWhenUsed/>
    <w:qFormat/>
    <w:pPr>
      <w:spacing w:before="240" w:after="80"/>
      <w:outlineLvl w:val="2"/>
    </w:pPr>
    <w:rPr>
      <w:rFonts w:ascii="Arial" w:eastAsia="Arial" w:hAnsi="Arial" w:cs="Arial"/>
      <w:b/>
      <w:bCs/>
      <w:color w:val="34495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25</Pages>
  <Words>4594</Words>
  <Characters>26186</Characters>
  <Application>Microsoft Office Word</Application>
  <DocSecurity>0</DocSecurity>
  <Lines>218</Lines>
  <Paragraphs>61</Paragraphs>
  <ScaleCrop>false</ScaleCrop>
  <Company/>
  <LinksUpToDate>false</LinksUpToDate>
  <CharactersWithSpaces>30719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Naushi Mathur</cp:lastModifiedBy>
  <cp:revision>2</cp:revision>
  <dcterms:created xsi:type="dcterms:W3CDTF">2026-04-20T08:48:00Z</dcterms:created>
  <dcterms:modified xsi:type="dcterms:W3CDTF">2026-04-20T09:12:00Z</dcterms:modified>
</cp:coreProperties>
</file>