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9a3412"/>
          <w:spacing w:val="20"/>
          <w:sz w:val="16"/>
          <w:szCs w:val="16"/>
        </w:rPr>
        <w:t xml:space="preserve">TECHNICAL DESIGN PROPOSAL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a1a1a"/>
          <w:sz w:val="34"/>
          <w:szCs w:val="34"/>
        </w:rPr>
        <w:t xml:space="preserve">Dependency Vulnerability Reachability Agent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 agentic system that separates exploitable vulnerabilities from noise by tracing whether a vulnerable function is actually reachable from an application's real code paths — built as a portfolio-grade demonstration of multi-agent orchestration, program-analysis reasoning, and rigorous evaluation.</w:t>
      </w:r>
    </w:p>
    <w:p>
      <w:pPr>
        <w:pBdr>
          <w:bottom w:val="single" w:color="cccccc" w:sz="6" w:space="1"/>
        </w:pBdr>
        <w:spacing w:after="140"/>
      </w:pPr>
    </w:p>
    <w:p>
      <w:pPr>
        <w:pStyle w:val="Heading1"/>
        <w:pBdr>
          <w:bottom w:val="single" w:color="9a3412" w:sz="8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1. Executive Summary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Static software composition analysis (SCA) tools — Dependabot, npm audit, raw OSV lookups — report every known CVE in a dependency tree with no regard for whether the vulnerable code is ever actually executed. Industry data shows roughly 95% of vulnerabilities live in transitive dependencies, and reachability-aware scanners typically cut raw finding counts by 70–98% once non-callable code paths are filtered out. This is a solved category at the infrastructure level — Endor Labs, Semgrep Supply Chain, Snyk, and Contrast SCA all ship proprietary, deterministic call-graph reachability engines.</w:t>
      </w:r>
    </w:p>
    <w:p>
      <w:pPr>
        <w:spacing w:after="9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This project does not attempt to out-build those engines.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It builds an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agentic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reachability layer — a multi-agent system that reasons over vulnerability advisories, static call graphs, and raw source code the way a senior application-security engineer would: reading the advisory, tracing the call path, checking the surrounding code for guards or dead branches, and writing a human-readable, evidence-cited justification for its verdict — rather than emitting a bare boolean from a closed-source graph engine. The deliverable is a working, portfolio-scale demonstration of applying agentic LLM reasoning to augment a real, economically important, and imperfectly-solved security problem.</w:t>
      </w:r>
    </w:p>
    <w:tbl>
      <w:tblPr>
        <w:tblW w:type="pct" w:w="100%"/>
        <w:tblBorders>
          <w:top w:val="single" w:color="cccccc" w:sz="4"/>
          <w:left w:val="single" w:color="9a3412" w:sz="2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ed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14"/>
                <w:szCs w:val="14"/>
              </w:rPr>
              <w:t xml:space="preserve">POSITIONING, STATED HONESTLY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Reachability analysis itself is an established, commercially solved technique. The differentiator here is the reasoning layer: agentic, cited, natural-language justification on top of open, free data sources — not a novel category. This honesty is itself the stronger interview answer: it signals landscape awareness rather than an unverified claim of invention.</w:t>
            </w:r>
          </w:p>
        </w:tc>
      </w:tr>
    </w:tbl>
    <w:p>
      <w:pPr>
        <w:pStyle w:val="Heading1"/>
        <w:pBdr>
          <w:bottom w:val="single" w:color="9a3412" w:sz="8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2. Problem Statement &amp; Prior Art</w:t>
      </w:r>
    </w:p>
    <w:p>
      <w:pPr>
        <w:pStyle w:val="Heading2"/>
        <w:spacing w:after="60" w:before="160"/>
      </w:pPr>
      <w:r>
        <w:rPr>
          <w:rFonts w:ascii="Georgia" w:cs="Georgia" w:eastAsia="Georgia" w:hAnsi="Georgia"/>
          <w:b/>
          <w:bCs/>
          <w:color w:val="9a3412"/>
          <w:sz w:val="19"/>
          <w:szCs w:val="19"/>
        </w:rPr>
        <w:t xml:space="preserve">2.1 The problem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 typical application pulls in 500+ dependencies (Black Duck OSSRA 2026); 87% of commercial codebases contain at least one known-vulnerable component. A raw SCA scan reports every CVE across the full dependency tree — the large majority in code paths the application never calls. Security teams triage this list manually, and industry data puts the median time-to-remediate at 252 days and climbing. The bottleneck is not detection — it is precision and explainability at triage time.</w:t>
      </w:r>
    </w:p>
    <w:p>
      <w:pPr>
        <w:pStyle w:val="Heading2"/>
        <w:spacing w:after="60" w:before="160"/>
      </w:pPr>
      <w:r>
        <w:rPr>
          <w:rFonts w:ascii="Georgia" w:cs="Georgia" w:eastAsia="Georgia" w:hAnsi="Georgia"/>
          <w:b/>
          <w:bCs/>
          <w:color w:val="9a3412"/>
          <w:sz w:val="19"/>
          <w:szCs w:val="19"/>
        </w:rPr>
        <w:t xml:space="preserve">2.2 Prior art — acknowledged directly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50"/>
      </w:tblGrid>
      <w:tr>
        <w:trPr>
          <w:cantSplit/>
          <w:tblHeader/>
        </w:trPr>
        <w:tc>
          <w:tcPr>
            <w:tcW w:type="dxa" w:w="260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Tool</w:t>
            </w:r>
          </w:p>
        </w:tc>
        <w:tc>
          <w:tcPr>
            <w:tcW w:type="dxa" w:w="340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Approach</w:t>
            </w:r>
          </w:p>
        </w:tc>
        <w:tc>
          <w:tcPr>
            <w:tcW w:type="dxa" w:w="335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Limitation this project targets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Dependabot / npm audit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Version-match against CVE feeds, no reachability</w:t>
            </w:r>
          </w:p>
        </w:tc>
        <w:tc>
          <w:tcPr>
            <w:tcW w:type="dxa" w:w="33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~70–98% of findings are false-priority noise</w:t>
            </w:r>
          </w:p>
        </w:tc>
      </w:tr>
      <w:tr>
        <w:trPr>
          <w:cantSplit/>
        </w:trPr>
        <w:tc>
          <w:tcPr>
            <w:tcW w:type="dxa" w:w="26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Endor Labs</w:t>
            </w:r>
          </w:p>
        </w:tc>
        <w:tc>
          <w:tcPr>
            <w:tcW w:type="dxa" w:w="34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Proprietary full-stack call-graph reachability (code + containers)</w:t>
            </w:r>
          </w:p>
        </w:tc>
        <w:tc>
          <w:tcPr>
            <w:tcW w:type="dxa" w:w="33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Closed-source; verdict is a score, not a cited natural-language explanation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Semgrep Supply Chain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Code-pattern-based “reachability hints” via SAST rules</w:t>
            </w:r>
          </w:p>
        </w:tc>
        <w:tc>
          <w:tcPr>
            <w:tcW w:type="dxa" w:w="33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Smaller vuln DB; requires custom rule tuning for high accuracy</w:t>
            </w:r>
          </w:p>
        </w:tc>
      </w:tr>
      <w:tr>
        <w:trPr>
          <w:cantSplit/>
        </w:trPr>
        <w:tc>
          <w:tcPr>
            <w:tcW w:type="dxa" w:w="26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Snyk / Contrast SCA</w:t>
            </w:r>
          </w:p>
        </w:tc>
        <w:tc>
          <w:tcPr>
            <w:tcW w:type="dxa" w:w="34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Commercial reachability + dataflow analysis</w:t>
            </w:r>
          </w:p>
        </w:tc>
        <w:tc>
          <w:tcPr>
            <w:tcW w:type="dxa" w:w="33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Enterprise-priced, closed, no exposed reasoning trace</w:t>
            </w:r>
          </w:p>
        </w:tc>
      </w:tr>
    </w:tbl>
    <w:p>
      <w:pPr>
        <w:spacing w:after="80"/>
      </w:pP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Every incumbent above is a deterministic static-analysis engine. None of them expose a reasoning trace an engineer can audit in plain language, and none apply LLM-based semantic reasoning to catch patterns a pure call graph misses — reflection, dynamic dispatch, config-driven routing, and framework ‘magic’ that breaks static call-graph construction in Python and JavaScript specifically.</w:t>
      </w:r>
    </w:p>
    <w:p>
      <w:pPr>
        <w:pStyle w:val="Heading1"/>
        <w:pBdr>
          <w:bottom w:val="single" w:color="9a3412" w:sz="8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3. Goals &amp; Non-Goals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In scope (v1)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Python and JavaScript/TypeScript repositories (the two ecosystems with the best static-analysis tooling maturity).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Manifest formats: requirements.txt / pyproject.toml (Python), package.json + lockfile (JS/TS).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A structured, cited verdict per finding: reachable / not-reachable / indeterminate, with a natural-language justification and a confidence score.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A measured, published evaluation against a hand-verified ground-truth set (Section 9).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Explicitly out of scope (v1)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Automatic remediation / auto-opening fix PRs — the system proposes, a human approves (Section 10).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Compiled languages (Go, Rust, Java, C++) — different call-graph tooling per language; a v2 extension, not a v1 requirement.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Dynamic/runtime instrumentation (what Endor Labs calls ‘full-stack’ reachability) — v1 is static-plus-agentic only.</w:t>
      </w:r>
    </w:p>
    <w:p>
      <w:pPr>
        <w:pStyle w:val="Heading1"/>
        <w:pBdr>
          <w:bottom w:val="single" w:color="9a3412" w:sz="8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4. Requirements</w:t>
      </w:r>
    </w:p>
    <w:p>
      <w:pPr>
        <w:pStyle w:val="Heading2"/>
        <w:spacing w:after="60" w:before="160"/>
      </w:pPr>
      <w:r>
        <w:rPr>
          <w:rFonts w:ascii="Georgia" w:cs="Georgia" w:eastAsia="Georgia" w:hAnsi="Georgia"/>
          <w:b/>
          <w:bCs/>
          <w:color w:val="9a3412"/>
          <w:sz w:val="19"/>
          <w:szCs w:val="19"/>
        </w:rPr>
        <w:t xml:space="preserve">4.1 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200"/>
      </w:tblGrid>
      <w:tr>
        <w:trPr>
          <w:cantSplit/>
          <w:tblHeader/>
        </w:trPr>
        <w:tc>
          <w:tcPr>
            <w:tcW w:type="dxa" w:w="115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820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1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FR-1</w:t>
            </w:r>
          </w:p>
        </w:tc>
        <w:tc>
          <w:tcPr>
            <w:tcW w:type="dxa" w:w="82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Given a public GitHub repository URL, resolve its full dependency tree (direct + transitive).</w:t>
            </w:r>
          </w:p>
        </w:tc>
      </w:tr>
      <w:tr>
        <w:trPr>
          <w:cantSplit/>
        </w:trPr>
        <w:tc>
          <w:tcPr>
            <w:tcW w:type="dxa" w:w="11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FR-2</w:t>
            </w:r>
          </w:p>
        </w:tc>
        <w:tc>
          <w:tcPr>
            <w:tcW w:type="dxa" w:w="82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Cross-reference every resolved package/version against the OSV.dev vulnerability database.</w:t>
            </w:r>
          </w:p>
        </w:tc>
      </w:tr>
      <w:tr>
        <w:trPr>
          <w:cantSplit/>
        </w:trPr>
        <w:tc>
          <w:tcPr>
            <w:tcW w:type="dxa" w:w="11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FR-3</w:t>
            </w:r>
          </w:p>
        </w:tc>
        <w:tc>
          <w:tcPr>
            <w:tcW w:type="dxa" w:w="82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For each finding, construct or query a static call graph from the application's entry points.</w:t>
            </w:r>
          </w:p>
        </w:tc>
      </w:tr>
      <w:tr>
        <w:trPr>
          <w:cantSplit/>
        </w:trPr>
        <w:tc>
          <w:tcPr>
            <w:tcW w:type="dxa" w:w="11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FR-4</w:t>
            </w:r>
          </w:p>
        </w:tc>
        <w:tc>
          <w:tcPr>
            <w:tcW w:type="dxa" w:w="82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Determine whether the specific vulnerable function/symbol lies on a reachable call path.</w:t>
            </w:r>
          </w:p>
        </w:tc>
      </w:tr>
      <w:tr>
        <w:trPr>
          <w:cantSplit/>
        </w:trPr>
        <w:tc>
          <w:tcPr>
            <w:tcW w:type="dxa" w:w="11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FR-5</w:t>
            </w:r>
          </w:p>
        </w:tc>
        <w:tc>
          <w:tcPr>
            <w:tcW w:type="dxa" w:w="82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For reachable findings, produce a cited, natural-language justification referencing the actual call chain and source lines.</w:t>
            </w:r>
          </w:p>
        </w:tc>
      </w:tr>
      <w:tr>
        <w:trPr>
          <w:cantSplit/>
        </w:trPr>
        <w:tc>
          <w:tcPr>
            <w:tcW w:type="dxa" w:w="11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FR-6</w:t>
            </w:r>
          </w:p>
        </w:tc>
        <w:tc>
          <w:tcPr>
            <w:tcW w:type="dxa" w:w="82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Emit a structured (Pydantic-validated) report: severity, reachability verdict, confidence, evidence, suggested fix version.</w:t>
            </w:r>
          </w:p>
        </w:tc>
      </w:tr>
      <w:tr>
        <w:trPr>
          <w:cantSplit/>
        </w:trPr>
        <w:tc>
          <w:tcPr>
            <w:tcW w:type="dxa" w:w="11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FR-7</w:t>
            </w:r>
          </w:p>
        </w:tc>
        <w:tc>
          <w:tcPr>
            <w:tcW w:type="dxa" w:w="82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Never execute untrusted repository code — static analysis only (Section 10).</w:t>
            </w:r>
          </w:p>
        </w:tc>
      </w:tr>
    </w:tbl>
    <w:p>
      <w:pPr>
        <w:spacing w:after="60"/>
      </w:pPr>
    </w:p>
    <w:p>
      <w:pPr>
        <w:pStyle w:val="Heading2"/>
        <w:spacing w:after="60" w:before="160"/>
      </w:pPr>
      <w:r>
        <w:rPr>
          <w:rFonts w:ascii="Georgia" w:cs="Georgia" w:eastAsia="Georgia" w:hAnsi="Georgia"/>
          <w:b/>
          <w:bCs/>
          <w:color w:val="9a3412"/>
          <w:sz w:val="19"/>
          <w:szCs w:val="19"/>
        </w:rPr>
        <w:t xml:space="preserve">4.2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cantSplit/>
          <w:tblHeader/>
        </w:trPr>
        <w:tc>
          <w:tcPr>
            <w:tcW w:type="dxa" w:w="240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695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Latency</w:t>
            </w:r>
          </w:p>
        </w:tc>
        <w:tc>
          <w:tcPr>
            <w:tcW w:type="dxa" w:w="69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Small–medium repo (&lt;200 direct deps) analyzed end-to-end in under 5 minutes</w:t>
            </w:r>
          </w:p>
        </w:tc>
      </w:tr>
      <w:tr>
        <w:trPr>
          <w:cantSplit/>
        </w:trPr>
        <w:tc>
          <w:tcPr>
            <w:tcW w:type="dxa" w:w="24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Precision</w:t>
            </w:r>
          </w:p>
        </w:tc>
        <w:tc>
          <w:tcPr>
            <w:tcW w:type="dxa" w:w="69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≥85% precision on the reachability verdict against the ground-truth set (Section 9)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Cost</w:t>
            </w:r>
          </w:p>
        </w:tc>
        <w:tc>
          <w:tcPr>
            <w:tcW w:type="dxa" w:w="69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Under $0.50 in LLM spend per full repository scan (enforced via model routing, Section 6.4)</w:t>
            </w:r>
          </w:p>
        </w:tc>
      </w:tr>
      <w:tr>
        <w:trPr>
          <w:cantSplit/>
        </w:trPr>
        <w:tc>
          <w:tcPr>
            <w:tcW w:type="dxa" w:w="24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Idempotency</w:t>
            </w:r>
          </w:p>
        </w:tc>
        <w:tc>
          <w:tcPr>
            <w:tcW w:type="dxa" w:w="69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Re-running a scan on an unchanged commit returns a cached, identical result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Auditability</w:t>
            </w:r>
          </w:p>
        </w:tc>
        <w:tc>
          <w:tcPr>
            <w:tcW w:type="dxa" w:w="69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Every verdict traceable to the exact advisory, call path, and source lines that produced it</w:t>
            </w:r>
          </w:p>
        </w:tc>
      </w:tr>
    </w:tbl>
    <w:p>
      <w:pPr>
        <w:pStyle w:val="Heading1"/>
        <w:pBdr>
          <w:bottom w:val="single" w:color="9a3412" w:sz="8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5. System Architecture — High Level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The system follows an orchestrator-worker multi-agent topology: a Lead agent plans the scan and delegates three independent analysis tasks to specialized subagents, each with an isolated context window and a narrowly scoped tool set, then synthesizes their condensed findings into one structured report.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cantSplit/>
          <w:tblHeader/>
        </w:trPr>
        <w:tc>
          <w:tcPr>
            <w:tcW w:type="dxa" w:w="260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675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API / Ingestion</w:t>
            </w:r>
          </w:p>
        </w:tc>
        <w:tc>
          <w:tcPr>
            <w:tcW w:type="dxa" w:w="67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FastAPI service accepts a repo URL, clones (shallow, read-only) into a sandboxed container, enqueues the scan job</w:t>
            </w:r>
          </w:p>
        </w:tc>
      </w:tr>
      <w:tr>
        <w:trPr>
          <w:cantSplit/>
        </w:trPr>
        <w:tc>
          <w:tcPr>
            <w:tcW w:type="dxa" w:w="26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Dependency Resolution</w:t>
            </w:r>
          </w:p>
        </w:tc>
        <w:tc>
          <w:tcPr>
            <w:tcW w:type="dxa" w:w="67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Parses manifests/lockfiles into a full direct + transitive dependency tree per ecosystem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Vulnerability Matching</w:t>
            </w:r>
          </w:p>
        </w:tc>
        <w:tc>
          <w:tcPr>
            <w:tcW w:type="dxa" w:w="67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Queries OSV.dev for every resolved package@version; extracts affected function/symbol names from advisories where available</w:t>
            </w:r>
          </w:p>
        </w:tc>
      </w:tr>
      <w:tr>
        <w:trPr>
          <w:cantSplit/>
        </w:trPr>
        <w:tc>
          <w:tcPr>
            <w:tcW w:type="dxa" w:w="26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Static Call Graph</w:t>
            </w:r>
          </w:p>
        </w:tc>
        <w:tc>
          <w:tcPr>
            <w:tcW w:type="dxa" w:w="67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Builds a call graph from declared entry points using tree-sitter-based parsing per language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Agentic Reasoning (Lead)</w:t>
            </w:r>
          </w:p>
        </w:tc>
        <w:tc>
          <w:tcPr>
            <w:tcW w:type="dxa" w:w="67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Plans the scan, dispatches subagents per finding-cluster, synthesizes verdicts</w:t>
            </w:r>
          </w:p>
        </w:tc>
      </w:tr>
      <w:tr>
        <w:trPr>
          <w:cantSplit/>
        </w:trPr>
        <w:tc>
          <w:tcPr>
            <w:tcW w:type="dxa" w:w="26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Agentic Reasoning (Subagents)</w:t>
            </w:r>
          </w:p>
        </w:tc>
        <w:tc>
          <w:tcPr>
            <w:tcW w:type="dxa" w:w="67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Vulnerability-Research agent, Call-Path agent, Code-Verification agent — detailed in §6.4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Report Synthesis</w:t>
            </w:r>
          </w:p>
        </w:tc>
        <w:tc>
          <w:tcPr>
            <w:tcW w:type="dxa" w:w="67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Pydantic-typed structured output: verdict, confidence, evidence, citations</w:t>
            </w:r>
          </w:p>
        </w:tc>
      </w:tr>
      <w:tr>
        <w:trPr>
          <w:cantSplit/>
        </w:trPr>
        <w:tc>
          <w:tcPr>
            <w:tcW w:type="dxa" w:w="26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Persistence &amp; Cache</w:t>
            </w:r>
          </w:p>
        </w:tc>
        <w:tc>
          <w:tcPr>
            <w:tcW w:type="dxa" w:w="67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PostgreSQL (scan/job state), Redis (OSV/npm/PyPI response cache + job queue)</w:t>
            </w:r>
          </w:p>
        </w:tc>
      </w:tr>
    </w:tbl>
    <w:p>
      <w:pPr>
        <w:pStyle w:val="Heading1"/>
        <w:pBdr>
          <w:bottom w:val="single" w:color="9a3412" w:sz="8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6. Detailed Component Design</w:t>
      </w:r>
    </w:p>
    <w:p>
      <w:pPr>
        <w:pStyle w:val="Heading2"/>
        <w:spacing w:after="60" w:before="160"/>
      </w:pPr>
      <w:r>
        <w:rPr>
          <w:rFonts w:ascii="Georgia" w:cs="Georgia" w:eastAsia="Georgia" w:hAnsi="Georgia"/>
          <w:b/>
          <w:bCs/>
          <w:color w:val="9a3412"/>
          <w:sz w:val="19"/>
          <w:szCs w:val="19"/>
        </w:rPr>
        <w:t xml:space="preserve">6.1 Ingestion &amp; Ecosystem Parsing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The target repository is shallow-cloned into an ephemeral, network-isolated Docker container (Section 10). A language detector selects the appropriate manifest parser: pip-tools/Poetry resolution for Python, npm/yarn lockfile parsing for JS/TS. Output is a normalized dependency graph: package name, resolved version, direct vs. transitive, and the import path(s) that pull it in.</w:t>
      </w:r>
    </w:p>
    <w:p>
      <w:pPr>
        <w:pStyle w:val="Heading2"/>
        <w:spacing w:after="60" w:before="160"/>
      </w:pPr>
      <w:r>
        <w:rPr>
          <w:rFonts w:ascii="Georgia" w:cs="Georgia" w:eastAsia="Georgia" w:hAnsi="Georgia"/>
          <w:b/>
          <w:bCs/>
          <w:color w:val="9a3412"/>
          <w:sz w:val="19"/>
          <w:szCs w:val="19"/>
        </w:rPr>
        <w:t xml:space="preserve">6.2 Vulnerability Data Layer — OSV.dev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OSV.dev (Open Source Vulnerabilities) is queried in batch mode for every resolved package@version. OSV was selected over NVD directly because its schema natively supports ecosystem-specific version ranges and, critically, many advisories include affected function/symbol names — the exact seed data the reachability layer needs. Responses are cached in Redis keyed by package@version with a 24-hour TTL, since advisory data updates infrequently relative to scan frequency.</w:t>
      </w:r>
    </w:p>
    <w:p>
      <w:pPr>
        <w:pStyle w:val="Heading2"/>
        <w:spacing w:after="60" w:before="160"/>
      </w:pPr>
      <w:r>
        <w:rPr>
          <w:rFonts w:ascii="Georgia" w:cs="Georgia" w:eastAsia="Georgia" w:hAnsi="Georgia"/>
          <w:b/>
          <w:bCs/>
          <w:color w:val="9a3412"/>
          <w:sz w:val="19"/>
          <w:szCs w:val="19"/>
        </w:rPr>
        <w:t xml:space="preserve">6.3 Static Call Graph Layer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Call graphs are built with tree-sitter grammars (language-agnostic, robust parsing without requiring a full build/compile step — the same pragmatic trade-off Endor Labs calls ‘pre-computed reachability’). For each vulnerable function identified in §6.2, the system performs a graph search from every declared entry point (route handlers, CLI entry points, exported functions for libraries) to determine whether any path reaches the vulnerable symbol.</w:t>
      </w:r>
    </w:p>
    <w:tbl>
      <w:tblPr>
        <w:tblW w:type="pct" w:w="100%"/>
        <w:tblBorders>
          <w:top w:val="single" w:color="cccccc" w:sz="4"/>
          <w:left w:val="single" w:color="9a3412" w:sz="2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ed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14"/>
                <w:szCs w:val="14"/>
              </w:rPr>
              <w:t xml:space="preserve">KNOWN LIMITATION, STATED HONESTLY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Static call graphs miss reflection, dynamic imports, and framework-magic dispatch (e.g., a Flask route resolved via decorator metaprogramming). This is precisely the gap the agentic layer in §6.4 exists to partially close — an LLM reading the surrounding code can recognize dynamic-dispatch patterns a pure graph traversal cannot, and flag them as ‘indeterminate, needs human review’ rather than silently mis-classifying them.</w:t>
            </w:r>
          </w:p>
        </w:tc>
      </w:tr>
    </w:tbl>
    <w:p>
      <w:pPr>
        <w:pStyle w:val="Heading2"/>
        <w:spacing w:after="60" w:before="160"/>
      </w:pPr>
      <w:r>
        <w:rPr>
          <w:rFonts w:ascii="Georgia" w:cs="Georgia" w:eastAsia="Georgia" w:hAnsi="Georgia"/>
          <w:b/>
          <w:bCs/>
          <w:color w:val="9a3412"/>
          <w:sz w:val="19"/>
          <w:szCs w:val="19"/>
        </w:rPr>
        <w:t xml:space="preserve">6.4 Agentic Reasoning Layer — the core differentiator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Implemented in LangGraph as an orchestrator-worker topology (the pattern this system's design deliberately mirrors from Anthropic's own published multi-agent research system):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Lead / Orchestrator Agent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Reads the full finding list from §6.2–§6.3, clusters related findings, and scales subagent dispatch to finding complexity — a single low-severity finding with a clear graph path gets a lightweight pass; an ambiguous or critical finding gets the full three-subagent treatment.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Uses a strong model (reasoning quality matters most at this layer) — model routed per Topic 7's cost-stack principle.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Vulnerability-Research Subagent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Reads the full OSV advisory text and any linked GHSA/CVE detail; extracts the precise vulnerable function signature and the conditions under which it is exploitable (e.g., ‘only when parsing untrusted XML input’).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Call-Path Subagent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Queries the static call graph (§6.3) for paths from entry points to the flagged symbol; returns the shortest reachable path(s) or confirms unreachability.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Code-Verification Subagent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Reads the actual source at each call-path hop and checks for guard conditions, input validation, or dead branches that the pure graph structure can't see — lightweight taint-style reasoning grounded in real code, not a graph edge alone.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Synthesis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The Lead agent combines all three subagents' condensed findings (never raw context — avoiding the telephone-game problem) into one verdict per finding, with every claim tagged to its supporting evidence.</w:t>
      </w:r>
    </w:p>
    <w:p>
      <w:pPr>
        <w:pStyle w:val="Heading2"/>
        <w:spacing w:after="60" w:before="160"/>
      </w:pPr>
      <w:r>
        <w:rPr>
          <w:rFonts w:ascii="Georgia" w:cs="Georgia" w:eastAsia="Georgia" w:hAnsi="Georgia"/>
          <w:b/>
          <w:bCs/>
          <w:color w:val="9a3412"/>
          <w:sz w:val="19"/>
          <w:szCs w:val="19"/>
        </w:rPr>
        <w:t xml:space="preserve">6.5 Report Synthesis &amp; Structured Output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Final output is a Pydantic-validated report object (not free text) — verdict, confidence score, evidence chain, and a suggested minimum-fix version cross-referenced against the OSV ‘fixed’ field. This is the exact fake-tool-call structured-output pattern used throughout the rest of this reference library, applied here to a security report instead of a chat response.</w:t>
      </w:r>
    </w:p>
    <w:p>
      <w:pPr>
        <w:pStyle w:val="Heading1"/>
        <w:pBdr>
          <w:bottom w:val="single" w:color="9a3412" w:sz="8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7.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050"/>
      </w:tblGrid>
      <w:tr>
        <w:trPr>
          <w:cantSplit/>
          <w:tblHeader/>
        </w:trPr>
        <w:tc>
          <w:tcPr>
            <w:tcW w:type="dxa" w:w="190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340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Choice</w:t>
            </w:r>
          </w:p>
        </w:tc>
        <w:tc>
          <w:tcPr>
            <w:tcW w:type="dxa" w:w="405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Orchestration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LangGraph</w:t>
            </w:r>
          </w:p>
        </w:tc>
        <w:tc>
          <w:tcPr>
            <w:tcW w:type="dxa" w:w="40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Explicit graph control flow, checkpointing, native multi-agent support</w:t>
            </w:r>
          </w:p>
        </w:tc>
      </w:tr>
      <w:tr>
        <w:trPr>
          <w:cantSplit/>
        </w:trPr>
        <w:tc>
          <w:tcPr>
            <w:tcW w:type="dxa" w:w="19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API service</w:t>
            </w:r>
          </w:p>
        </w:tc>
        <w:tc>
          <w:tcPr>
            <w:tcW w:type="dxa" w:w="34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FastAPI</w:t>
            </w:r>
          </w:p>
        </w:tc>
        <w:tc>
          <w:tcPr>
            <w:tcW w:type="dxa" w:w="40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Async-native, Pydantic-integrated, auto-generated OpenAPI for a live demo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Structured output / validation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Pydantic v2</w:t>
            </w:r>
          </w:p>
        </w:tc>
        <w:tc>
          <w:tcPr>
            <w:tcW w:type="dxa" w:w="40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Typed, validated report schema — not free-text parsing</w:t>
            </w:r>
          </w:p>
        </w:tc>
      </w:tr>
      <w:tr>
        <w:trPr>
          <w:cantSplit/>
        </w:trPr>
        <w:tc>
          <w:tcPr>
            <w:tcW w:type="dxa" w:w="19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Vulnerability data</w:t>
            </w:r>
          </w:p>
        </w:tc>
        <w:tc>
          <w:tcPr>
            <w:tcW w:type="dxa" w:w="34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OSV.dev API</w:t>
            </w:r>
          </w:p>
        </w:tc>
        <w:tc>
          <w:tcPr>
            <w:tcW w:type="dxa" w:w="40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Free, ecosystem-aware, function-level advisory data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Package metadata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npm registry API, PyPI JSON API</w:t>
            </w:r>
          </w:p>
        </w:tc>
        <w:tc>
          <w:tcPr>
            <w:tcW w:type="dxa" w:w="40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Resolving transitive trees and fix-version lookups</w:t>
            </w:r>
          </w:p>
        </w:tc>
      </w:tr>
      <w:tr>
        <w:trPr>
          <w:cantSplit/>
        </w:trPr>
        <w:tc>
          <w:tcPr>
            <w:tcW w:type="dxa" w:w="19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Call graph parsing</w:t>
            </w:r>
          </w:p>
        </w:tc>
        <w:tc>
          <w:tcPr>
            <w:tcW w:type="dxa" w:w="34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tree-sitter (Python + JS/TS grammars)</w:t>
            </w:r>
          </w:p>
        </w:tc>
        <w:tc>
          <w:tcPr>
            <w:tcW w:type="dxa" w:w="40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Language-agnostic, no full build/compile required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Repo access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GitHub REST API (read-only PAT scope)</w:t>
            </w:r>
          </w:p>
        </w:tc>
        <w:tc>
          <w:tcPr>
            <w:tcW w:type="dxa" w:w="40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Least-privilege — clone + read, never write</w:t>
            </w:r>
          </w:p>
        </w:tc>
      </w:tr>
      <w:tr>
        <w:trPr>
          <w:cantSplit/>
        </w:trPr>
        <w:tc>
          <w:tcPr>
            <w:tcW w:type="dxa" w:w="19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Sandboxing</w:t>
            </w:r>
          </w:p>
        </w:tc>
        <w:tc>
          <w:tcPr>
            <w:tcW w:type="dxa" w:w="34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Docker (network-isolated, ephemeral)</w:t>
            </w:r>
          </w:p>
        </w:tc>
        <w:tc>
          <w:tcPr>
            <w:tcW w:type="dxa" w:w="40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Untrusted repo code is never executed, only statically parsed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Persistence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PostgreSQL</w:t>
            </w:r>
          </w:p>
        </w:tc>
        <w:tc>
          <w:tcPr>
            <w:tcW w:type="dxa" w:w="40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Scan/job state, historical results</w:t>
            </w:r>
          </w:p>
        </w:tc>
      </w:tr>
      <w:tr>
        <w:trPr>
          <w:cantSplit/>
        </w:trPr>
        <w:tc>
          <w:tcPr>
            <w:tcW w:type="dxa" w:w="19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Cache &amp; queue</w:t>
            </w:r>
          </w:p>
        </w:tc>
        <w:tc>
          <w:tcPr>
            <w:tcW w:type="dxa" w:w="34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Redis</w:t>
            </w:r>
          </w:p>
        </w:tc>
        <w:tc>
          <w:tcPr>
            <w:tcW w:type="dxa" w:w="40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OSV/registry response caching; job queue for async scans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Observability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OpenTelemetry + a GenAI-aware exporter</w:t>
            </w:r>
          </w:p>
        </w:tc>
        <w:tc>
          <w:tcPr>
            <w:tcW w:type="dxa" w:w="40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Full trace tree across the multi-agent run, per scan</w:t>
            </w:r>
          </w:p>
        </w:tc>
      </w:tr>
      <w:tr>
        <w:trPr>
          <w:cantSplit/>
        </w:trPr>
        <w:tc>
          <w:tcPr>
            <w:tcW w:type="dxa" w:w="19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Deployment</w:t>
            </w:r>
          </w:p>
        </w:tc>
        <w:tc>
          <w:tcPr>
            <w:tcW w:type="dxa" w:w="34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Docker Compose (portfolio scale); Uvicorn + Gunicorn workers</w:t>
            </w:r>
          </w:p>
        </w:tc>
        <w:tc>
          <w:tcPr>
            <w:tcW w:type="dxa" w:w="40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Matches the FastAPI deployment reference used elsewhere in this series</w:t>
            </w:r>
          </w:p>
        </w:tc>
      </w:tr>
    </w:tbl>
    <w:p>
      <w:pPr>
        <w:pStyle w:val="Heading1"/>
        <w:pBdr>
          <w:bottom w:val="single" w:color="9a3412" w:sz="8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8. End-to-End Data Flow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1.  Client submits POST /v1/scan { repo_url } → FastAPI enqueues an async job (202 Accepted), returns a job_id.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2.  Worker shallow-clones the repo into a sandboxed container; ecosystem detected; manifests parsed into a full dependency tree.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3.  Every resolved package@version is batch-queried against OSV.dev (Redis-cached); findings list assembled.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4.  Static call graph constructed from declared entry points via tree-sitter.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5.  Lead agent clusters findings and dispatches subagents (§6.4) per finding, scaled to complexity.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6.  Subagents return condensed findings; Lead agent synthesizes a cited verdict per finding.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7.  Report persisted to Postgres; job status flips to ‘completed’.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8.  Client polls GET /v1/scan/{job_id} (or receives it via SSE stream, mirroring the streaming pattern used across this reference series) and renders the structured report.</w:t>
      </w:r>
    </w:p>
    <w:p>
      <w:pPr>
        <w:pStyle w:val="Heading1"/>
        <w:pBdr>
          <w:bottom w:val="single" w:color="9a3412" w:sz="8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9. Evaluation Plan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Ground truth is built from real, historical CVEs in real open-source repositories — not synthetic data — selected specifically to include both genuinely reachable and genuinely dead-code-path cases (e.g., well-documented cases like Log4Shell where reachability depended heavily on specific logging configuration).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4500"/>
        <w:gridCol w:w="2500"/>
      </w:tblGrid>
      <w:tr>
        <w:trPr>
          <w:cantSplit/>
          <w:tblHeader/>
        </w:trPr>
        <w:tc>
          <w:tcPr>
            <w:tcW w:type="dxa" w:w="235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Metric</w:t>
            </w:r>
          </w:p>
        </w:tc>
        <w:tc>
          <w:tcPr>
            <w:tcW w:type="dxa" w:w="450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Definition</w:t>
            </w:r>
          </w:p>
        </w:tc>
        <w:tc>
          <w:tcPr>
            <w:tcW w:type="dxa" w:w="250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23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Reachability precision/recall</w:t>
            </w:r>
          </w:p>
        </w:tc>
        <w:tc>
          <w:tcPr>
            <w:tcW w:type="dxa" w:w="4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Agent's reachable/not-reachable verdict vs. hand-verified ground truth (15–20 real CVE instances)</w:t>
            </w:r>
          </w:p>
        </w:tc>
        <w:tc>
          <w:tcPr>
            <w:tcW w:type="dxa" w:w="2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≥85% precision</w:t>
            </w:r>
          </w:p>
        </w:tc>
      </w:tr>
      <w:tr>
        <w:trPr>
          <w:cantSplit/>
        </w:trPr>
        <w:tc>
          <w:tcPr>
            <w:tcW w:type="dxa" w:w="23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Noise reduction rate</w:t>
            </w:r>
          </w:p>
        </w:tc>
        <w:tc>
          <w:tcPr>
            <w:tcW w:type="dxa" w:w="45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% of raw OSV findings the agent correctly downgrades to ‘not reachable’</w:t>
            </w:r>
          </w:p>
        </w:tc>
        <w:tc>
          <w:tcPr>
            <w:tcW w:type="dxa" w:w="25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Report against raw-scan baseline, directionally consistent with the 70–98% industry range</w:t>
            </w:r>
          </w:p>
        </w:tc>
      </w:tr>
      <w:tr>
        <w:trPr>
          <w:cantSplit/>
        </w:trPr>
        <w:tc>
          <w:tcPr>
            <w:tcW w:type="dxa" w:w="23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Citation accuracy</w:t>
            </w:r>
          </w:p>
        </w:tc>
        <w:tc>
          <w:tcPr>
            <w:tcW w:type="dxa" w:w="4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% of evidence citations that actually support the stated claim on manual audit</w:t>
            </w:r>
          </w:p>
        </w:tc>
        <w:tc>
          <w:tcPr>
            <w:tcW w:type="dxa" w:w="2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≥90%</w:t>
            </w:r>
          </w:p>
        </w:tc>
      </w:tr>
      <w:tr>
        <w:trPr>
          <w:cantSplit/>
        </w:trPr>
        <w:tc>
          <w:tcPr>
            <w:tcW w:type="dxa" w:w="23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Judge calibration</w:t>
            </w:r>
          </w:p>
        </w:tc>
        <w:tc>
          <w:tcPr>
            <w:tcW w:type="dxa" w:w="45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LLM-judge agreement with a small hand-labeled subset (Spearman correlation)</w:t>
            </w:r>
          </w:p>
        </w:tc>
        <w:tc>
          <w:tcPr>
            <w:tcW w:type="dxa" w:w="25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≥0.80, per this series' evaluation standard</w:t>
            </w:r>
          </w:p>
        </w:tc>
      </w:tr>
    </w:tbl>
    <w:p>
      <w:pPr>
        <w:spacing w:after="60"/>
      </w:pP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This evaluation harness is itself a standalone artifact: a published table of measured numbers is stronger portfolio evidence than a live demo alone, because it requires no audience interaction to be convincing.</w:t>
      </w:r>
    </w:p>
    <w:p>
      <w:pPr>
        <w:pStyle w:val="Heading1"/>
        <w:pBdr>
          <w:bottom w:val="single" w:color="9a3412" w:sz="8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10. Security &amp; Guardrails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Untrusted code, never executed. Every cloned repository is parsed statically only (tree-sitter, AST-level); nothing from the target repo is ever run.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Sandboxed, network-isolated cloning. Clone and parse happen in an ephemeral, network-egress-restricted container — the target repo cannot make outbound calls even if it tried.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Least-privilege GitHub access. Read-only PAT scope; the system never writes to the repository directly.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No autonomous remediation. The system proposes a fix version and evidence; opening an actual PR requires an explicit human-approved action — the interrupt_before / checkpointed-approval pattern used throughout this reference series, applied here instead of to a support-agent refund flow.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Lethal-trifecta review. The repo's own README/code comments are untrusted content the agent reads; the system has no external-communication capability beyond the read-only GitHub API and a structured report — deliberately removing one leg of the trifecta by design rather than relying on detection alone.</w:t>
      </w:r>
    </w:p>
    <w:p>
      <w:pPr>
        <w:pStyle w:val="Heading1"/>
        <w:pBdr>
          <w:bottom w:val="single" w:color="9a3412" w:sz="8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11. Production Considerations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  <w:tblHeader/>
        </w:trPr>
        <w:tc>
          <w:tcPr>
            <w:tcW w:type="dxa" w:w="220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Concern</w:t>
            </w:r>
          </w:p>
        </w:tc>
        <w:tc>
          <w:tcPr>
            <w:tcW w:type="dxa" w:w="715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Approach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Rate limiting</w:t>
            </w:r>
          </w:p>
        </w:tc>
        <w:tc>
          <w:tcPr>
            <w:tcW w:type="dxa" w:w="71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Token-bucket limiter (Redis-backed) against OSV.dev, npm, and PyPI — batched requests wherever the API supports it</w:t>
            </w:r>
          </w:p>
        </w:tc>
      </w:tr>
      <w:tr>
        <w:trPr>
          <w:cantSplit/>
        </w:trPr>
        <w:tc>
          <w:tcPr>
            <w:tcW w:type="dxa" w:w="22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Caching</w:t>
            </w:r>
          </w:p>
        </w:tc>
        <w:tc>
          <w:tcPr>
            <w:tcW w:type="dxa" w:w="71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OSV/registry responses cached with a 24h TTL; unchanged-commit re-scans return cached results — both a cost and an idempotency control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Cost control</w:t>
            </w:r>
          </w:p>
        </w:tc>
        <w:tc>
          <w:tcPr>
            <w:tcW w:type="dxa" w:w="71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Model routing: cheap/fast model for low-severity findings with a clear graph path; frontier model reserved for ambiguous/critical findings</w:t>
            </w:r>
          </w:p>
        </w:tc>
      </w:tr>
      <w:tr>
        <w:trPr>
          <w:cantSplit/>
        </w:trPr>
        <w:tc>
          <w:tcPr>
            <w:tcW w:type="dxa" w:w="22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Observability</w:t>
            </w:r>
          </w:p>
        </w:tc>
        <w:tc>
          <w:tcPr>
            <w:tcW w:type="dxa" w:w="71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Per-scan OTel trace tree — every subagent call, tool call, and OSV/registry lookup as a span, with token/cost attribution per finding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Graceful degradation</w:t>
            </w:r>
          </w:p>
        </w:tc>
        <w:tc>
          <w:tcPr>
            <w:tcW w:type="dxa" w:w="71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If OSV.dev or the registry API is down, the system falls back to raw CVE listing with reachability explicitly marked ‘indeterminate’ rather than failing the whole scan</w:t>
            </w:r>
          </w:p>
        </w:tc>
      </w:tr>
    </w:tbl>
    <w:p>
      <w:pPr>
        <w:pStyle w:val="Heading1"/>
        <w:pBdr>
          <w:bottom w:val="single" w:color="9a3412" w:sz="8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12. Build Plan / Milestones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7700"/>
      </w:tblGrid>
      <w:tr>
        <w:trPr>
          <w:cantSplit/>
          <w:tblHeader/>
        </w:trPr>
        <w:tc>
          <w:tcPr>
            <w:tcW w:type="dxa" w:w="165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7700"/>
            <w:shd w:fill="2b26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 — MVP</w:t>
            </w:r>
          </w:p>
        </w:tc>
        <w:tc>
          <w:tcPr>
            <w:tcW w:type="dxa" w:w="7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Python-only. Dependency resolution + OSV lookup + raw finding aggregation (no reachability yet). Validates the ingestion and data layer end to end.</w:t>
            </w:r>
          </w:p>
        </w:tc>
      </w:tr>
      <w:tr>
        <w:trPr>
          <w:cantSplit/>
        </w:trPr>
        <w:tc>
          <w:tcPr>
            <w:tcW w:type="dxa" w:w="16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 — Reachability core</w:t>
            </w:r>
          </w:p>
        </w:tc>
        <w:tc>
          <w:tcPr>
            <w:tcW w:type="dxa" w:w="77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tree-sitter call graph for Python; Call-Path subagent; binary reachable/not-reachable verdicts, no synthesis narrative yet.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3 — Full agentic layer</w:t>
            </w:r>
          </w:p>
        </w:tc>
        <w:tc>
          <w:tcPr>
            <w:tcW w:type="dxa" w:w="7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Add Vulnerability-Research and Code-Verification subagents; Lead-agent synthesis with cited natural-language justification; Pydantic structured report.</w:t>
            </w:r>
          </w:p>
        </w:tc>
      </w:tr>
      <w:tr>
        <w:trPr>
          <w:cantSplit/>
        </w:trPr>
        <w:tc>
          <w:tcPr>
            <w:tcW w:type="dxa" w:w="16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— JS/TS support</w:t>
            </w:r>
          </w:p>
        </w:tc>
        <w:tc>
          <w:tcPr>
            <w:tcW w:type="dxa" w:w="77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Extend ecosystem parsing and call-graph construction to package.json/lockfiles.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 — Service + eval</w:t>
            </w:r>
          </w:p>
        </w:tc>
        <w:tc>
          <w:tcPr>
            <w:tcW w:type="dxa" w:w="7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Wrap as a FastAPI service (async job pattern, SSE status streaming); build and run the 15–20-CVE ground-truth evaluation; publish results.</w:t>
            </w:r>
          </w:p>
        </w:tc>
      </w:tr>
      <w:tr>
        <w:trPr>
          <w:cantSplit/>
        </w:trPr>
        <w:tc>
          <w:tcPr>
            <w:tcW w:type="dxa" w:w="165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6 — Polish</w:t>
            </w:r>
          </w:p>
        </w:tc>
        <w:tc>
          <w:tcPr>
            <w:tcW w:type="dxa" w:w="7700"/>
            <w:shd w:fill="f7f4e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3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Minimal front end (‘paste a repo URL’), OTel dashboard screenshot, recorded demo, README with architecture diagram and eval table.</w:t>
            </w:r>
          </w:p>
        </w:tc>
      </w:tr>
    </w:tbl>
    <w:p>
      <w:pPr>
        <w:pStyle w:val="Heading1"/>
        <w:pBdr>
          <w:bottom w:val="single" w:color="9a3412" w:sz="8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13. Anticipated Interview Questions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“Isn't this what Endor Labs / Snyk already does?”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Yes — call-graph reachability is a solved, commercialized category. The differentiator is the reasoning layer: an agentic system that produces a cited, natural-language justification per verdict and can catch dynamic-dispatch patterns a pure static graph misses, using entirely free/open data sources. I built this specifically to demonstrate agentic reasoning applied to a real, economically important problem — not to compete with a funded security startup.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“How do you handle dynamic languages, reflection, or eval()?”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Static call graphs miss these by construction — a known, stated limitation (§6.3). The Code-Verification subagent is specifically there to catch some of these cases semantically (recognizing a dynamic-dispatch pattern by reading the code) and flag them as ‘indeterminate, needs human review’ rather than silently misclassifying — a deliberate, honest failure mode rather than a false negative.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“Why multi-agent instead of one agent with all the tools?”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Each subagent has a narrow, isolated context and a small tool surface — the same isolation-boundary principle behind Anthropic's own published research-agent architecture. A single agent juggling advisory text, graph traversal, and source-code verification in one context window degrades in tool-selection accuracy as the tool list grows; splitting the concerns keeps each subagent's job simple and its context clean.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“What would you do differently with more time?”</w:t>
      </w:r>
    </w:p>
    <w:p>
      <w:pPr>
        <w:spacing w:after="9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Add dynamic/runtime reachability (what Endor Labs calls ‘full-stack’) via lightweight instrumentation, extend to compiled languages, and build a proper CI-gate integration so the reachability verdict can block a PR — closing the loop from detection to enforcement, which the research surfaced as the actual unsolved problem in this category.</w:t>
      </w:r>
    </w:p>
    <w:p>
      <w:pPr>
        <w:spacing w:after="200"/>
      </w:pPr>
    </w:p>
    <w:p>
      <w:pPr>
        <w:pBdr>
          <w:top w:val="single" w:color="cccccc" w:sz="6" w:space="1"/>
        </w:pBdr>
        <w:spacing w:before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Prepared as a build reference for a portfolio project — companion to the Agentic AI Engineering reference series.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2026-08-31T18:44:24.238Z</dcterms:created>
  <dcterms:modified xsi:type="dcterms:W3CDTF">2026-08-31T18:44:24.238Z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