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4</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5</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6</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7</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7</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7</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7</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8</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9</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9</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9</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9</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9</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9</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10</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10</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11</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11</w:t>
            </w:r>
          </w:hyperlink>
        </w:p>
        <w:p>
          <w:pPr>
            <w:tabs>
              <w:tab w:val="right" w:leader="dot" w:pos="9360"/>
            </w:tabs>
            <w:spacing w:after="40"/>
            <w:ind w:left="720"/>
            <w:rPr>
              <w:noProof/>
            </w:rPr>
          </w:pPr>
          <w:hyperlink w:anchor="_Toc_cu_33">
            <w:r>
              <w:rPr>
                <w:noProof/>
              </w:rPr>
              <w:t xml:space="preserve">8.1.2 A changelog entry takes priority over a misleading vendor tag — CARRY</w:t>
            </w:r>
          </w:hyperlink>
          <w:r>
            <w:rPr>
              <w:noProof/>
            </w:rPr>
            <w:tab/>
          </w:r>
          <w:hyperlink w:anchor="_Toc_cu_33">
            <w:r>
              <w:rPr>
                <w:noProof/>
              </w:rPr>
              <w:t>11</w:t>
            </w:r>
          </w:hyperlink>
        </w:p>
        <w:p>
          <w:pPr>
            <w:tabs>
              <w:tab w:val="right" w:leader="dot" w:pos="9360"/>
            </w:tabs>
            <w:spacing w:after="40"/>
            <w:ind w:left="720"/>
            <w:rPr>
              <w:noProof/>
            </w:rPr>
          </w:pPr>
          <w:hyperlink w:anchor="_Toc_cu_34">
            <w:r>
              <w:rPr>
                <w:noProof/>
              </w:rPr>
              <w:t xml:space="preserve">8.1.3 A whole field, present only in A, with no tag and no changelog entry — MANUAL</w:t>
            </w:r>
          </w:hyperlink>
          <w:r>
            <w:rPr>
              <w:noProof/>
            </w:rPr>
            <w:tab/>
          </w:r>
          <w:hyperlink w:anchor="_Toc_cu_34">
            <w:r>
              <w:rPr>
                <w:noProof/>
              </w:rPr>
              <w:t>11</w:t>
            </w:r>
          </w:hyperlink>
        </w:p>
        <w:p>
          <w:pPr>
            <w:tabs>
              <w:tab w:val="right" w:leader="dot" w:pos="9360"/>
            </w:tabs>
            <w:spacing w:after="40"/>
            <w:ind w:left="720"/>
            <w:rPr>
              <w:noProof/>
            </w:rPr>
          </w:pPr>
          <w:hyperlink w:anchor="_Toc_cu_35">
            <w:r>
              <w:rPr>
                <w:noProof/>
              </w:rPr>
              <w:t xml:space="preserve">8.1.4 A customer code block inside a changed shared field or trigger — the scorer decides</w:t>
            </w:r>
          </w:hyperlink>
          <w:r>
            <w:rPr>
              <w:noProof/>
            </w:rPr>
            <w:tab/>
          </w:r>
          <w:hyperlink w:anchor="_Toc_cu_35">
            <w:r>
              <w:rPr>
                <w:noProof/>
              </w:rPr>
              <w:t>11</w:t>
            </w:r>
          </w:hyperlink>
        </w:p>
        <w:p>
          <w:pPr>
            <w:tabs>
              <w:tab w:val="right" w:leader="dot" w:pos="9360"/>
            </w:tabs>
            <w:spacing w:after="40"/>
            <w:ind w:left="720"/>
            <w:rPr>
              <w:noProof/>
            </w:rPr>
          </w:pPr>
          <w:hyperlink w:anchor="_Toc_cu_36">
            <w:r>
              <w:rPr>
                <w:noProof/>
              </w:rPr>
              <w:t xml:space="preserve">8.1.5 A caption or option change — CARRY (always take the customer value)</w:t>
            </w:r>
          </w:hyperlink>
          <w:r>
            <w:rPr>
              <w:noProof/>
            </w:rPr>
            <w:tab/>
          </w:r>
          <w:hyperlink w:anchor="_Toc_cu_36">
            <w:r>
              <w:rPr>
                <w:noProof/>
              </w:rPr>
              <w:t>12</w:t>
            </w:r>
          </w:hyperlink>
        </w:p>
        <w:p>
          <w:pPr>
            <w:tabs>
              <w:tab w:val="right" w:leader="dot" w:pos="9360"/>
            </w:tabs>
            <w:spacing w:after="40"/>
            <w:ind w:left="720"/>
            <w:rPr>
              <w:noProof/>
            </w:rPr>
          </w:pPr>
          <w:hyperlink w:anchor="_Toc_cu_37">
            <w:r>
              <w:rPr>
                <w:noProof/>
              </w:rPr>
              <w:t xml:space="preserve">8.1.6 A field with both a code change and an option change — both are carried</w:t>
            </w:r>
          </w:hyperlink>
          <w:r>
            <w:rPr>
              <w:noProof/>
            </w:rPr>
            <w:tab/>
          </w:r>
          <w:hyperlink w:anchor="_Toc_cu_37">
            <w:r>
              <w:rPr>
                <w:noProof/>
              </w:rPr>
              <w:t>12</w:t>
            </w:r>
          </w:hyperlink>
        </w:p>
        <w:p>
          <w:pPr>
            <w:tabs>
              <w:tab w:val="right" w:leader="dot" w:pos="9360"/>
            </w:tabs>
            <w:spacing w:after="40"/>
            <w:ind w:left="720"/>
            <w:rPr>
              <w:noProof/>
            </w:rPr>
          </w:pPr>
          <w:hyperlink w:anchor="_Toc_cu_38">
            <w:r>
              <w:rPr>
                <w:noProof/>
              </w:rPr>
              <w:t xml:space="preserve">8.1.7 Customer variable declarations — CARRY (keep rather than delete)</w:t>
            </w:r>
          </w:hyperlink>
          <w:r>
            <w:rPr>
              <w:noProof/>
            </w:rPr>
            <w:tab/>
          </w:r>
          <w:hyperlink w:anchor="_Toc_cu_38">
            <w:r>
              <w:rPr>
                <w:noProof/>
              </w:rPr>
              <w:t>12</w:t>
            </w:r>
          </w:hyperlink>
        </w:p>
        <w:p>
          <w:pPr>
            <w:tabs>
              <w:tab w:val="right" w:leader="dot" w:pos="9360"/>
            </w:tabs>
            <w:spacing w:after="40"/>
            <w:ind w:left="720"/>
            <w:rPr>
              <w:noProof/>
            </w:rPr>
          </w:pPr>
          <w:hyperlink w:anchor="_Toc_cu_39">
            <w:r>
              <w:rPr>
                <w:noProof/>
              </w:rPr>
              <w:t xml:space="preserve">8.1.8 A customer-extended option-string variable — CARRY</w:t>
            </w:r>
          </w:hyperlink>
          <w:r>
            <w:rPr>
              <w:noProof/>
            </w:rPr>
            <w:tab/>
          </w:r>
          <w:hyperlink w:anchor="_Toc_cu_39">
            <w:r>
              <w:rPr>
                <w:noProof/>
              </w:rPr>
              <w:t>12</w:t>
            </w:r>
          </w:hyperlink>
        </w:p>
        <w:p>
          <w:pPr>
            <w:tabs>
              <w:tab w:val="right" w:leader="dot" w:pos="9360"/>
            </w:tabs>
            <w:spacing w:after="40"/>
            <w:ind w:left="720"/>
            <w:rPr>
              <w:noProof/>
            </w:rPr>
          </w:pPr>
          <w:hyperlink w:anchor="_Toc_cu_40">
            <w:r>
              <w:rPr>
                <w:noProof/>
              </w:rPr>
              <w:t xml:space="preserve">8.1.9 Header and changelog bookkeeping (every automatic merge)</w:t>
            </w:r>
          </w:hyperlink>
          <w:r>
            <w:rPr>
              <w:noProof/>
            </w:rPr>
            <w:tab/>
          </w:r>
          <w:hyperlink w:anchor="_Toc_cu_40">
            <w:r>
              <w:rPr>
                <w:noProof/>
              </w:rPr>
              <w:t>12</w:t>
            </w:r>
          </w:hyperlink>
        </w:p>
        <w:p>
          <w:pPr>
            <w:tabs>
              <w:tab w:val="right" w:leader="dot" w:pos="9360"/>
            </w:tabs>
            <w:spacing w:after="40"/>
            <w:ind w:left="720"/>
            <w:rPr>
              <w:noProof/>
            </w:rPr>
          </w:pPr>
          <w:hyperlink w:anchor="_Toc_cu_41">
            <w:r>
              <w:rPr>
                <w:noProof/>
              </w:rPr>
              <w:t xml:space="preserve">8.1.10 Differences in tag spelling are standardised</w:t>
            </w:r>
          </w:hyperlink>
          <w:r>
            <w:rPr>
              <w:noProof/>
            </w:rPr>
            <w:tab/>
          </w:r>
          <w:hyperlink w:anchor="_Toc_cu_41">
            <w:r>
              <w:rPr>
                <w:noProof/>
              </w:rPr>
              <w:t>13</w:t>
            </w:r>
          </w:hyperlink>
        </w:p>
        <w:p>
          <w:pPr>
            <w:tabs>
              <w:tab w:val="right" w:leader="dot" w:pos="9360"/>
            </w:tabs>
            <w:spacing w:after="40"/>
            <w:ind w:left="360"/>
            <w:rPr>
              <w:noProof/>
            </w:rPr>
          </w:pPr>
          <w:hyperlink w:anchor="_Toc_cu_42">
            <w:r>
              <w:rPr>
                <w:noProof/>
              </w:rPr>
              <w:t xml:space="preserve">8.2 Codeunit</w:t>
            </w:r>
          </w:hyperlink>
          <w:r>
            <w:rPr>
              <w:noProof/>
            </w:rPr>
            <w:tab/>
          </w:r>
          <w:hyperlink w:anchor="_Toc_cu_42">
            <w:r>
              <w:rPr>
                <w:noProof/>
              </w:rPr>
              <w:t>13</w:t>
            </w:r>
          </w:hyperlink>
        </w:p>
        <w:p>
          <w:pPr>
            <w:tabs>
              <w:tab w:val="right" w:leader="dot" w:pos="9360"/>
            </w:tabs>
            <w:spacing w:after="40"/>
            <w:ind w:left="360"/>
            <w:rPr>
              <w:noProof/>
            </w:rPr>
          </w:pPr>
          <w:hyperlink w:anchor="_Toc_cu_43">
            <w:r>
              <w:rPr>
                <w:noProof/>
              </w:rPr>
              <w:t xml:space="preserve">8.3 Page</w:t>
            </w:r>
          </w:hyperlink>
          <w:r>
            <w:rPr>
              <w:noProof/>
            </w:rPr>
            <w:tab/>
          </w:r>
          <w:hyperlink w:anchor="_Toc_cu_43">
            <w:r>
              <w:rPr>
                <w:noProof/>
              </w:rPr>
              <w:t>13</w:t>
            </w:r>
          </w:hyperlink>
        </w:p>
        <w:p>
          <w:pPr>
            <w:tabs>
              <w:tab w:val="right" w:leader="dot" w:pos="9360"/>
            </w:tabs>
            <w:spacing w:after="40"/>
            <w:ind w:left="720"/>
            <w:rPr>
              <w:noProof/>
            </w:rPr>
          </w:pPr>
          <w:hyperlink w:anchor="_Toc_cu_44">
            <w:r>
              <w:rPr>
                <w:noProof/>
              </w:rPr>
              <w:t xml:space="preserve">8.3.1 A control added by the customer — CARRY (graft)</w:t>
            </w:r>
          </w:hyperlink>
          <w:r>
            <w:rPr>
              <w:noProof/>
            </w:rPr>
            <w:tab/>
          </w:r>
          <w:hyperlink w:anchor="_Toc_cu_44">
            <w:r>
              <w:rPr>
                <w:noProof/>
              </w:rPr>
              <w:t>13</w:t>
            </w:r>
          </w:hyperlink>
        </w:p>
        <w:p>
          <w:pPr>
            <w:tabs>
              <w:tab w:val="right" w:leader="dot" w:pos="9360"/>
            </w:tabs>
            <w:spacing w:after="40"/>
            <w:ind w:left="720"/>
            <w:rPr>
              <w:noProof/>
            </w:rPr>
          </w:pPr>
          <w:hyperlink w:anchor="_Toc_cu_45">
            <w:r>
              <w:rPr>
                <w:noProof/>
              </w:rPr>
              <w:t xml:space="preserve">8.3.2 A vendor caption rename — TAKE B (do not carry the outdated customer caption)</w:t>
            </w:r>
          </w:hyperlink>
          <w:r>
            <w:rPr>
              <w:noProof/>
            </w:rPr>
            <w:tab/>
          </w:r>
          <w:hyperlink w:anchor="_Toc_cu_45">
            <w:r>
              <w:rPr>
                <w:noProof/>
              </w:rPr>
              <w:t>14</w:t>
            </w:r>
          </w:hyperlink>
        </w:p>
        <w:p>
          <w:pPr>
            <w:tabs>
              <w:tab w:val="right" w:leader="dot" w:pos="9360"/>
            </w:tabs>
            <w:spacing w:after="40"/>
            <w:ind w:left="720"/>
            <w:rPr>
              <w:noProof/>
            </w:rPr>
          </w:pPr>
          <w:hyperlink w:anchor="_Toc_cu_46">
            <w:r>
              <w:rPr>
                <w:noProof/>
              </w:rPr>
              <w:t xml:space="preserve">8.3.3 A control present only in A, carrying only a vendor tag — MANUAL</w:t>
            </w:r>
          </w:hyperlink>
          <w:r>
            <w:rPr>
              <w:noProof/>
            </w:rPr>
            <w:tab/>
          </w:r>
          <w:hyperlink w:anchor="_Toc_cu_46">
            <w:r>
              <w:rPr>
                <w:noProof/>
              </w:rPr>
              <w:t>14</w:t>
            </w:r>
          </w:hyperlink>
        </w:p>
        <w:p>
          <w:pPr>
            <w:tabs>
              <w:tab w:val="right" w:leader="dot" w:pos="9360"/>
            </w:tabs>
            <w:spacing w:after="40"/>
            <w:ind w:left="720"/>
            <w:rPr>
              <w:noProof/>
            </w:rPr>
          </w:pPr>
          <w:hyperlink w:anchor="_Toc_cu_47">
            <w:r>
              <w:rPr>
                <w:noProof/>
              </w:rPr>
              <w:t xml:space="preserve">8.3.4 A customer change to a property on a shared control — MANUAL</w:t>
            </w:r>
          </w:hyperlink>
          <w:r>
            <w:rPr>
              <w:noProof/>
            </w:rPr>
            <w:tab/>
          </w:r>
          <w:hyperlink w:anchor="_Toc_cu_47">
            <w:r>
              <w:rPr>
                <w:noProof/>
              </w:rPr>
              <w:t>14</w:t>
            </w:r>
          </w:hyperlink>
        </w:p>
        <w:p>
          <w:pPr>
            <w:tabs>
              <w:tab w:val="right" w:leader="dot" w:pos="9360"/>
            </w:tabs>
            <w:spacing w:after="40"/>
            <w:ind w:left="720"/>
            <w:rPr>
              <w:noProof/>
            </w:rPr>
          </w:pPr>
          <w:hyperlink w:anchor="_Toc_cu_48">
            <w:r>
              <w:rPr>
                <w:noProof/>
              </w:rPr>
              <w:t xml:space="preserve">8.3.5 Caption capture on a page stops at the closing brace</w:t>
            </w:r>
          </w:hyperlink>
          <w:r>
            <w:rPr>
              <w:noProof/>
            </w:rPr>
            <w:tab/>
          </w:r>
          <w:hyperlink w:anchor="_Toc_cu_48">
            <w:r>
              <w:rPr>
                <w:noProof/>
              </w:rPr>
              <w:t>14</w:t>
            </w:r>
          </w:hyperlink>
        </w:p>
        <w:p>
          <w:pPr>
            <w:tabs>
              <w:tab w:val="right" w:leader="dot" w:pos="9360"/>
            </w:tabs>
            <w:spacing w:after="40"/>
            <w:ind w:left="360"/>
            <w:rPr>
              <w:noProof/>
            </w:rPr>
          </w:pPr>
          <w:hyperlink w:anchor="_Toc_cu_49">
            <w:r>
              <w:rPr>
                <w:noProof/>
              </w:rPr>
              <w:t xml:space="preserve">8.4 Report and XMLport</w:t>
            </w:r>
          </w:hyperlink>
          <w:r>
            <w:rPr>
              <w:noProof/>
            </w:rPr>
            <w:tab/>
          </w:r>
          <w:hyperlink w:anchor="_Toc_cu_49">
            <w:r>
              <w:rPr>
                <w:noProof/>
              </w:rPr>
              <w:t>14</w:t>
            </w:r>
          </w:hyperlink>
        </w:p>
        <w:p>
          <w:pPr>
            <w:tabs>
              <w:tab w:val="right" w:leader="dot" w:pos="9360"/>
            </w:tabs>
            <w:spacing w:after="40"/>
            <w:ind w:left="360"/>
            <w:rPr>
              <w:noProof/>
            </w:rPr>
          </w:pPr>
          <w:hyperlink w:anchor="_Toc_cu_50">
            <w:r>
              <w:rPr>
                <w:noProof/>
              </w:rPr>
              <w:t xml:space="preserve">8.5 Rules that apply to all object types</w:t>
            </w:r>
          </w:hyperlink>
          <w:r>
            <w:rPr>
              <w:noProof/>
            </w:rPr>
            <w:tab/>
          </w:r>
          <w:hyperlink w:anchor="_Toc_cu_50">
            <w:r>
              <w:rPr>
                <w:noProof/>
              </w:rPr>
              <w:t>14</w:t>
            </w:r>
          </w:hyperlink>
        </w:p>
        <w:p>
          <w:pPr>
            <w:tabs>
              <w:tab w:val="right" w:leader="dot" w:pos="9360"/>
            </w:tabs>
            <w:spacing w:after="40"/>
            <w:rPr>
              <w:noProof/>
            </w:rPr>
          </w:pPr>
          <w:hyperlink w:anchor="_Toc_cu_51">
            <w:r>
              <w:rPr>
                <w:noProof/>
              </w:rPr>
              <w:t xml:space="preserve">9. Quick reference</w:t>
            </w:r>
          </w:hyperlink>
          <w:r>
            <w:rPr>
              <w:noProof/>
            </w:rPr>
            <w:tab/>
          </w:r>
          <w:hyperlink w:anchor="_Toc_cu_51">
            <w:r>
              <w:rPr>
                <w:noProof/>
              </w:rPr>
              <w:t>15</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562350"/>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562350"/>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5144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515302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Heading3"/>
      </w:pPr>
      <w:bookmarkStart w:id="9033" w:name="_Toc_cu_33"/>
      <w:r>
        <w:t xml:space="preserve">8.1.2 A changelog entry takes priority over a misleading vendor tag — CARRY</w:t>
      </w:r>
      <w:bookmarkEnd w:id="9033"/>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4" w:name="_Toc_cu_34"/>
      <w:r>
        <w:t xml:space="preserve">8.1.3 A whole field, present only in A, with no tag and no changelog entry — MANUAL</w:t>
      </w:r>
      <w:bookmarkEnd w:id="9034"/>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5" w:name="_Toc_cu_35"/>
      <w:r>
        <w:t xml:space="preserve">8.1.4 A customer code block inside a changed shared field or trigger — the scorer decides</w:t>
      </w:r>
      <w:bookmarkEnd w:id="9035"/>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6" w:name="_Toc_cu_36"/>
      <w:r>
        <w:t xml:space="preserve">8.1.5 A caption or option change — CARRY (always take the customer value)</w:t>
      </w:r>
      <w:bookmarkEnd w:id="9036"/>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37" w:name="_Toc_cu_37"/>
      <w:r>
        <w:t xml:space="preserve">8.1.6 A field with both a code change and an option change — both are carried</w:t>
      </w:r>
      <w:bookmarkEnd w:id="9037"/>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38" w:name="_Toc_cu_38"/>
      <w:r>
        <w:t xml:space="preserve">8.1.7 Customer variable declarations — CARRY (keep rather than delete)</w:t>
      </w:r>
      <w:bookmarkEnd w:id="9038"/>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39" w:name="_Toc_cu_39"/>
      <w:r>
        <w:t xml:space="preserve">8.1.8 A customer-extended option-string variable — CARRY</w:t>
      </w:r>
      <w:bookmarkEnd w:id="9039"/>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0" w:name="_Toc_cu_40"/>
      <w:r>
        <w:t xml:space="preserve">8.1.9 Header and changelog bookkeeping (every automatic merge)</w:t>
      </w:r>
      <w:bookmarkEnd w:id="9040"/>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1" w:name="_Toc_cu_41"/>
      <w:r>
        <w:t xml:space="preserve">8.1.10 Differences in tag spelling are standardised</w:t>
      </w:r>
      <w:bookmarkEnd w:id="9041"/>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2" w:name="_Toc_cu_42"/>
      <w:r>
        <w:t xml:space="preserve">8.2 Codeunit</w:t>
      </w:r>
      <w:bookmarkEnd w:id="9042"/>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3" w:name="_Toc_cu_43"/>
      <w:r>
        <w:t xml:space="preserve">8.3 Page</w:t>
      </w:r>
      <w:bookmarkEnd w:id="9043"/>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4" w:name="_Toc_cu_44"/>
      <w:r>
        <w:t xml:space="preserve">8.3.1 A control added by the customer — CARRY (graft)</w:t>
      </w:r>
      <w:bookmarkEnd w:id="9044"/>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5" w:name="_Toc_cu_45"/>
      <w:r>
        <w:t xml:space="preserve">8.3.2 A vendor caption rename — TAKE B (do not carry the outdated customer caption)</w:t>
      </w:r>
      <w:bookmarkEnd w:id="9045"/>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46" w:name="_Toc_cu_46"/>
      <w:r>
        <w:t xml:space="preserve">8.3.3 A control present only in A, carrying only a vendor tag — MANUAL</w:t>
      </w:r>
      <w:bookmarkEnd w:id="9046"/>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47" w:name="_Toc_cu_47"/>
      <w:r>
        <w:t xml:space="preserve">8.3.4 A customer change to a property on a shared control — MANUAL</w:t>
      </w:r>
      <w:bookmarkEnd w:id="9047"/>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48" w:name="_Toc_cu_48"/>
      <w:r>
        <w:t xml:space="preserve">8.3.5 Caption capture on a page stops at the closing brace</w:t>
      </w:r>
      <w:bookmarkEnd w:id="9048"/>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49" w:name="_Toc_cu_49"/>
      <w:r>
        <w:t xml:space="preserve">8.4 Report and XMLport</w:t>
      </w:r>
      <w:bookmarkEnd w:id="9049"/>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0" w:name="_Toc_cu_50"/>
      <w:r>
        <w:t xml:space="preserve">8.5 Rules that apply to all object types</w:t>
      </w:r>
      <w:bookmarkEnd w:id="9050"/>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1" w:name="_Toc_cu_51"/>
      <w:r>
        <w:t xml:space="preserve">9. Quick reference</w:t>
      </w:r>
      <w:bookmarkEnd w:id="9051"/>
    </w:p>
    <w:p>
      <w:pPr>
        <w:spacing w:after="120"/>
      </w:pPr>
      <w:r>
        <w:rPr>
          <w:b/>
          <w:bCs/>
        </w:rPr>
        <w:t xml:space="preserve">To run a job:</w:t>
      </w:r>
      <w:r>
        <w:t xml:space="preserve"> double-click </w:t>
      </w:r>
      <w:r>
        <w:rPr>
          <w:rFonts w:ascii="Consolas" w:cs="Consolas" w:eastAsia="Consolas" w:hAnsi="Consolas"/>
        </w:rPr>
        <w:t xml:space="preserve">CUupdate.exe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2026-06-11T04:33:30.008Z</dcterms:created>
  <dcterms:modified xsi:type="dcterms:W3CDTF">2026-06-11T04:33:30.008Z</dcterms:modified>
</cp:coreProperties>
</file>

<file path=docProps/custom.xml><?xml version="1.0" encoding="utf-8"?>
<Properties xmlns="http://schemas.openxmlformats.org/officeDocument/2006/custom-properties" xmlns:vt="http://schemas.openxmlformats.org/officeDocument/2006/docPropsVTypes"/>
</file>