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bookmarkStart w:id="9000" w:name="_Toc_cu_0"/>
      <w:r>
        <w:t xml:space="preserve">CU Triage &amp; Pipeline — User Manual</w:t>
      </w:r>
      <w:bookmarkEnd w:id="9000"/>
    </w:p>
    <w:p>
      <w:pPr>
        <w:spacing w:after="80"/>
      </w:pPr>
      <w:r>
        <w:rPr>
          <w:color w:val="595959"/>
          <w:sz w:val="24"/>
          <w:szCs w:val="24"/>
        </w:rPr>
        <w:t xml:space="preserve">incadea / BC-NAV v14 CU upgrade triage &amp; pipeline</w:t>
      </w:r>
    </w:p>
    <w:p>
      <w:pPr>
        <w:spacing w:after="400"/>
      </w:pPr>
      <w:r>
        <w:rPr>
          <w:color w:val="595959"/>
          <w:sz w:val="22"/>
          <w:szCs w:val="22"/>
        </w:rPr>
        <w:t xml:space="preserve">User Manual</w:t>
      </w:r>
    </w:p>
    <w:p>
      <w:pPr>
        <w:pStyle w:val="Heading1"/>
      </w:pPr>
      <w:r>
        <w:t xml:space="preserve">Contents</w:t>
      </w:r>
    </w:p>
    <w:sdt>
      <w:sdtPr>
        <w:alias w:val="Contents"/>
      </w:sdtPr>
      <w:sdtContent>
        <w:p>
          <w:r>
            <w:fldChar w:fldCharType="begin"/>
          </w:r>
          <w:r>
            <w:instrText xml:space="preserve">TOC \h \o "1-3"</w:instrText>
          </w:r>
          <w:r>
            <w:fldChar w:fldCharType="separate"/>
          </w:r>
        </w:p>
        <w:p>
          <w:pPr>
            <w:tabs>
              <w:tab w:val="right" w:leader="dot" w:pos="9360"/>
            </w:tabs>
            <w:spacing w:after="40"/>
            <w:rPr>
              <w:noProof/>
            </w:rPr>
          </w:pPr>
          <w:hyperlink w:anchor="_Toc_cu_0">
            <w:r>
              <w:rPr>
                <w:noProof/>
              </w:rPr>
              <w:t xml:space="preserve">CU Triage &amp; Pipeline — User Manual</w:t>
            </w:r>
          </w:hyperlink>
          <w:r>
            <w:rPr>
              <w:noProof/>
            </w:rPr>
            <w:tab/>
          </w:r>
          <w:hyperlink w:anchor="_Toc_cu_0">
            <w:r>
              <w:rPr>
                <w:noProof/>
              </w:rPr>
              <w:t>1</w:t>
            </w:r>
          </w:hyperlink>
        </w:p>
        <w:p>
          <w:pPr>
            <w:tabs>
              <w:tab w:val="right" w:leader="dot" w:pos="9360"/>
            </w:tabs>
            <w:spacing w:after="40"/>
            <w:rPr>
              <w:noProof/>
            </w:rPr>
          </w:pPr>
          <w:hyperlink w:anchor="_Toc_cu_1">
            <w:r>
              <w:rPr>
                <w:noProof/>
              </w:rPr>
              <w:t xml:space="preserve">1. What the tool does</w:t>
            </w:r>
          </w:hyperlink>
          <w:r>
            <w:rPr>
              <w:noProof/>
            </w:rPr>
            <w:tab/>
          </w:r>
          <w:hyperlink w:anchor="_Toc_cu_1">
            <w:r>
              <w:rPr>
                <w:noProof/>
              </w:rPr>
              <w:t>2</w:t>
            </w:r>
          </w:hyperlink>
        </w:p>
        <w:p>
          <w:pPr>
            <w:tabs>
              <w:tab w:val="right" w:leader="dot" w:pos="9360"/>
            </w:tabs>
            <w:spacing w:after="40"/>
            <w:ind w:left="360"/>
            <w:rPr>
              <w:noProof/>
            </w:rPr>
          </w:pPr>
          <w:hyperlink w:anchor="_Toc_cu_2">
            <w:r>
              <w:rPr>
                <w:noProof/>
              </w:rPr>
              <w:t xml:space="preserve">1.1 The problem it solves</w:t>
            </w:r>
          </w:hyperlink>
          <w:r>
            <w:rPr>
              <w:noProof/>
            </w:rPr>
            <w:tab/>
          </w:r>
          <w:hyperlink w:anchor="_Toc_cu_2">
            <w:r>
              <w:rPr>
                <w:noProof/>
              </w:rPr>
              <w:t>2</w:t>
            </w:r>
          </w:hyperlink>
        </w:p>
        <w:p>
          <w:pPr>
            <w:tabs>
              <w:tab w:val="right" w:leader="dot" w:pos="9360"/>
            </w:tabs>
            <w:spacing w:after="40"/>
            <w:ind w:left="360"/>
            <w:rPr>
              <w:noProof/>
            </w:rPr>
          </w:pPr>
          <w:hyperlink w:anchor="_Toc_cu_3">
            <w:r>
              <w:rPr>
                <w:noProof/>
              </w:rPr>
              <w:t xml:space="preserve">1.2 The three treatments</w:t>
            </w:r>
          </w:hyperlink>
          <w:r>
            <w:rPr>
              <w:noProof/>
            </w:rPr>
            <w:tab/>
          </w:r>
          <w:hyperlink w:anchor="_Toc_cu_3">
            <w:r>
              <w:rPr>
                <w:noProof/>
              </w:rPr>
              <w:t>2</w:t>
            </w:r>
          </w:hyperlink>
        </w:p>
        <w:p>
          <w:pPr>
            <w:tabs>
              <w:tab w:val="right" w:leader="dot" w:pos="9360"/>
            </w:tabs>
            <w:spacing w:after="40"/>
            <w:ind w:left="360"/>
            <w:rPr>
              <w:noProof/>
            </w:rPr>
          </w:pPr>
          <w:hyperlink w:anchor="_Toc_cu_4">
            <w:r>
              <w:rPr>
                <w:noProof/>
              </w:rPr>
              <w:t xml:space="preserve">1.3 Two tabs</w:t>
            </w:r>
          </w:hyperlink>
          <w:r>
            <w:rPr>
              <w:noProof/>
            </w:rPr>
            <w:tab/>
          </w:r>
          <w:hyperlink w:anchor="_Toc_cu_4">
            <w:r>
              <w:rPr>
                <w:noProof/>
              </w:rPr>
              <w:t>2</w:t>
            </w:r>
          </w:hyperlink>
        </w:p>
        <w:p>
          <w:pPr>
            <w:tabs>
              <w:tab w:val="right" w:leader="dot" w:pos="9360"/>
            </w:tabs>
            <w:spacing w:after="40"/>
            <w:rPr>
              <w:noProof/>
            </w:rPr>
          </w:pPr>
          <w:hyperlink w:anchor="_Toc_cu_5">
            <w:r>
              <w:rPr>
                <w:noProof/>
              </w:rPr>
              <w:t xml:space="preserve">2. The CU Pipeline, step by step</w:t>
            </w:r>
          </w:hyperlink>
          <w:r>
            <w:rPr>
              <w:noProof/>
            </w:rPr>
            <w:tab/>
          </w:r>
          <w:hyperlink w:anchor="_Toc_cu_5">
            <w:r>
              <w:rPr>
                <w:noProof/>
              </w:rPr>
              <w:t>2</w:t>
            </w:r>
          </w:hyperlink>
        </w:p>
        <w:p>
          <w:pPr>
            <w:tabs>
              <w:tab w:val="right" w:leader="dot" w:pos="9360"/>
            </w:tabs>
            <w:spacing w:after="40"/>
            <w:ind w:left="360"/>
            <w:rPr>
              <w:noProof/>
            </w:rPr>
          </w:pPr>
          <w:hyperlink w:anchor="_Toc_cu_6">
            <w:r>
              <w:rPr>
                <w:noProof/>
              </w:rPr>
              <w:t xml:space="preserve">2.1 Inputs</w:t>
            </w:r>
          </w:hyperlink>
          <w:r>
            <w:rPr>
              <w:noProof/>
            </w:rPr>
            <w:tab/>
          </w:r>
          <w:hyperlink w:anchor="_Toc_cu_6">
            <w:r>
              <w:rPr>
                <w:noProof/>
              </w:rPr>
              <w:t>2</w:t>
            </w:r>
          </w:hyperlink>
        </w:p>
        <w:p>
          <w:pPr>
            <w:tabs>
              <w:tab w:val="right" w:leader="dot" w:pos="9360"/>
            </w:tabs>
            <w:spacing w:after="40"/>
            <w:ind w:left="360"/>
            <w:rPr>
              <w:noProof/>
            </w:rPr>
          </w:pPr>
          <w:hyperlink w:anchor="_Toc_cu_7">
            <w:r>
              <w:rPr>
                <w:noProof/>
              </w:rPr>
              <w:t xml:space="preserve">2.2 Step 1 — Split HQ file</w:t>
            </w:r>
          </w:hyperlink>
          <w:r>
            <w:rPr>
              <w:noProof/>
            </w:rPr>
            <w:tab/>
          </w:r>
          <w:hyperlink w:anchor="_Toc_cu_7">
            <w:r>
              <w:rPr>
                <w:noProof/>
              </w:rPr>
              <w:t>3</w:t>
            </w:r>
          </w:hyperlink>
        </w:p>
        <w:p>
          <w:pPr>
            <w:tabs>
              <w:tab w:val="right" w:leader="dot" w:pos="9360"/>
            </w:tabs>
            <w:spacing w:after="40"/>
            <w:ind w:left="360"/>
            <w:rPr>
              <w:noProof/>
            </w:rPr>
          </w:pPr>
          <w:hyperlink w:anchor="_Toc_cu_8">
            <w:r>
              <w:rPr>
                <w:noProof/>
              </w:rPr>
              <w:t xml:space="preserve">2.3 Step 2 — Export customer + old baseline</w:t>
            </w:r>
          </w:hyperlink>
          <w:r>
            <w:rPr>
              <w:noProof/>
            </w:rPr>
            <w:tab/>
          </w:r>
          <w:hyperlink w:anchor="_Toc_cu_8">
            <w:r>
              <w:rPr>
                <w:noProof/>
              </w:rPr>
              <w:t>3</w:t>
            </w:r>
          </w:hyperlink>
        </w:p>
        <w:p>
          <w:pPr>
            <w:tabs>
              <w:tab w:val="right" w:leader="dot" w:pos="9360"/>
            </w:tabs>
            <w:spacing w:after="40"/>
            <w:ind w:left="360"/>
            <w:rPr>
              <w:noProof/>
            </w:rPr>
          </w:pPr>
          <w:hyperlink w:anchor="_Toc_cu_9">
            <w:r>
              <w:rPr>
                <w:noProof/>
              </w:rPr>
              <w:t xml:space="preserve">2.4 Step 3 — Classify + report</w:t>
            </w:r>
          </w:hyperlink>
          <w:r>
            <w:rPr>
              <w:noProof/>
            </w:rPr>
            <w:tab/>
          </w:r>
          <w:hyperlink w:anchor="_Toc_cu_9">
            <w:r>
              <w:rPr>
                <w:noProof/>
              </w:rPr>
              <w:t>3</w:t>
            </w:r>
          </w:hyperlink>
        </w:p>
        <w:p>
          <w:pPr>
            <w:tabs>
              <w:tab w:val="right" w:leader="dot" w:pos="9360"/>
            </w:tabs>
            <w:spacing w:after="40"/>
            <w:ind w:left="360"/>
            <w:rPr>
              <w:noProof/>
            </w:rPr>
          </w:pPr>
          <w:hyperlink w:anchor="_Toc_cu_10">
            <w:r>
              <w:rPr>
                <w:noProof/>
              </w:rPr>
              <w:t xml:space="preserve">2.5 Step 4 — Stage + run CUupdate</w:t>
            </w:r>
          </w:hyperlink>
          <w:r>
            <w:rPr>
              <w:noProof/>
            </w:rPr>
            <w:tab/>
          </w:r>
          <w:hyperlink w:anchor="_Toc_cu_10">
            <w:r>
              <w:rPr>
                <w:noProof/>
              </w:rPr>
              <w:t>3</w:t>
            </w:r>
          </w:hyperlink>
        </w:p>
        <w:p>
          <w:pPr>
            <w:tabs>
              <w:tab w:val="right" w:leader="dot" w:pos="9360"/>
            </w:tabs>
            <w:spacing w:after="40"/>
            <w:ind w:left="360"/>
            <w:rPr>
              <w:noProof/>
            </w:rPr>
          </w:pPr>
          <w:hyperlink w:anchor="_Toc_cu_11">
            <w:r>
              <w:rPr>
                <w:noProof/>
              </w:rPr>
              <w:t xml:space="preserve">2.6 Step 5 — Build import set</w:t>
            </w:r>
          </w:hyperlink>
          <w:r>
            <w:rPr>
              <w:noProof/>
            </w:rPr>
            <w:tab/>
          </w:r>
          <w:hyperlink w:anchor="_Toc_cu_11">
            <w:r>
              <w:rPr>
                <w:noProof/>
              </w:rPr>
              <w:t>3</w:t>
            </w:r>
          </w:hyperlink>
        </w:p>
        <w:p>
          <w:pPr>
            <w:tabs>
              <w:tab w:val="right" w:leader="dot" w:pos="9360"/>
            </w:tabs>
            <w:spacing w:after="40"/>
            <w:rPr>
              <w:noProof/>
            </w:rPr>
          </w:pPr>
          <w:hyperlink w:anchor="_Toc_cu_12">
            <w:r>
              <w:rPr>
                <w:noProof/>
              </w:rPr>
              <w:t xml:space="preserve">3. Running the merge: the batch exe vs run_batch.py</w:t>
            </w:r>
          </w:hyperlink>
          <w:r>
            <w:rPr>
              <w:noProof/>
            </w:rPr>
            <w:tab/>
          </w:r>
          <w:hyperlink w:anchor="_Toc_cu_12">
            <w:r>
              <w:rPr>
                <w:noProof/>
              </w:rPr>
              <w:t>4</w:t>
            </w:r>
          </w:hyperlink>
        </w:p>
        <w:p>
          <w:pPr>
            <w:tabs>
              <w:tab w:val="right" w:leader="dot" w:pos="9360"/>
            </w:tabs>
            <w:spacing w:after="40"/>
            <w:rPr>
              <w:noProof/>
            </w:rPr>
          </w:pPr>
          <w:hyperlink w:anchor="_Toc_cu_13">
            <w:r>
              <w:rPr>
                <w:noProof/>
              </w:rPr>
              <w:t xml:space="preserve">4. Date formats</w:t>
            </w:r>
          </w:hyperlink>
          <w:r>
            <w:rPr>
              <w:noProof/>
            </w:rPr>
            <w:tab/>
          </w:r>
          <w:hyperlink w:anchor="_Toc_cu_13">
            <w:r>
              <w:rPr>
                <w:noProof/>
              </w:rPr>
              <w:t>4</w:t>
            </w:r>
          </w:hyperlink>
        </w:p>
        <w:p>
          <w:pPr>
            <w:tabs>
              <w:tab w:val="right" w:leader="dot" w:pos="9360"/>
            </w:tabs>
            <w:spacing w:after="40"/>
            <w:rPr>
              <w:noProof/>
            </w:rPr>
          </w:pPr>
          <w:hyperlink w:anchor="_Toc_cu_14">
            <w:r>
              <w:rPr>
                <w:noProof/>
              </w:rPr>
              <w:t xml:space="preserve">5. The Baseline triage tab</w:t>
            </w:r>
          </w:hyperlink>
          <w:r>
            <w:rPr>
              <w:noProof/>
            </w:rPr>
            <w:tab/>
          </w:r>
          <w:hyperlink w:anchor="_Toc_cu_14">
            <w:r>
              <w:rPr>
                <w:noProof/>
              </w:rPr>
              <w:t>4</w:t>
            </w:r>
          </w:hyperlink>
        </w:p>
        <w:p>
          <w:pPr>
            <w:tabs>
              <w:tab w:val="right" w:leader="dot" w:pos="9360"/>
            </w:tabs>
            <w:spacing w:after="40"/>
            <w:rPr>
              <w:noProof/>
            </w:rPr>
          </w:pPr>
          <w:hyperlink w:anchor="_Toc_cu_15">
            <w:r>
              <w:rPr>
                <w:noProof/>
              </w:rPr>
              <w:t xml:space="preserve">6. Progress and output</w:t>
            </w:r>
          </w:hyperlink>
          <w:r>
            <w:rPr>
              <w:noProof/>
            </w:rPr>
            <w:tab/>
          </w:r>
          <w:hyperlink w:anchor="_Toc_cu_15">
            <w:r>
              <w:rPr>
                <w:noProof/>
              </w:rPr>
              <w:t>4</w:t>
            </w:r>
          </w:hyperlink>
        </w:p>
        <w:p>
          <w:pPr>
            <w:tabs>
              <w:tab w:val="right" w:leader="dot" w:pos="9360"/>
            </w:tabs>
            <w:spacing w:after="40"/>
            <w:rPr>
              <w:noProof/>
            </w:rPr>
          </w:pPr>
          <w:hyperlink w:anchor="_Toc_cu_16">
            <w:r>
              <w:rPr>
                <w:noProof/>
              </w:rPr>
              <w:t xml:space="preserve">7. What runs where, and security</w:t>
            </w:r>
          </w:hyperlink>
          <w:r>
            <w:rPr>
              <w:noProof/>
            </w:rPr>
            <w:tab/>
          </w:r>
          <w:hyperlink w:anchor="_Toc_cu_16">
            <w:r>
              <w:rPr>
                <w:noProof/>
              </w:rPr>
              <w:t>4</w:t>
            </w:r>
          </w:hyperlink>
        </w:p>
        <w:p>
          <w:r>
            <w:fldChar w:fldCharType="end"/>
          </w:r>
        </w:p>
      </w:sdtContent>
    </w:sdt>
    <w:p>
      <w:r>
        <w:br w:type="page"/>
      </w:r>
    </w:p>
    <w:p>
      <w:pPr>
        <w:spacing w:after="120"/>
      </w:pPr>
      <w:r>
        <w:t xml:space="preserve">Version 0.11</w:t>
      </w:r>
    </w:p>
    <w:p>
      <w:pPr>
        <w:spacing w:after="120"/>
      </w:pPr>
      <w:r>
        <w:t xml:space="preserve">This tool prepares a customer's Business Central / NAV objects for a CU (Cumulative Update) upgrade. It takes HQ's list of changed objects, works out which the customer has actually modified, runs the automated merge over those, and assembles an import-ready set — replacing what used to be a long manual object-by-object process.</w:t>
      </w:r>
    </w:p>
    <w:p>
      <w:pPr>
        <w:spacing w:after="120"/>
      </w:pPr>
      <w:r>
        <w:t xml:space="preserve">It is a separate tool from </w:t>
      </w:r>
      <w:r>
        <w:rPr>
          <w:b/>
          <w:bCs/>
        </w:rPr>
        <w:t xml:space="preserve">CUupdate</w:t>
      </w:r>
      <w:r>
        <w:t xml:space="preserve"> (the merge engine) and </w:t>
      </w:r>
      <w:r>
        <w:rPr>
          <w:b/>
          <w:bCs/>
        </w:rPr>
        <w:t xml:space="preserve">CUcompare</w:t>
      </w:r>
      <w:r>
        <w:t xml:space="preserve"> (the gold-comparison oracle). This manual covers the triage/pipeline tool only.</w:t>
      </w:r>
    </w:p>
    <w:p>
      <w:pPr>
        <w:pStyle w:val="Heading1"/>
      </w:pPr>
      <w:bookmarkStart w:id="9001" w:name="_Toc_cu_1"/>
      <w:r>
        <w:t xml:space="preserve">1. What the tool does</w:t>
      </w:r>
      <w:bookmarkEnd w:id="9001"/>
    </w:p>
    <w:p>
      <w:pPr>
        <w:pStyle w:val="Heading2"/>
      </w:pPr>
      <w:bookmarkStart w:id="9002" w:name="_Toc_cu_2"/>
      <w:r>
        <w:t xml:space="preserve">1.1 The problem it solves</w:t>
      </w:r>
      <w:bookmarkEnd w:id="9002"/>
    </w:p>
    <w:p>
      <w:pPr>
        <w:spacing w:after="120"/>
      </w:pPr>
      <w:r>
        <w:t xml:space="preserve">When a new CU arrives, only some vendor objects have changed, and of those, only some have been customised by this customer. Historically you exported and inspected objects one by one to find which needed merging. This tool narrows the work automatically:</w:t>
      </w:r>
    </w:p>
    <w:p>
      <w:pPr>
        <w:pStyle w:val="ListParagraph"/>
        <w:numPr>
          <w:ilvl w:val="0"/>
          <w:numId w:val="2"/>
        </w:numPr>
        <w:spacing w:after="40"/>
      </w:pPr>
      <w:r>
        <w:t xml:space="preserve">HQ now supplies a single file listing every object changed in the new CU.</w:t>
      </w:r>
    </w:p>
    <w:p>
      <w:pPr>
        <w:pStyle w:val="ListParagraph"/>
        <w:numPr>
          <w:ilvl w:val="0"/>
          <w:numId w:val="2"/>
        </w:numPr>
        <w:spacing w:after="40"/>
      </w:pPr>
      <w:r>
        <w:t xml:space="preserve">The tool fetches the customer's and the old baseline's versions of those objects, and decides per object whether the customer touched it.</w:t>
      </w:r>
    </w:p>
    <w:p>
      <w:pPr>
        <w:pStyle w:val="ListParagraph"/>
        <w:numPr>
          <w:ilvl w:val="0"/>
          <w:numId w:val="2"/>
        </w:numPr>
        <w:spacing w:after="40"/>
      </w:pPr>
      <w:r>
        <w:t xml:space="preserve">Objects the customer never touched are taken straight from the new CU; only the ones they modified go through the CUupdate merge.</w:t>
      </w:r>
    </w:p>
    <w:p>
      <w:pPr>
        <w:spacing w:after="120"/>
      </w:pPr>
      <w:r>
        <w:t xml:space="preserve">The result is a much smaller set to merge, and an import folder assembled from what is ready.</w:t>
      </w:r>
    </w:p>
    <w:p>
      <w:pPr>
        <w:pStyle w:val="Heading2"/>
      </w:pPr>
      <w:bookmarkStart w:id="9003" w:name="_Toc_cu_3"/>
      <w:r>
        <w:t xml:space="preserve">1.2 The three treatments</w:t>
      </w:r>
      <w:bookmarkEnd w:id="9003"/>
    </w:p>
    <w:p>
      <w:pPr>
        <w:spacing w:after="120"/>
      </w:pPr>
      <w:r>
        <w:t xml:space="preserve">Every object in HQ's changed list ends up in one of three treatments:</w:t>
      </w:r>
    </w:p>
    <w:p>
      <w:pPr>
        <w:pStyle w:val="ListParagraph"/>
        <w:numPr>
          <w:ilvl w:val="0"/>
          <w:numId w:val="2"/>
        </w:numPr>
        <w:spacing w:after="40"/>
      </w:pPr>
      <w:r>
        <w:rPr>
          <w:b/>
          <w:bCs/>
        </w:rPr>
        <w:t xml:space="preserve">new</w:t>
      </w:r>
      <w:r>
        <w:t xml:space="preserve"> — the customer does not have this object. Take the new CU version straight; no merge.</w:t>
      </w:r>
    </w:p>
    <w:p>
      <w:pPr>
        <w:pStyle w:val="ListParagraph"/>
        <w:numPr>
          <w:ilvl w:val="0"/>
          <w:numId w:val="2"/>
        </w:numPr>
        <w:spacing w:after="40"/>
      </w:pPr>
      <w:r>
        <w:rPr>
          <w:b/>
          <w:bCs/>
        </w:rPr>
        <w:t xml:space="preserve">take-straight</w:t>
      </w:r>
      <w:r>
        <w:t xml:space="preserve"> — the customer has it, but their version matches the old baseline (Version List and body both). They never modified it, so take the new CU version straight; no merge.</w:t>
      </w:r>
    </w:p>
    <w:p>
      <w:pPr>
        <w:pStyle w:val="ListParagraph"/>
        <w:numPr>
          <w:ilvl w:val="0"/>
          <w:numId w:val="2"/>
        </w:numPr>
        <w:spacing w:after="40"/>
      </w:pPr>
      <w:r>
        <w:rPr>
          <w:b/>
          <w:bCs/>
        </w:rPr>
        <w:t xml:space="preserve">to-merge</w:t>
      </w:r>
      <w:r>
        <w:t xml:space="preserve"> — the customer's version differs from the old baseline (Version List or body). Their customisation must be carried onto the new CU version, so this object goes through CUupdate.</w:t>
      </w:r>
    </w:p>
    <w:p>
      <w:pPr>
        <w:spacing w:after="120"/>
      </w:pPr>
      <w:r>
        <w:t xml:space="preserve">After the merge runs, </w:t>
      </w:r>
      <w:r>
        <w:rPr>
          <w:rFonts w:ascii="Consolas" w:cs="Consolas" w:eastAsia="Consolas" w:hAnsi="Consolas"/>
        </w:rPr>
        <w:t xml:space="preserve">to-merge</w:t>
      </w:r>
      <w:r>
        <w:t xml:space="preserve"> objects resolve to </w:t>
      </w:r>
      <w:r>
        <w:rPr>
          <w:b/>
          <w:bCs/>
        </w:rPr>
        <w:t xml:space="preserve">auto-merged</w:t>
      </w:r>
      <w:r>
        <w:t xml:space="preserve"> (CUupdate merged them) or </w:t>
      </w:r>
      <w:r>
        <w:rPr>
          <w:b/>
          <w:bCs/>
        </w:rPr>
        <w:t xml:space="preserve">manual-required</w:t>
      </w:r>
      <w:r>
        <w:t xml:space="preserve"> (CUupdate could not, and they need a hand merge before the import set is complete).</w:t>
      </w:r>
    </w:p>
    <w:p>
      <w:pPr>
        <w:pStyle w:val="Heading2"/>
      </w:pPr>
      <w:bookmarkStart w:id="9004" w:name="_Toc_cu_4"/>
      <w:r>
        <w:t xml:space="preserve">1.3 Two tabs</w:t>
      </w:r>
      <w:bookmarkEnd w:id="9004"/>
    </w:p>
    <w:p>
      <w:pPr>
        <w:pStyle w:val="ListParagraph"/>
        <w:numPr>
          <w:ilvl w:val="0"/>
          <w:numId w:val="2"/>
        </w:numPr>
        <w:spacing w:after="40"/>
      </w:pPr>
      <w:r>
        <w:rPr>
          <w:b/>
          <w:bCs/>
        </w:rPr>
        <w:t xml:space="preserve">CU Pipeline</w:t>
      </w:r>
      <w:r>
        <w:t xml:space="preserve"> — the main workflow described above, driven by HQ's file.</w:t>
      </w:r>
    </w:p>
    <w:p>
      <w:pPr>
        <w:pStyle w:val="ListParagraph"/>
        <w:numPr>
          <w:ilvl w:val="0"/>
          <w:numId w:val="2"/>
        </w:numPr>
        <w:spacing w:after="40"/>
      </w:pPr>
      <w:r>
        <w:rPr>
          <w:b/>
          <w:bCs/>
        </w:rPr>
        <w:t xml:space="preserve">Baseline triage</w:t>
      </w:r>
      <w:r>
        <w:t xml:space="preserve"> — an older path that compares two vendor baselines (old CU vs new CU) directly, for when HQ does not supply a changed-objects file. Kept as a fallback.</w:t>
      </w:r>
    </w:p>
    <w:p>
      <w:pPr>
        <w:pStyle w:val="Heading1"/>
      </w:pPr>
      <w:bookmarkStart w:id="9005" w:name="_Toc_cu_5"/>
      <w:r>
        <w:t xml:space="preserve">2. The CU Pipeline, step by step</w:t>
      </w:r>
      <w:bookmarkEnd w:id="9005"/>
    </w:p>
    <w:p>
      <w:pPr>
        <w:spacing w:after="120"/>
      </w:pPr>
      <w:r>
        <w:t xml:space="preserve">The pipeline runs as five explicit steps so each one's result is visible before the next. Fill in the inputs at the top, then click the step buttons in order.</w:t>
      </w:r>
    </w:p>
    <w:p>
      <w:pPr>
        <w:pStyle w:val="Heading2"/>
      </w:pPr>
      <w:bookmarkStart w:id="9006" w:name="_Toc_cu_6"/>
      <w:r>
        <w:t xml:space="preserve">2.1 Inputs</w:t>
      </w:r>
      <w:bookmarkEnd w:id="9006"/>
    </w:p>
    <w:p>
      <w:pPr>
        <w:pStyle w:val="ListParagraph"/>
        <w:numPr>
          <w:ilvl w:val="0"/>
          <w:numId w:val="2"/>
        </w:numPr>
        <w:spacing w:after="40"/>
      </w:pPr>
      <w:r>
        <w:rPr>
          <w:b/>
          <w:bCs/>
        </w:rPr>
        <w:t xml:space="preserve">HQ changed-objects file</w:t>
      </w:r>
      <w:r>
        <w:t xml:space="preserve"> — the single combined </w:t>
      </w:r>
      <w:r>
        <w:rPr>
          <w:rFonts w:ascii="Consolas" w:cs="Consolas" w:eastAsia="Consolas" w:hAnsi="Consolas"/>
        </w:rPr>
        <w:t xml:space="preserve">.txt</w:t>
      </w:r>
      <w:r>
        <w:t xml:space="preserve"> HQ supplies.</w:t>
      </w:r>
    </w:p>
    <w:p>
      <w:pPr>
        <w:pStyle w:val="ListParagraph"/>
        <w:numPr>
          <w:ilvl w:val="0"/>
          <w:numId w:val="2"/>
        </w:numPr>
        <w:spacing w:after="40"/>
      </w:pPr>
      <w:r>
        <w:rPr>
          <w:b/>
          <w:bCs/>
        </w:rPr>
        <w:t xml:space="preserve">Job root</w:t>
      </w:r>
      <w:r>
        <w:t xml:space="preserve"> — a working folder. The tool creates </w:t>
      </w:r>
      <w:r>
        <w:rPr>
          <w:rFonts w:ascii="Consolas" w:cs="Consolas" w:eastAsia="Consolas" w:hAnsi="Consolas"/>
        </w:rPr>
        <w:t xml:space="preserve">hq/</w:t>
      </w:r>
      <w:r>
        <w:t xml:space="preserve">, </w:t>
      </w:r>
      <w:r>
        <w:rPr>
          <w:rFonts w:ascii="Consolas" w:cs="Consolas" w:eastAsia="Consolas" w:hAnsi="Consolas"/>
        </w:rPr>
        <w:t xml:space="preserve">customer/</w:t>
      </w:r>
      <w:r>
        <w:t xml:space="preserve">, </w:t>
      </w:r>
      <w:r>
        <w:rPr>
          <w:rFonts w:ascii="Consolas" w:cs="Consolas" w:eastAsia="Consolas" w:hAnsi="Consolas"/>
        </w:rPr>
        <w:t xml:space="preserve">oldbase/</w:t>
      </w:r>
      <w:r>
        <w:t xml:space="preserve">, </w:t>
      </w:r>
      <w:r>
        <w:rPr>
          <w:rFonts w:ascii="Consolas" w:cs="Consolas" w:eastAsia="Consolas" w:hAnsi="Consolas"/>
        </w:rPr>
        <w:t xml:space="preserve">A/</w:t>
      </w:r>
      <w:r>
        <w:t xml:space="preserve">, </w:t>
      </w:r>
      <w:r>
        <w:rPr>
          <w:rFonts w:ascii="Consolas" w:cs="Consolas" w:eastAsia="Consolas" w:hAnsi="Consolas"/>
        </w:rPr>
        <w:t xml:space="preserve">B/</w:t>
      </w:r>
      <w:r>
        <w:t xml:space="preserve">, </w:t>
      </w:r>
      <w:r>
        <w:rPr>
          <w:rFonts w:ascii="Consolas" w:cs="Consolas" w:eastAsia="Consolas" w:hAnsi="Consolas"/>
        </w:rPr>
        <w:t xml:space="preserve">Merged/</w:t>
      </w:r>
      <w:r>
        <w:t xml:space="preserve">, and </w:t>
      </w:r>
      <w:r>
        <w:rPr>
          <w:rFonts w:ascii="Consolas" w:cs="Consolas" w:eastAsia="Consolas" w:hAnsi="Consolas"/>
        </w:rPr>
        <w:t xml:space="preserve">Import/</w:t>
      </w:r>
      <w:r>
        <w:t xml:space="preserve"> under it.</w:t>
      </w:r>
    </w:p>
    <w:p>
      <w:pPr>
        <w:pStyle w:val="ListParagraph"/>
        <w:numPr>
          <w:ilvl w:val="0"/>
          <w:numId w:val="2"/>
        </w:numPr>
        <w:spacing w:after="40"/>
      </w:pPr>
      <w:r>
        <w:rPr>
          <w:b/>
          <w:bCs/>
        </w:rPr>
        <w:t xml:space="preserve">SQL server</w:t>
      </w:r>
      <w:r>
        <w:t xml:space="preserve"> — the SQL Server hosting the databases.</w:t>
      </w:r>
    </w:p>
    <w:p>
      <w:pPr>
        <w:pStyle w:val="ListParagraph"/>
        <w:numPr>
          <w:ilvl w:val="0"/>
          <w:numId w:val="2"/>
        </w:numPr>
        <w:spacing w:after="40"/>
      </w:pPr>
      <w:r>
        <w:rPr>
          <w:b/>
          <w:bCs/>
        </w:rPr>
        <w:t xml:space="preserve">NAV server (shared)</w:t>
      </w:r>
      <w:r>
        <w:t xml:space="preserve"> — the NAV service-tier host (one host for all instances).</w:t>
      </w:r>
    </w:p>
    <w:p>
      <w:pPr>
        <w:pStyle w:val="ListParagraph"/>
        <w:numPr>
          <w:ilvl w:val="0"/>
          <w:numId w:val="2"/>
        </w:numPr>
        <w:spacing w:after="40"/>
      </w:pPr>
      <w:r>
        <w:rPr>
          <w:b/>
          <w:bCs/>
        </w:rPr>
        <w:t xml:space="preserve">Customer DB</w:t>
      </w:r>
      <w:r>
        <w:t xml:space="preserve"> — the customer's database, with its NAV instance and management port. Exported with the </w:t>
      </w:r>
      <w:r>
        <w:rPr>
          <w:rFonts w:ascii="Consolas" w:cs="Consolas" w:eastAsia="Consolas" w:hAnsi="Consolas"/>
        </w:rPr>
        <w:t xml:space="preserve">EX-</w:t>
      </w:r>
      <w:r>
        <w:t xml:space="preserve"> prefix.</w:t>
      </w:r>
    </w:p>
    <w:p>
      <w:pPr>
        <w:pStyle w:val="ListParagraph"/>
        <w:numPr>
          <w:ilvl w:val="0"/>
          <w:numId w:val="2"/>
        </w:numPr>
        <w:spacing w:after="40"/>
      </w:pPr>
      <w:r>
        <w:rPr>
          <w:b/>
          <w:bCs/>
        </w:rPr>
        <w:t xml:space="preserve">Old baseline DB</w:t>
      </w:r>
      <w:r>
        <w:t xml:space="preserve"> — the database for the CU the customer is currently on, with its instance and port. Exported with the </w:t>
      </w:r>
      <w:r>
        <w:rPr>
          <w:rFonts w:ascii="Consolas" w:cs="Consolas" w:eastAsia="Consolas" w:hAnsi="Consolas"/>
        </w:rPr>
        <w:t xml:space="preserve">OB-</w:t>
      </w:r>
      <w:r>
        <w:t xml:space="preserve"> prefix.</w:t>
      </w:r>
    </w:p>
    <w:p>
      <w:pPr>
        <w:pStyle w:val="ListParagraph"/>
        <w:numPr>
          <w:ilvl w:val="0"/>
          <w:numId w:val="2"/>
        </w:numPr>
        <w:spacing w:after="40"/>
      </w:pPr>
      <w:r>
        <w:rPr>
          <w:b/>
          <w:bCs/>
        </w:rPr>
        <w:t xml:space="preserve">CUbatch.exe (or run_batch.py)</w:t>
      </w:r>
      <w:r>
        <w:t xml:space="preserve"> — see section 3.</w:t>
      </w:r>
    </w:p>
    <w:p>
      <w:pPr>
        <w:spacing w:after="120"/>
      </w:pPr>
      <w:r>
        <w:t xml:space="preserve">Note that the NAV instance name and the SQL database name are often different (for example instance </w:t>
      </w:r>
      <w:r>
        <w:rPr>
          <w:rFonts w:ascii="Consolas" w:cs="Consolas" w:eastAsia="Consolas" w:hAnsi="Consolas"/>
        </w:rPr>
        <w:t xml:space="preserve">iDealer26Q1</w:t>
      </w:r>
      <w:r>
        <w:t xml:space="preserve"> but database </w:t>
      </w:r>
      <w:r>
        <w:rPr>
          <w:rFonts w:ascii="Consolas" w:cs="Consolas" w:eastAsia="Consolas" w:hAnsi="Consolas"/>
        </w:rPr>
        <w:t xml:space="preserve">iDealer2026Q1_DB</w:t>
      </w:r>
      <w:r>
        <w:t xml:space="preserve">), and each instance has its own management port.</w:t>
      </w:r>
    </w:p>
    <w:p>
      <w:pPr>
        <w:pStyle w:val="Heading2"/>
      </w:pPr>
      <w:bookmarkStart w:id="9007" w:name="_Toc_cu_7"/>
      <w:r>
        <w:t xml:space="preserve">2.2 Step 1 — Split HQ file</w:t>
      </w:r>
      <w:bookmarkEnd w:id="9007"/>
    </w:p>
    <w:p>
      <w:pPr>
        <w:spacing w:after="120"/>
      </w:pPr>
      <w:r>
        <w:t xml:space="preserve">Splits HQ's combined file into one file per object (</w:t>
      </w:r>
      <w:r>
        <w:rPr>
          <w:rFonts w:ascii="Consolas" w:cs="Consolas" w:eastAsia="Consolas" w:hAnsi="Consolas"/>
        </w:rPr>
        <w:t xml:space="preserve">hq/CU-&lt;key&gt;.txt</w:t>
      </w:r>
      <w:r>
        <w:t xml:space="preserve">, e.g.</w:t>
      </w:r>
    </w:p>
    <w:p>
      <w:pPr>
        <w:spacing w:after="120"/>
      </w:pPr>
      <w:r>
        <w:rPr>
          <w:rFonts w:ascii="Consolas" w:cs="Consolas" w:eastAsia="Consolas" w:hAnsi="Consolas"/>
        </w:rPr>
        <w:t xml:space="preserve">CU-T18.txt</w:t>
      </w:r>
      <w:r>
        <w:t xml:space="preserve">) and lists the object keys found. No database connection needed.</w:t>
      </w:r>
    </w:p>
    <w:p>
      <w:pPr>
        <w:pStyle w:val="Heading2"/>
      </w:pPr>
      <w:bookmarkStart w:id="9008" w:name="_Toc_cu_8"/>
      <w:r>
        <w:t xml:space="preserve">2.3 Step 2 — Export customer + old baseline</w:t>
      </w:r>
      <w:bookmarkEnd w:id="9008"/>
    </w:p>
    <w:p>
      <w:pPr>
        <w:spacing w:after="120"/>
      </w:pPr>
      <w:r>
        <w:t xml:space="preserve">Exports just the objects in HQ's list from the customer DB (</w:t>
      </w:r>
      <w:r>
        <w:rPr>
          <w:rFonts w:ascii="Consolas" w:cs="Consolas" w:eastAsia="Consolas" w:hAnsi="Consolas"/>
        </w:rPr>
        <w:t xml:space="preserve">EX-</w:t>
      </w:r>
      <w:r>
        <w:t xml:space="preserve">) and the old baseline DB (</w:t>
      </w:r>
      <w:r>
        <w:rPr>
          <w:rFonts w:ascii="Consolas" w:cs="Consolas" w:eastAsia="Consolas" w:hAnsi="Consolas"/>
        </w:rPr>
        <w:t xml:space="preserve">OB-</w:t>
      </w:r>
      <w:r>
        <w:t xml:space="preserve">). The export is filtered </w:t>
      </w:r>
      <w:r>
        <w:rPr>
          <w:b/>
          <w:bCs/>
        </w:rPr>
        <w:t xml:space="preserve">by type and id together</w:t>
      </w:r>
      <w:r>
        <w:t xml:space="preserve"> (</w:t>
      </w:r>
      <w:r>
        <w:rPr>
          <w:rFonts w:ascii="Consolas" w:cs="Consolas" w:eastAsia="Consolas" w:hAnsi="Consolas"/>
        </w:rPr>
        <w:t xml:space="preserve">Type=Table;Id=18|36</w:t>
      </w:r>
      <w:r>
        <w:t xml:space="preserve">, </w:t>
      </w:r>
      <w:r>
        <w:rPr>
          <w:rFonts w:ascii="Consolas" w:cs="Consolas" w:eastAsia="Consolas" w:hAnsi="Consolas"/>
        </w:rPr>
        <w:t xml:space="preserve">Type=Codeunit;Id=80</w:t>
      </w:r>
      <w:r>
        <w:t xml:space="preserve">, ...) so an object id never over-pulls across types. Runs under Windows authentication — no credentials are entered or stored.</w:t>
      </w:r>
    </w:p>
    <w:p>
      <w:pPr>
        <w:pStyle w:val="Heading2"/>
      </w:pPr>
      <w:bookmarkStart w:id="9009" w:name="_Toc_cu_9"/>
      <w:r>
        <w:t xml:space="preserve">2.4 Step 3 — Classify + report</w:t>
      </w:r>
      <w:bookmarkEnd w:id="9009"/>
    </w:p>
    <w:p>
      <w:pPr>
        <w:spacing w:after="120"/>
      </w:pPr>
      <w:r>
        <w:t xml:space="preserve">Compares each object three ways and produces the treatment report (new / take-straight / to-merge, with the reason for each). The report is saved automatically to </w:t>
      </w:r>
      <w:r>
        <w:rPr>
          <w:rFonts w:ascii="Consolas" w:cs="Consolas" w:eastAsia="Consolas" w:hAnsi="Consolas"/>
        </w:rPr>
        <w:t xml:space="preserve">&lt;CU&gt;_treatment.txt</w:t>
      </w:r>
      <w:r>
        <w:t xml:space="preserve"> in the job root, and shown in the output pane.</w:t>
      </w:r>
    </w:p>
    <w:p>
      <w:pPr>
        <w:spacing w:after="120"/>
      </w:pPr>
      <w:r>
        <w:t xml:space="preserve">The customer-modified test is </w:t>
      </w:r>
      <w:r>
        <w:rPr>
          <w:b/>
          <w:bCs/>
        </w:rPr>
        <w:t xml:space="preserve">either/or</w:t>
      </w:r>
      <w:r>
        <w:t xml:space="preserve">: an object is to-merge if its Version List </w:t>
      </w:r>
      <w:r>
        <w:rPr>
          <w:b/>
          <w:bCs/>
        </w:rPr>
        <w:t xml:space="preserve">or</w:t>
      </w:r>
      <w:r>
        <w:t xml:space="preserve"> its body differs from the old baseline. This is deliberately over-inclusive — CUupdate's own no-CU-change short-circuit harmlessly takes the customer version for anything that needs no merge, so over-including is free, while under-including risks losing customer work.</w:t>
      </w:r>
    </w:p>
    <w:p>
      <w:pPr>
        <w:spacing w:after="120"/>
      </w:pPr>
      <w:r>
        <w:t xml:space="preserve">The comparison is </w:t>
      </w:r>
      <w:r>
        <w:rPr>
          <w:b/>
          <w:bCs/>
        </w:rPr>
        <w:t xml:space="preserve">body-only</w:t>
      </w:r>
      <w:r>
        <w:t xml:space="preserve">: the </w:t>
      </w:r>
      <w:r>
        <w:rPr>
          <w:rFonts w:ascii="Consolas" w:cs="Consolas" w:eastAsia="Consolas" w:hAnsi="Consolas"/>
        </w:rPr>
        <w:t xml:space="preserve">OBJECT-PROPERTIES</w:t>
      </w:r>
      <w:r>
        <w:t xml:space="preserve"> header (</w:t>
      </w:r>
      <w:r>
        <w:rPr>
          <w:rFonts w:ascii="Consolas" w:cs="Consolas" w:eastAsia="Consolas" w:hAnsi="Consolas"/>
        </w:rPr>
        <w:t xml:space="preserve">Date</w:t>
      </w:r>
      <w:r>
        <w:t xml:space="preserve">/</w:t>
      </w:r>
      <w:r>
        <w:rPr>
          <w:rFonts w:ascii="Consolas" w:cs="Consolas" w:eastAsia="Consolas" w:hAnsi="Consolas"/>
        </w:rPr>
        <w:t xml:space="preserve">Time</w:t>
      </w:r>
      <w:r>
        <w:t xml:space="preserve">/</w:t>
      </w:r>
      <w:r>
        <w:rPr>
          <w:rFonts w:ascii="Consolas" w:cs="Consolas" w:eastAsia="Consolas" w:hAnsi="Consolas"/>
        </w:rPr>
        <w:t xml:space="preserve">Modified</w:t>
      </w:r>
      <w:r>
        <w:t xml:space="preserve">/</w:t>
      </w:r>
      <w:r>
        <w:rPr>
          <w:rFonts w:ascii="Consolas" w:cs="Consolas" w:eastAsia="Consolas" w:hAnsi="Consolas"/>
        </w:rPr>
        <w:t xml:space="preserve">Version List</w:t>
      </w:r>
      <w:r>
        <w:t xml:space="preserve"> value) and the documentation trigger are excluded from the body check, because the vendor re-stamps those every CU.</w:t>
      </w:r>
    </w:p>
    <w:p>
      <w:pPr>
        <w:pStyle w:val="Heading2"/>
      </w:pPr>
      <w:bookmarkStart w:id="9010" w:name="_Toc_cu_10"/>
      <w:r>
        <w:t xml:space="preserve">2.5 Step 4 — Stage + run CUupdate</w:t>
      </w:r>
      <w:bookmarkEnd w:id="9010"/>
    </w:p>
    <w:p>
      <w:pPr>
        <w:spacing w:after="120"/>
      </w:pPr>
      <w:r>
        <w:t xml:space="preserve">Stages the to-merge objects into the layout CUupdate expects —</w:t>
      </w:r>
    </w:p>
    <w:p>
      <w:pPr>
        <w:spacing w:after="120"/>
      </w:pPr>
      <w:r>
        <w:rPr>
          <w:rFonts w:ascii="Consolas" w:cs="Consolas" w:eastAsia="Consolas" w:hAnsi="Consolas"/>
        </w:rPr>
        <w:t xml:space="preserve">A/&lt;Type&gt;/EX-&lt;key&gt;.txt</w:t>
      </w:r>
      <w:r>
        <w:t xml:space="preserve"> (customer) and </w:t>
      </w:r>
      <w:r>
        <w:rPr>
          <w:rFonts w:ascii="Consolas" w:cs="Consolas" w:eastAsia="Consolas" w:hAnsi="Consolas"/>
        </w:rPr>
        <w:t xml:space="preserve">B/&lt;Type&gt;/CU-&lt;key&gt;.txt</w:t>
      </w:r>
      <w:r>
        <w:t xml:space="preserve"> (vendor) — then runs CUupdate's batch driver over them. CUupdate applies its own merge rules and decides auto-merge vs manual review per object, using the merge parameters (CU token, initials, date, date format) from the panel.</w:t>
      </w:r>
    </w:p>
    <w:p>
      <w:pPr>
        <w:pStyle w:val="Heading2"/>
      </w:pPr>
      <w:bookmarkStart w:id="9011" w:name="_Toc_cu_11"/>
      <w:r>
        <w:t xml:space="preserve">2.6 Step 5 — Build import set</w:t>
      </w:r>
      <w:bookmarkEnd w:id="9011"/>
    </w:p>
    <w:p>
      <w:pPr>
        <w:spacing w:after="120"/>
      </w:pPr>
      <w:r>
        <w:t xml:space="preserve">Assembles the </w:t>
      </w:r>
      <w:r>
        <w:rPr>
          <w:rFonts w:ascii="Consolas" w:cs="Consolas" w:eastAsia="Consolas" w:hAnsi="Consolas"/>
        </w:rPr>
        <w:t xml:space="preserve">Import/</w:t>
      </w:r>
      <w:r>
        <w:t xml:space="preserve"> folder from what is ready: the new and take-straight vendor objects, plus the auto-merged outputs. Objects CUupdate gated to manual review are flagged </w:t>
      </w:r>
      <w:r>
        <w:rPr>
          <w:b/>
          <w:bCs/>
        </w:rPr>
        <w:t xml:space="preserve">manual-required</w:t>
      </w:r>
      <w:r>
        <w:t xml:space="preserve"> and deliberately left out — the import set is honestly incomplete until those are hand-merged. The final report marks each object new / take-straight / auto-merged / manual-required.</w:t>
      </w:r>
    </w:p>
    <w:p>
      <w:pPr>
        <w:pStyle w:val="Heading1"/>
      </w:pPr>
      <w:bookmarkStart w:id="9012" w:name="_Toc_cu_12"/>
      <w:r>
        <w:t xml:space="preserve">3. Running the merge: the batch exe vs run_batch.py</w:t>
      </w:r>
      <w:bookmarkEnd w:id="9012"/>
    </w:p>
    <w:p>
      <w:pPr>
        <w:spacing w:after="120"/>
      </w:pPr>
      <w:r>
        <w:t xml:space="preserve">Step 4 drives CUupdate. Point the </w:t>
      </w:r>
      <w:r>
        <w:rPr>
          <w:b/>
          <w:bCs/>
        </w:rPr>
        <w:t xml:space="preserve">CUbatch.exe (or run_batch.py)</w:t>
      </w:r>
      <w:r>
        <w:t xml:space="preserve"> field at one of:</w:t>
      </w:r>
    </w:p>
    <w:p>
      <w:pPr>
        <w:pStyle w:val="ListParagraph"/>
        <w:numPr>
          <w:ilvl w:val="0"/>
          <w:numId w:val="2"/>
        </w:numPr>
        <w:spacing w:after="40"/>
      </w:pPr>
      <w:r>
        <w:rPr>
          <w:b/>
          <w:bCs/>
        </w:rPr>
        <w:t xml:space="preserve">CUbatch_&lt;version&gt;.exe</w:t>
      </w:r>
      <w:r>
        <w:t xml:space="preserve"> — the headless batch merge executable. This needs no Python and no GUI, so it is the right choice on a server. Build it once from </w:t>
      </w:r>
      <w:r>
        <w:rPr>
          <w:rFonts w:ascii="Consolas" w:cs="Consolas" w:eastAsia="Consolas" w:hAnsi="Consolas"/>
        </w:rPr>
        <w:t xml:space="preserve">cu_batch.spec</w:t>
      </w:r>
      <w:r>
        <w:t xml:space="preserve"> (see the CUupdate BUILD docs); it bundles the whole merge engine. The triage tool runs it directly with the merge parameters.</w:t>
      </w:r>
    </w:p>
    <w:p>
      <w:pPr>
        <w:pStyle w:val="ListParagraph"/>
        <w:numPr>
          <w:ilvl w:val="0"/>
          <w:numId w:val="2"/>
        </w:numPr>
        <w:spacing w:after="40"/>
      </w:pPr>
      <w:r>
        <w:rPr>
          <w:b/>
          <w:bCs/>
        </w:rPr>
        <w:t xml:space="preserve">run_batch.py</w:t>
      </w:r>
      <w:r>
        <w:t xml:space="preserve"> — the same batch entry point as a script. Use this only on a machine that has Python and the </w:t>
      </w:r>
      <w:r>
        <w:rPr>
          <w:rFonts w:ascii="Consolas" w:cs="Consolas" w:eastAsia="Consolas" w:hAnsi="Consolas"/>
        </w:rPr>
        <w:t xml:space="preserve">cuupdate</w:t>
      </w:r>
      <w:r>
        <w:t xml:space="preserve"> package present (the tool runs it from its own directory so its imports resolve).</w:t>
      </w:r>
    </w:p>
    <w:p>
      <w:pPr>
        <w:spacing w:after="120"/>
      </w:pPr>
      <w:r>
        <w:t xml:space="preserve">Do </w:t>
      </w:r>
      <w:r>
        <w:rPr>
          <w:b/>
          <w:bCs/>
        </w:rPr>
        <w:t xml:space="preserve">not</w:t>
      </w:r>
      <w:r>
        <w:t xml:space="preserve"> point the field at the standard </w:t>
      </w:r>
      <w:r>
        <w:rPr>
          <w:rFonts w:ascii="Consolas" w:cs="Consolas" w:eastAsia="Consolas" w:hAnsi="Consolas"/>
        </w:rPr>
        <w:t xml:space="preserve">CUupdate.exe</w:t>
      </w:r>
      <w:r>
        <w:t xml:space="preserve"> — that is the GUI build; it ignores batch arguments and just opens the merge window.</w:t>
      </w:r>
    </w:p>
    <w:p>
      <w:pPr>
        <w:spacing w:after="120"/>
      </w:pPr>
      <w:r>
        <w:t xml:space="preserve">The merge parameters (CU token, initials, date, date format) are passed through to CUupdate. Customer tag prefixes are </w:t>
      </w:r>
      <w:r>
        <w:rPr>
          <w:b/>
          <w:bCs/>
        </w:rPr>
        <w:t xml:space="preserve">not</w:t>
      </w:r>
      <w:r>
        <w:t xml:space="preserve"> set here — CUupdate derives them itself from the objects when it runs.</w:t>
      </w:r>
    </w:p>
    <w:p>
      <w:pPr>
        <w:pStyle w:val="Heading1"/>
      </w:pPr>
      <w:bookmarkStart w:id="9013" w:name="_Toc_cu_13"/>
      <w:r>
        <w:t xml:space="preserve">4. Date formats</w:t>
      </w:r>
      <w:bookmarkEnd w:id="9013"/>
    </w:p>
    <w:p>
      <w:pPr>
        <w:spacing w:after="120"/>
      </w:pPr>
      <w:r>
        <w:rPr>
          <w:rFonts w:ascii="Consolas" w:cs="Consolas" w:eastAsia="Consolas" w:hAnsi="Consolas"/>
        </w:rPr>
        <w:t xml:space="preserve">.txt</w:t>
      </w:r>
      <w:r>
        <w:t xml:space="preserve"> import is strict about date format: the dates in the object files must match the regional setting of the instance they import into, or the import errors. HQ's files use </w:t>
      </w:r>
      <w:r>
        <w:rPr>
          <w:b/>
          <w:bCs/>
        </w:rPr>
        <w:t xml:space="preserve">DDMMYY</w:t>
      </w:r>
      <w:r>
        <w:t xml:space="preserve">. The merge step's date format therefore defaults to DDMMYY so the merged output, HQ's take-straight files, and the import target all agree. Set the import instance's regional setting to match so direct imports of take-straight objects do not fail on date mismatch.</w:t>
      </w:r>
    </w:p>
    <w:p>
      <w:pPr>
        <w:pStyle w:val="Heading1"/>
      </w:pPr>
      <w:bookmarkStart w:id="9014" w:name="_Toc_cu_14"/>
      <w:r>
        <w:t xml:space="preserve">5. The Baseline triage tab</w:t>
      </w:r>
      <w:bookmarkEnd w:id="9014"/>
    </w:p>
    <w:p>
      <w:pPr>
        <w:spacing w:after="120"/>
      </w:pPr>
      <w:r>
        <w:t xml:space="preserve">This tab is the older, pre-HQ-file path. It compares two vendor baselines directly:</w:t>
      </w:r>
    </w:p>
    <w:p>
      <w:pPr>
        <w:pStyle w:val="ListParagraph"/>
        <w:numPr>
          <w:ilvl w:val="0"/>
          <w:numId w:val="2"/>
        </w:numPr>
        <w:spacing w:after="40"/>
      </w:pPr>
      <w:r>
        <w:t xml:space="preserve">Point it at an </w:t>
      </w:r>
      <w:r>
        <w:rPr>
          <w:b/>
          <w:bCs/>
        </w:rPr>
        <w:t xml:space="preserve">Existing baseline</w:t>
      </w:r>
      <w:r>
        <w:t xml:space="preserve"> folder (old CU objects) and a </w:t>
      </w:r>
      <w:r>
        <w:rPr>
          <w:b/>
          <w:bCs/>
        </w:rPr>
        <w:t xml:space="preserve">New baseline</w:t>
      </w:r>
      <w:r>
        <w:t xml:space="preserve"> folder (new CU objects), or export both from their databases using the export panel.</w:t>
      </w:r>
    </w:p>
    <w:p>
      <w:pPr>
        <w:pStyle w:val="ListParagraph"/>
        <w:numPr>
          <w:ilvl w:val="0"/>
          <w:numId w:val="2"/>
        </w:numPr>
        <w:spacing w:after="40"/>
      </w:pPr>
      <w:r>
        <w:t xml:space="preserve">It reports which objects the vendor changed or added between the two CUs, as a type-grouped, pipe-separated list ready to paste into a NAV export filter.</w:t>
      </w:r>
    </w:p>
    <w:p>
      <w:pPr>
        <w:spacing w:after="120"/>
      </w:pPr>
      <w:r>
        <w:t xml:space="preserve">Use this only when HQ has not supplied a changed-objects file. When they have, the CU Pipeline tab is the workflow.</w:t>
      </w:r>
    </w:p>
    <w:p>
      <w:pPr>
        <w:pStyle w:val="Heading1"/>
      </w:pPr>
      <w:bookmarkStart w:id="9015" w:name="_Toc_cu_15"/>
      <w:r>
        <w:t xml:space="preserve">6. Progress and output</w:t>
      </w:r>
      <w:bookmarkEnd w:id="9015"/>
    </w:p>
    <w:p>
      <w:pPr>
        <w:pStyle w:val="ListParagraph"/>
        <w:numPr>
          <w:ilvl w:val="0"/>
          <w:numId w:val="2"/>
        </w:numPr>
        <w:spacing w:after="40"/>
      </w:pPr>
      <w:r>
        <w:t xml:space="preserve">A busy bar runs along the bottom while any step works, including the steps that do not open a PowerShell window, so you can tell the tool is progressing.</w:t>
      </w:r>
    </w:p>
    <w:p>
      <w:pPr>
        <w:pStyle w:val="ListParagraph"/>
        <w:numPr>
          <w:ilvl w:val="0"/>
          <w:numId w:val="2"/>
        </w:numPr>
        <w:spacing w:after="40"/>
      </w:pPr>
      <w:r>
        <w:t xml:space="preserve">Long exports show a per-phase banner (</w:t>
      </w:r>
      <w:r>
        <w:rPr>
          <w:rFonts w:ascii="Consolas" w:cs="Consolas" w:eastAsia="Consolas" w:hAnsi="Consolas"/>
        </w:rPr>
        <w:t xml:space="preserve">[2/4] Exporting ...</w:t>
      </w:r>
      <w:r>
        <w:t xml:space="preserve">) in the output so you can see which type group is in progress and how many remain.</w:t>
      </w:r>
    </w:p>
    <w:p>
      <w:pPr>
        <w:pStyle w:val="ListParagraph"/>
        <w:numPr>
          <w:ilvl w:val="0"/>
          <w:numId w:val="2"/>
        </w:numPr>
        <w:spacing w:after="40"/>
      </w:pPr>
      <w:r>
        <w:rPr>
          <w:b/>
          <w:bCs/>
        </w:rPr>
        <w:t xml:space="preserve">Save output</w:t>
      </w:r>
      <w:r>
        <w:t xml:space="preserve"> writes the current output pane to a file. Step 3 also auto-saves its treatment report.</w:t>
      </w:r>
    </w:p>
    <w:p>
      <w:pPr>
        <w:pStyle w:val="Heading1"/>
      </w:pPr>
      <w:bookmarkStart w:id="9016" w:name="_Toc_cu_16"/>
      <w:r>
        <w:t xml:space="preserve">7. What runs where, and security</w:t>
      </w:r>
      <w:bookmarkEnd w:id="9016"/>
    </w:p>
    <w:p>
      <w:pPr>
        <w:pStyle w:val="ListParagraph"/>
        <w:numPr>
          <w:ilvl w:val="0"/>
          <w:numId w:val="2"/>
        </w:numPr>
        <w:spacing w:after="40"/>
      </w:pPr>
      <w:r>
        <w:t xml:space="preserve">The database export runs on your machine via PowerShell under </w:t>
      </w:r>
      <w:r>
        <w:rPr>
          <w:b/>
          <w:bCs/>
        </w:rPr>
        <w:t xml:space="preserve">Windows authentication</w:t>
      </w:r>
      <w:r>
        <w:t xml:space="preserve">. No database credentials are entered into the tool or stored; the export connects under the identity running the tool, so that account needs read access to each database.</w:t>
      </w:r>
    </w:p>
    <w:p>
      <w:pPr>
        <w:pStyle w:val="ListParagraph"/>
        <w:numPr>
          <w:ilvl w:val="0"/>
          <w:numId w:val="2"/>
        </w:numPr>
        <w:spacing w:after="40"/>
      </w:pPr>
      <w:r>
        <w:t xml:space="preserve">Object export and split use the NAV model-tools module (BC140). The export step requires Windows and that module; it cannot run on a machine without them.</w:t>
      </w:r>
    </w:p>
    <w:p>
      <w:pPr>
        <w:pStyle w:val="ListParagraph"/>
        <w:numPr>
          <w:ilvl w:val="0"/>
          <w:numId w:val="2"/>
        </w:numPr>
        <w:spacing w:after="40"/>
      </w:pPr>
      <w:r>
        <w:t xml:space="preserve">The export script lives in </w:t>
      </w:r>
      <w:r>
        <w:rPr>
          <w:rFonts w:ascii="Consolas" w:cs="Consolas" w:eastAsia="Consolas" w:hAnsi="Consolas"/>
        </w:rPr>
        <w:t xml:space="preserve">triage/scripts/</w:t>
      </w:r>
      <w:r>
        <w:t xml:space="preserve"> and ships bundled in the exe. Once the workflow is stable it can be kept in a local folder on the SQL box (which may have no internet access) and pointed at from there.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CU Triage &amp; Pipeline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outlineLvl w:val="0"/>
    </w:pPr>
    <w:rPr>
      <w:rFonts w:ascii="Arial" w:cs="Arial" w:eastAsia="Arial" w:hAnsi="Arial"/>
      <w:b/>
      <w:bCs/>
      <w:color w:val="1F3864"/>
      <w:sz w:val="44"/>
      <w:szCs w:val="44"/>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2026-06-19T22:47:54.113Z</dcterms:created>
  <dcterms:modified xsi:type="dcterms:W3CDTF">2026-06-19T22:47:54.124Z</dcterms:modified>
</cp:coreProperties>
</file>

<file path=docProps/custom.xml><?xml version="1.0" encoding="utf-8"?>
<Properties xmlns="http://schemas.openxmlformats.org/officeDocument/2006/custom-properties" xmlns:vt="http://schemas.openxmlformats.org/officeDocument/2006/docPropsVTypes"/>
</file>