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ind w:left="360"/>
            <w:rPr>
              <w:noProof/>
            </w:rPr>
          </w:pPr>
          <w:hyperlink w:anchor="_Toc_cu_18">
            <w:r>
              <w:rPr>
                <w:noProof/>
              </w:rPr>
              <w:t xml:space="preserve">4.5 Prefixes that need trailing digits</w:t>
            </w:r>
          </w:hyperlink>
          <w:r>
            <w:rPr>
              <w:noProof/>
            </w:rPr>
            <w:tab/>
          </w:r>
          <w:hyperlink w:anchor="_Toc_cu_18">
            <w:r>
              <w:rPr>
                <w:noProof/>
              </w:rPr>
              <w:t>6</w:t>
            </w:r>
          </w:hyperlink>
        </w:p>
        <w:p>
          <w:pPr>
            <w:tabs>
              <w:tab w:val="right" w:leader="dot" w:pos="9360"/>
            </w:tabs>
            <w:spacing w:after="40"/>
            <w:rPr>
              <w:noProof/>
            </w:rPr>
          </w:pPr>
          <w:hyperlink w:anchor="_Toc_cu_19">
            <w:r>
              <w:rPr>
                <w:noProof/>
              </w:rPr>
              <w:t xml:space="preserve">5. Reading the results</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5.1 Use Dry run first</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5.2 Where the files go after a merge</w:t>
            </w:r>
          </w:hyperlink>
          <w:r>
            <w:rPr>
              <w:noProof/>
            </w:rPr>
            <w:tab/>
          </w:r>
          <w:hyperlink w:anchor="_Toc_cu_21">
            <w:r>
              <w:rPr>
                <w:noProof/>
              </w:rPr>
              <w:t>6</w:t>
            </w:r>
          </w:hyperlink>
        </w:p>
        <w:p>
          <w:pPr>
            <w:tabs>
              <w:tab w:val="right" w:leader="dot" w:pos="9360"/>
            </w:tabs>
            <w:spacing w:after="40"/>
            <w:ind w:left="360"/>
            <w:rPr>
              <w:noProof/>
            </w:rPr>
          </w:pPr>
          <w:hyperlink w:anchor="_Toc_cu_22">
            <w:r>
              <w:rPr>
                <w:noProof/>
              </w:rPr>
              <w:t xml:space="preserve">5.3 The manual-review report</w:t>
            </w:r>
          </w:hyperlink>
          <w:r>
            <w:rPr>
              <w:noProof/>
            </w:rPr>
            <w:tab/>
          </w:r>
          <w:hyperlink w:anchor="_Toc_cu_22">
            <w:r>
              <w:rPr>
                <w:noProof/>
              </w:rPr>
              <w:t>7</w:t>
            </w:r>
          </w:hyperlink>
        </w:p>
        <w:p>
          <w:pPr>
            <w:tabs>
              <w:tab w:val="right" w:leader="dot" w:pos="9360"/>
            </w:tabs>
            <w:spacing w:after="40"/>
            <w:ind w:left="360"/>
            <w:rPr>
              <w:noProof/>
            </w:rPr>
          </w:pPr>
          <w:hyperlink w:anchor="_Toc_cu_23">
            <w:r>
              <w:rPr>
                <w:noProof/>
              </w:rPr>
              <w:t xml:space="preserve">5.4 What the report tells you about the customer tags</w:t>
            </w:r>
          </w:hyperlink>
          <w:r>
            <w:rPr>
              <w:noProof/>
            </w:rPr>
            <w:tab/>
          </w:r>
          <w:hyperlink w:anchor="_Toc_cu_23">
            <w:r>
              <w:rPr>
                <w:noProof/>
              </w:rPr>
              <w:t>8</w:t>
            </w:r>
          </w:hyperlink>
        </w:p>
        <w:p>
          <w:pPr>
            <w:tabs>
              <w:tab w:val="right" w:leader="dot" w:pos="9360"/>
            </w:tabs>
            <w:spacing w:after="40"/>
            <w:rPr>
              <w:noProof/>
            </w:rPr>
          </w:pPr>
          <w:hyperlink w:anchor="_Toc_cu_24">
            <w:r>
              <w:rPr>
                <w:noProof/>
              </w:rPr>
              <w:t xml:space="preserve">6. After the merge</w:t>
            </w:r>
          </w:hyperlink>
          <w:r>
            <w:rPr>
              <w:noProof/>
            </w:rPr>
            <w:tab/>
          </w:r>
          <w:hyperlink w:anchor="_Toc_cu_24">
            <w:r>
              <w:rPr>
                <w:noProof/>
              </w:rPr>
              <w:t>8</w:t>
            </w:r>
          </w:hyperlink>
        </w:p>
        <w:p>
          <w:pPr>
            <w:tabs>
              <w:tab w:val="right" w:leader="dot" w:pos="9360"/>
            </w:tabs>
            <w:spacing w:after="40"/>
            <w:ind w:left="360"/>
            <w:rPr>
              <w:noProof/>
            </w:rPr>
          </w:pPr>
          <w:hyperlink w:anchor="_Toc_cu_25">
            <w:r>
              <w:rPr>
                <w:noProof/>
              </w:rPr>
              <w:t xml:space="preserve">6.1 The automatically merged objects</w:t>
            </w:r>
          </w:hyperlink>
          <w:r>
            <w:rPr>
              <w:noProof/>
            </w:rPr>
            <w:tab/>
          </w:r>
          <w:hyperlink w:anchor="_Toc_cu_25">
            <w:r>
              <w:rPr>
                <w:noProof/>
              </w:rPr>
              <w:t>8</w:t>
            </w:r>
          </w:hyperlink>
        </w:p>
        <w:p>
          <w:pPr>
            <w:tabs>
              <w:tab w:val="right" w:leader="dot" w:pos="9360"/>
            </w:tabs>
            <w:spacing w:after="40"/>
            <w:ind w:left="360"/>
            <w:rPr>
              <w:noProof/>
            </w:rPr>
          </w:pPr>
          <w:hyperlink w:anchor="_Toc_cu_26">
            <w:r>
              <w:rPr>
                <w:noProof/>
              </w:rPr>
              <w:t xml:space="preserve">6.2 The manual objects</w:t>
            </w:r>
          </w:hyperlink>
          <w:r>
            <w:rPr>
              <w:noProof/>
            </w:rPr>
            <w:tab/>
          </w:r>
          <w:hyperlink w:anchor="_Toc_cu_26">
            <w:r>
              <w:rPr>
                <w:noProof/>
              </w:rPr>
              <w:t>8</w:t>
            </w:r>
          </w:hyperlink>
        </w:p>
        <w:p>
          <w:pPr>
            <w:tabs>
              <w:tab w:val="right" w:leader="dot" w:pos="9360"/>
            </w:tabs>
            <w:spacing w:after="40"/>
            <w:ind w:left="360"/>
            <w:rPr>
              <w:noProof/>
            </w:rPr>
          </w:pPr>
          <w:hyperlink w:anchor="_Toc_cu_27">
            <w:r>
              <w:rPr>
                <w:noProof/>
              </w:rPr>
              <w:t xml:space="preserve">6.3 Join the objects by type</w:t>
            </w:r>
          </w:hyperlink>
          <w:r>
            <w:rPr>
              <w:noProof/>
            </w:rPr>
            <w:tab/>
          </w:r>
          <w:hyperlink w:anchor="_Toc_cu_27">
            <w:r>
              <w:rPr>
                <w:noProof/>
              </w:rPr>
              <w:t>8</w:t>
            </w:r>
          </w:hyperlink>
        </w:p>
        <w:p>
          <w:pPr>
            <w:tabs>
              <w:tab w:val="right" w:leader="dot" w:pos="9360"/>
            </w:tabs>
            <w:spacing w:after="40"/>
            <w:ind w:left="360"/>
            <w:rPr>
              <w:noProof/>
            </w:rPr>
          </w:pPr>
          <w:hyperlink w:anchor="_Toc_cu_28">
            <w:r>
              <w:rPr>
                <w:noProof/>
              </w:rPr>
              <w:t xml:space="preserve">6.4 Re-apply the language layer, then compile</w:t>
            </w:r>
          </w:hyperlink>
          <w:r>
            <w:rPr>
              <w:noProof/>
            </w:rPr>
            <w:tab/>
          </w:r>
          <w:hyperlink w:anchor="_Toc_cu_28">
            <w:r>
              <w:rPr>
                <w:noProof/>
              </w:rPr>
              <w:t>8</w:t>
            </w:r>
          </w:hyperlink>
        </w:p>
        <w:p>
          <w:pPr>
            <w:tabs>
              <w:tab w:val="right" w:leader="dot" w:pos="9360"/>
            </w:tabs>
            <w:spacing w:after="40"/>
            <w:rPr>
              <w:noProof/>
            </w:rPr>
          </w:pPr>
          <w:hyperlink w:anchor="_Toc_cu_29">
            <w:r>
              <w:rPr>
                <w:noProof/>
              </w:rPr>
              <w:t xml:space="preserve">7. Inside the application</w:t>
            </w:r>
          </w:hyperlink>
          <w:r>
            <w:rPr>
              <w:noProof/>
            </w:rPr>
            <w:tab/>
          </w:r>
          <w:hyperlink w:anchor="_Toc_cu_29">
            <w:r>
              <w:rPr>
                <w:noProof/>
              </w:rPr>
              <w:t>8</w:t>
            </w:r>
          </w:hyperlink>
        </w:p>
        <w:p>
          <w:pPr>
            <w:tabs>
              <w:tab w:val="right" w:leader="dot" w:pos="9360"/>
            </w:tabs>
            <w:spacing w:after="40"/>
            <w:rPr>
              <w:noProof/>
            </w:rPr>
          </w:pPr>
          <w:hyperlink w:anchor="_Toc_cu_30">
            <w:r>
              <w:rPr>
                <w:noProof/>
              </w:rPr>
              <w:t xml:space="preserve">8. Rules Index by object type</w:t>
            </w:r>
          </w:hyperlink>
          <w:r>
            <w:rPr>
              <w:noProof/>
            </w:rPr>
            <w:tab/>
          </w:r>
          <w:hyperlink w:anchor="_Toc_cu_30">
            <w:r>
              <w:rPr>
                <w:noProof/>
              </w:rPr>
              <w:t>9</w:t>
            </w:r>
          </w:hyperlink>
        </w:p>
        <w:p>
          <w:pPr>
            <w:tabs>
              <w:tab w:val="right" w:leader="dot" w:pos="9360"/>
            </w:tabs>
            <w:spacing w:after="40"/>
            <w:ind w:left="360"/>
            <w:rPr>
              <w:noProof/>
            </w:rPr>
          </w:pPr>
          <w:hyperlink w:anchor="_Toc_cu_31">
            <w:r>
              <w:rPr>
                <w:noProof/>
              </w:rPr>
              <w:t xml:space="preserve">8.0 Object-type dispatch (all object types)</w:t>
            </w:r>
          </w:hyperlink>
          <w:r>
            <w:rPr>
              <w:noProof/>
            </w:rPr>
            <w:tab/>
          </w:r>
          <w:hyperlink w:anchor="_Toc_cu_31">
            <w:r>
              <w:rPr>
                <w:noProof/>
              </w:rPr>
              <w:t>9</w:t>
            </w:r>
          </w:hyperlink>
        </w:p>
        <w:p>
          <w:pPr>
            <w:tabs>
              <w:tab w:val="right" w:leader="dot" w:pos="9360"/>
            </w:tabs>
            <w:spacing w:after="40"/>
            <w:ind w:left="360"/>
            <w:rPr>
              <w:noProof/>
            </w:rPr>
          </w:pPr>
          <w:hyperlink w:anchor="_Toc_cu_32">
            <w:r>
              <w:rPr>
                <w:noProof/>
              </w:rPr>
              <w:t xml:space="preserve">8.1 Table</w:t>
            </w:r>
          </w:hyperlink>
          <w:r>
            <w:rPr>
              <w:noProof/>
            </w:rPr>
            <w:tab/>
          </w:r>
          <w:hyperlink w:anchor="_Toc_cu_32">
            <w:r>
              <w:rPr>
                <w:noProof/>
              </w:rPr>
              <w:t>10</w:t>
            </w:r>
          </w:hyperlink>
        </w:p>
        <w:p>
          <w:pPr>
            <w:tabs>
              <w:tab w:val="right" w:leader="dot" w:pos="9360"/>
            </w:tabs>
            <w:spacing w:after="40"/>
            <w:ind w:left="720"/>
            <w:rPr>
              <w:noProof/>
            </w:rPr>
          </w:pPr>
          <w:hyperlink w:anchor="_Toc_cu_33">
            <w:r>
              <w:rPr>
                <w:noProof/>
              </w:rPr>
              <w:t xml:space="preserve">8.1.1 Customer field added to a vendor table — CARRY (field graft)</w:t>
            </w:r>
          </w:hyperlink>
          <w:r>
            <w:rPr>
              <w:noProof/>
            </w:rPr>
            <w:tab/>
          </w:r>
          <w:hyperlink w:anchor="_Toc_cu_33">
            <w:r>
              <w:rPr>
                <w:noProof/>
              </w:rPr>
              <w:t>10</w:t>
            </w:r>
          </w:hyperlink>
        </w:p>
        <w:p>
          <w:pPr>
            <w:tabs>
              <w:tab w:val="right" w:leader="dot" w:pos="9360"/>
            </w:tabs>
            <w:spacing w:after="40"/>
            <w:ind w:left="720"/>
            <w:rPr>
              <w:noProof/>
            </w:rPr>
          </w:pPr>
          <w:hyperlink w:anchor="_Toc_cu_34">
            <w:r>
              <w:rPr>
                <w:noProof/>
              </w:rPr>
              <w:t xml:space="preserve">8.1.2 A whole customer procedure added to a vendor table — CARRY (procedure graft)</w:t>
            </w:r>
          </w:hyperlink>
          <w:r>
            <w:rPr>
              <w:noProof/>
            </w:rPr>
            <w:tab/>
          </w:r>
          <w:hyperlink w:anchor="_Toc_cu_34">
            <w:r>
              <w:rPr>
                <w:noProof/>
              </w:rPr>
              <w:t>11</w:t>
            </w:r>
          </w:hyperlink>
        </w:p>
        <w:p>
          <w:pPr>
            <w:tabs>
              <w:tab w:val="right" w:leader="dot" w:pos="9360"/>
            </w:tabs>
            <w:spacing w:after="40"/>
            <w:ind w:left="720"/>
            <w:rPr>
              <w:noProof/>
            </w:rPr>
          </w:pPr>
          <w:hyperlink w:anchor="_Toc_cu_35">
            <w:r>
              <w:rPr>
                <w:noProof/>
              </w:rPr>
              <w:t xml:space="preserve">8.1.3 A changelog entry takes priority over a misleading vendor tag — CARRY</w:t>
            </w:r>
          </w:hyperlink>
          <w:r>
            <w:rPr>
              <w:noProof/>
            </w:rPr>
            <w:tab/>
          </w:r>
          <w:hyperlink w:anchor="_Toc_cu_35">
            <w:r>
              <w:rPr>
                <w:noProof/>
              </w:rPr>
              <w:t>11</w:t>
            </w:r>
          </w:hyperlink>
        </w:p>
        <w:p>
          <w:pPr>
            <w:tabs>
              <w:tab w:val="right" w:leader="dot" w:pos="9360"/>
            </w:tabs>
            <w:spacing w:after="40"/>
            <w:ind w:left="720"/>
            <w:rPr>
              <w:noProof/>
            </w:rPr>
          </w:pPr>
          <w:hyperlink w:anchor="_Toc_cu_36">
            <w:r>
              <w:rPr>
                <w:noProof/>
              </w:rPr>
              <w:t xml:space="preserve">8.1.4 A whole field, present only in A, with no tag and no changelog entry — MANUAL</w:t>
            </w:r>
          </w:hyperlink>
          <w:r>
            <w:rPr>
              <w:noProof/>
            </w:rPr>
            <w:tab/>
          </w:r>
          <w:hyperlink w:anchor="_Toc_cu_36">
            <w:r>
              <w:rPr>
                <w:noProof/>
              </w:rPr>
              <w:t>11</w:t>
            </w:r>
          </w:hyperlink>
        </w:p>
        <w:p>
          <w:pPr>
            <w:tabs>
              <w:tab w:val="right" w:leader="dot" w:pos="9360"/>
            </w:tabs>
            <w:spacing w:after="40"/>
            <w:ind w:left="720"/>
            <w:rPr>
              <w:noProof/>
            </w:rPr>
          </w:pPr>
          <w:hyperlink w:anchor="_Toc_cu_37">
            <w:r>
              <w:rPr>
                <w:noProof/>
              </w:rPr>
              <w:t xml:space="preserve">8.1.5 A customer code block inside a changed shared field or trigger — the scorer decides</w:t>
            </w:r>
          </w:hyperlink>
          <w:r>
            <w:rPr>
              <w:noProof/>
            </w:rPr>
            <w:tab/>
          </w:r>
          <w:hyperlink w:anchor="_Toc_cu_37">
            <w:r>
              <w:rPr>
                <w:noProof/>
              </w:rPr>
              <w:t>11</w:t>
            </w:r>
          </w:hyperlink>
        </w:p>
        <w:p>
          <w:pPr>
            <w:tabs>
              <w:tab w:val="right" w:leader="dot" w:pos="9360"/>
            </w:tabs>
            <w:spacing w:after="40"/>
            <w:ind w:left="720"/>
            <w:rPr>
              <w:noProof/>
            </w:rPr>
          </w:pPr>
          <w:hyperlink w:anchor="_Toc_cu_38">
            <w:r>
              <w:rPr>
                <w:noProof/>
              </w:rPr>
              <w:t xml:space="preserve">8.1.5a A carried code block lands in its own procedure, even when the anchor text repeats</w:t>
            </w:r>
          </w:hyperlink>
          <w:r>
            <w:rPr>
              <w:noProof/>
            </w:rPr>
            <w:tab/>
          </w:r>
          <w:hyperlink w:anchor="_Toc_cu_38">
            <w:r>
              <w:rPr>
                <w:noProof/>
              </w:rPr>
              <w:t>12</w:t>
            </w:r>
          </w:hyperlink>
        </w:p>
        <w:p>
          <w:pPr>
            <w:tabs>
              <w:tab w:val="right" w:leader="dot" w:pos="9360"/>
            </w:tabs>
            <w:spacing w:after="40"/>
            <w:ind w:left="720"/>
            <w:rPr>
              <w:noProof/>
            </w:rPr>
          </w:pPr>
          <w:hyperlink w:anchor="_Toc_cu_39">
            <w:r>
              <w:rPr>
                <w:noProof/>
              </w:rPr>
              <w:t xml:space="preserve">8.1.5b A code block at the very end of a procedure, with only END; lines around it</w:t>
            </w:r>
          </w:hyperlink>
          <w:r>
            <w:rPr>
              <w:noProof/>
            </w:rPr>
            <w:tab/>
          </w:r>
          <w:hyperlink w:anchor="_Toc_cu_39">
            <w:r>
              <w:rPr>
                <w:noProof/>
              </w:rPr>
              <w:t>12</w:t>
            </w:r>
          </w:hyperlink>
        </w:p>
        <w:p>
          <w:pPr>
            <w:tabs>
              <w:tab w:val="right" w:leader="dot" w:pos="9360"/>
            </w:tabs>
            <w:spacing w:after="40"/>
            <w:ind w:left="720"/>
            <w:rPr>
              <w:noProof/>
            </w:rPr>
          </w:pPr>
          <w:hyperlink w:anchor="_Toc_cu_40">
            <w:r>
              <w:rPr>
                <w:noProof/>
              </w:rPr>
              <w:t xml:space="preserve">8.1.5c A code block that sits just outside a block of code, not inside it</w:t>
            </w:r>
          </w:hyperlink>
          <w:r>
            <w:rPr>
              <w:noProof/>
            </w:rPr>
            <w:tab/>
          </w:r>
          <w:hyperlink w:anchor="_Toc_cu_40">
            <w:r>
              <w:rPr>
                <w:noProof/>
              </w:rPr>
              <w:t>13</w:t>
            </w:r>
          </w:hyperlink>
        </w:p>
        <w:p>
          <w:pPr>
            <w:tabs>
              <w:tab w:val="right" w:leader="dot" w:pos="9360"/>
            </w:tabs>
            <w:spacing w:after="40"/>
            <w:ind w:left="720"/>
            <w:rPr>
              <w:noProof/>
            </w:rPr>
          </w:pPr>
          <w:hyperlink w:anchor="_Toc_cu_41">
            <w:r>
              <w:rPr>
                <w:noProof/>
              </w:rPr>
              <w:t xml:space="preserve">8.1.6 A caption or option change — CARRY (always take the customer value)</w:t>
            </w:r>
          </w:hyperlink>
          <w:r>
            <w:rPr>
              <w:noProof/>
            </w:rPr>
            <w:tab/>
          </w:r>
          <w:hyperlink w:anchor="_Toc_cu_41">
            <w:r>
              <w:rPr>
                <w:noProof/>
              </w:rPr>
              <w:t>13</w:t>
            </w:r>
          </w:hyperlink>
        </w:p>
        <w:p>
          <w:pPr>
            <w:tabs>
              <w:tab w:val="right" w:leader="dot" w:pos="9360"/>
            </w:tabs>
            <w:spacing w:after="40"/>
            <w:ind w:left="720"/>
            <w:rPr>
              <w:noProof/>
            </w:rPr>
          </w:pPr>
          <w:hyperlink w:anchor="_Toc_cu_42">
            <w:r>
              <w:rPr>
                <w:noProof/>
              </w:rPr>
              <w:t xml:space="preserve">8.1.7 A field with both a code change and an option change — both are carried</w:t>
            </w:r>
          </w:hyperlink>
          <w:r>
            <w:rPr>
              <w:noProof/>
            </w:rPr>
            <w:tab/>
          </w:r>
          <w:hyperlink w:anchor="_Toc_cu_42">
            <w:r>
              <w:rPr>
                <w:noProof/>
              </w:rPr>
              <w:t>13</w:t>
            </w:r>
          </w:hyperlink>
        </w:p>
        <w:p>
          <w:pPr>
            <w:tabs>
              <w:tab w:val="right" w:leader="dot" w:pos="9360"/>
            </w:tabs>
            <w:spacing w:after="40"/>
            <w:ind w:left="720"/>
            <w:rPr>
              <w:noProof/>
            </w:rPr>
          </w:pPr>
          <w:hyperlink w:anchor="_Toc_cu_43">
            <w:r>
              <w:rPr>
                <w:noProof/>
              </w:rPr>
              <w:t xml:space="preserve">8.1.8 Customer variable declarations — CARRY (keep rather than delete)</w:t>
            </w:r>
          </w:hyperlink>
          <w:r>
            <w:rPr>
              <w:noProof/>
            </w:rPr>
            <w:tab/>
          </w:r>
          <w:hyperlink w:anchor="_Toc_cu_43">
            <w:r>
              <w:rPr>
                <w:noProof/>
              </w:rPr>
              <w:t>13</w:t>
            </w:r>
          </w:hyperlink>
        </w:p>
        <w:p>
          <w:pPr>
            <w:tabs>
              <w:tab w:val="right" w:leader="dot" w:pos="9360"/>
            </w:tabs>
            <w:spacing w:after="40"/>
            <w:ind w:left="720"/>
            <w:rPr>
              <w:noProof/>
            </w:rPr>
          </w:pPr>
          <w:hyperlink w:anchor="_Toc_cu_44">
            <w:r>
              <w:rPr>
                <w:noProof/>
              </w:rPr>
              <w:t xml:space="preserve">8.1.9 A customer-extended option-string variable — CARRY</w:t>
            </w:r>
          </w:hyperlink>
          <w:r>
            <w:rPr>
              <w:noProof/>
            </w:rPr>
            <w:tab/>
          </w:r>
          <w:hyperlink w:anchor="_Toc_cu_44">
            <w:r>
              <w:rPr>
                <w:noProof/>
              </w:rPr>
              <w:t>14</w:t>
            </w:r>
          </w:hyperlink>
        </w:p>
        <w:p>
          <w:pPr>
            <w:tabs>
              <w:tab w:val="right" w:leader="dot" w:pos="9360"/>
            </w:tabs>
            <w:spacing w:after="40"/>
            <w:ind w:left="720"/>
            <w:rPr>
              <w:noProof/>
            </w:rPr>
          </w:pPr>
          <w:hyperlink w:anchor="_Toc_cu_45">
            <w:r>
              <w:rPr>
                <w:noProof/>
              </w:rPr>
              <w:t xml:space="preserve">8.1.10 Header and changelog bookkeeping (every automatic merge)</w:t>
            </w:r>
          </w:hyperlink>
          <w:r>
            <w:rPr>
              <w:noProof/>
            </w:rPr>
            <w:tab/>
          </w:r>
          <w:hyperlink w:anchor="_Toc_cu_45">
            <w:r>
              <w:rPr>
                <w:noProof/>
              </w:rPr>
              <w:t>14</w:t>
            </w:r>
          </w:hyperlink>
        </w:p>
        <w:p>
          <w:pPr>
            <w:tabs>
              <w:tab w:val="right" w:leader="dot" w:pos="9360"/>
            </w:tabs>
            <w:spacing w:after="40"/>
            <w:ind w:left="720"/>
            <w:rPr>
              <w:noProof/>
            </w:rPr>
          </w:pPr>
          <w:hyperlink w:anchor="_Toc_cu_46">
            <w:r>
              <w:rPr>
                <w:noProof/>
              </w:rPr>
              <w:t xml:space="preserve">8.1.11 Differences in tag spelling are standardised</w:t>
            </w:r>
          </w:hyperlink>
          <w:r>
            <w:rPr>
              <w:noProof/>
            </w:rPr>
            <w:tab/>
          </w:r>
          <w:hyperlink w:anchor="_Toc_cu_46">
            <w:r>
              <w:rPr>
                <w:noProof/>
              </w:rPr>
              <w:t>14</w:t>
            </w:r>
          </w:hyperlink>
        </w:p>
        <w:p>
          <w:pPr>
            <w:tabs>
              <w:tab w:val="right" w:leader="dot" w:pos="9360"/>
            </w:tabs>
            <w:spacing w:after="40"/>
            <w:ind w:left="360"/>
            <w:rPr>
              <w:noProof/>
            </w:rPr>
          </w:pPr>
          <w:hyperlink w:anchor="_Toc_cu_47">
            <w:r>
              <w:rPr>
                <w:noProof/>
              </w:rPr>
              <w:t xml:space="preserve">8.2 Codeunit</w:t>
            </w:r>
          </w:hyperlink>
          <w:r>
            <w:rPr>
              <w:noProof/>
            </w:rPr>
            <w:tab/>
          </w:r>
          <w:hyperlink w:anchor="_Toc_cu_47">
            <w:r>
              <w:rPr>
                <w:noProof/>
              </w:rPr>
              <w:t>14</w:t>
            </w:r>
          </w:hyperlink>
        </w:p>
        <w:p>
          <w:pPr>
            <w:tabs>
              <w:tab w:val="right" w:leader="dot" w:pos="9360"/>
            </w:tabs>
            <w:spacing w:after="40"/>
            <w:ind w:left="360"/>
            <w:rPr>
              <w:noProof/>
            </w:rPr>
          </w:pPr>
          <w:hyperlink w:anchor="_Toc_cu_48">
            <w:r>
              <w:rPr>
                <w:noProof/>
              </w:rPr>
              <w:t xml:space="preserve">8.3 Page</w:t>
            </w:r>
          </w:hyperlink>
          <w:r>
            <w:rPr>
              <w:noProof/>
            </w:rPr>
            <w:tab/>
          </w:r>
          <w:hyperlink w:anchor="_Toc_cu_48">
            <w:r>
              <w:rPr>
                <w:noProof/>
              </w:rPr>
              <w:t>15</w:t>
            </w:r>
          </w:hyperlink>
        </w:p>
        <w:p>
          <w:pPr>
            <w:tabs>
              <w:tab w:val="right" w:leader="dot" w:pos="9360"/>
            </w:tabs>
            <w:spacing w:after="40"/>
            <w:ind w:left="720"/>
            <w:rPr>
              <w:noProof/>
            </w:rPr>
          </w:pPr>
          <w:hyperlink w:anchor="_Toc_cu_49">
            <w:r>
              <w:rPr>
                <w:noProof/>
              </w:rPr>
              <w:t xml:space="preserve">8.3.1 A control added by the customer — CARRY (graft)</w:t>
            </w:r>
          </w:hyperlink>
          <w:r>
            <w:rPr>
              <w:noProof/>
            </w:rPr>
            <w:tab/>
          </w:r>
          <w:hyperlink w:anchor="_Toc_cu_49">
            <w:r>
              <w:rPr>
                <w:noProof/>
              </w:rPr>
              <w:t>15</w:t>
            </w:r>
          </w:hyperlink>
        </w:p>
        <w:p>
          <w:pPr>
            <w:tabs>
              <w:tab w:val="right" w:leader="dot" w:pos="9360"/>
            </w:tabs>
            <w:spacing w:after="40"/>
            <w:ind w:left="720"/>
            <w:rPr>
              <w:noProof/>
            </w:rPr>
          </w:pPr>
          <w:hyperlink w:anchor="_Toc_cu_50">
            <w:r>
              <w:rPr>
                <w:noProof/>
              </w:rPr>
              <w:t xml:space="preserve">8.3.2 A vendor caption rename — TAKE B (do not carry the outdated customer caption)</w:t>
            </w:r>
          </w:hyperlink>
          <w:r>
            <w:rPr>
              <w:noProof/>
            </w:rPr>
            <w:tab/>
          </w:r>
          <w:hyperlink w:anchor="_Toc_cu_50">
            <w:r>
              <w:rPr>
                <w:noProof/>
              </w:rPr>
              <w:t>15</w:t>
            </w:r>
          </w:hyperlink>
        </w:p>
        <w:p>
          <w:pPr>
            <w:tabs>
              <w:tab w:val="right" w:leader="dot" w:pos="9360"/>
            </w:tabs>
            <w:spacing w:after="40"/>
            <w:ind w:left="720"/>
            <w:rPr>
              <w:noProof/>
            </w:rPr>
          </w:pPr>
          <w:hyperlink w:anchor="_Toc_cu_51">
            <w:r>
              <w:rPr>
                <w:noProof/>
              </w:rPr>
              <w:t xml:space="preserve">8.3.3 A control present only in A, carrying only a vendor tag — MANUAL</w:t>
            </w:r>
          </w:hyperlink>
          <w:r>
            <w:rPr>
              <w:noProof/>
            </w:rPr>
            <w:tab/>
          </w:r>
          <w:hyperlink w:anchor="_Toc_cu_51">
            <w:r>
              <w:rPr>
                <w:noProof/>
              </w:rPr>
              <w:t>15</w:t>
            </w:r>
          </w:hyperlink>
        </w:p>
        <w:p>
          <w:pPr>
            <w:tabs>
              <w:tab w:val="right" w:leader="dot" w:pos="9360"/>
            </w:tabs>
            <w:spacing w:after="40"/>
            <w:ind w:left="720"/>
            <w:rPr>
              <w:noProof/>
            </w:rPr>
          </w:pPr>
          <w:hyperlink w:anchor="_Toc_cu_52">
            <w:r>
              <w:rPr>
                <w:noProof/>
              </w:rPr>
              <w:t xml:space="preserve">8.3.4 A customer change to a property on a shared control — MANUAL</w:t>
            </w:r>
          </w:hyperlink>
          <w:r>
            <w:rPr>
              <w:noProof/>
            </w:rPr>
            <w:tab/>
          </w:r>
          <w:hyperlink w:anchor="_Toc_cu_52">
            <w:r>
              <w:rPr>
                <w:noProof/>
              </w:rPr>
              <w:t>15</w:t>
            </w:r>
          </w:hyperlink>
        </w:p>
        <w:p>
          <w:pPr>
            <w:tabs>
              <w:tab w:val="right" w:leader="dot" w:pos="9360"/>
            </w:tabs>
            <w:spacing w:after="40"/>
            <w:ind w:left="720"/>
            <w:rPr>
              <w:noProof/>
            </w:rPr>
          </w:pPr>
          <w:hyperlink w:anchor="_Toc_cu_53">
            <w:r>
              <w:rPr>
                <w:noProof/>
              </w:rPr>
              <w:t xml:space="preserve">8.3.5 Caption capture on a page stops at the closing brace</w:t>
            </w:r>
          </w:hyperlink>
          <w:r>
            <w:rPr>
              <w:noProof/>
            </w:rPr>
            <w:tab/>
          </w:r>
          <w:hyperlink w:anchor="_Toc_cu_53">
            <w:r>
              <w:rPr>
                <w:noProof/>
              </w:rPr>
              <w:t>15</w:t>
            </w:r>
          </w:hyperlink>
        </w:p>
        <w:p>
          <w:pPr>
            <w:tabs>
              <w:tab w:val="right" w:leader="dot" w:pos="9360"/>
            </w:tabs>
            <w:spacing w:after="40"/>
            <w:ind w:left="360"/>
            <w:rPr>
              <w:noProof/>
            </w:rPr>
          </w:pPr>
          <w:hyperlink w:anchor="_Toc_cu_54">
            <w:r>
              <w:rPr>
                <w:noProof/>
              </w:rPr>
              <w:t xml:space="preserve">8.4 Report and XMLport</w:t>
            </w:r>
          </w:hyperlink>
          <w:r>
            <w:rPr>
              <w:noProof/>
            </w:rPr>
            <w:tab/>
          </w:r>
          <w:hyperlink w:anchor="_Toc_cu_54">
            <w:r>
              <w:rPr>
                <w:noProof/>
              </w:rPr>
              <w:t>16</w:t>
            </w:r>
          </w:hyperlink>
        </w:p>
        <w:p>
          <w:pPr>
            <w:tabs>
              <w:tab w:val="right" w:leader="dot" w:pos="9360"/>
            </w:tabs>
            <w:spacing w:after="40"/>
            <w:ind w:left="360"/>
            <w:rPr>
              <w:noProof/>
            </w:rPr>
          </w:pPr>
          <w:hyperlink w:anchor="_Toc_cu_55">
            <w:r>
              <w:rPr>
                <w:noProof/>
              </w:rPr>
              <w:t xml:space="preserve">8.5 Rules that apply to all object types</w:t>
            </w:r>
          </w:hyperlink>
          <w:r>
            <w:rPr>
              <w:noProof/>
            </w:rPr>
            <w:tab/>
          </w:r>
          <w:hyperlink w:anchor="_Toc_cu_55">
            <w:r>
              <w:rPr>
                <w:noProof/>
              </w:rPr>
              <w:t>16</w:t>
            </w:r>
          </w:hyperlink>
        </w:p>
        <w:p>
          <w:pPr>
            <w:tabs>
              <w:tab w:val="right" w:leader="dot" w:pos="9360"/>
            </w:tabs>
            <w:spacing w:after="40"/>
            <w:rPr>
              <w:noProof/>
            </w:rPr>
          </w:pPr>
          <w:hyperlink w:anchor="_Toc_cu_56">
            <w:r>
              <w:rPr>
                <w:noProof/>
              </w:rPr>
              <w:t xml:space="preserve">9. Quick reference</w:t>
            </w:r>
          </w:hyperlink>
          <w:r>
            <w:rPr>
              <w:noProof/>
            </w:rPr>
            <w:tab/>
          </w:r>
          <w:hyperlink w:anchor="_Toc_cu_56">
            <w:r>
              <w:rPr>
                <w:noProof/>
              </w:rPr>
              <w:t>16</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Where a merge is produced, it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spacing w:after="120"/>
      </w:pPr>
      <w:r>
        <w:t xml:space="preserve">A merge is not always required. When the vendor made no change to an object in this CU, the customer's object A is already correct and no C is produced — see "No CU change" in section 5.2.</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CUupdate_2.4.exe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CUupdate_2.4.exe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Prefixes needing digits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Optional. Comma-separated list of customer prefixes that should only be treated as a customer tag when followed by digits, for example </w:t>
            </w:r>
            <w:r>
              <w:rPr>
                <w:rFonts w:ascii="Consolas" w:cs="Consolas" w:eastAsia="Consolas" w:hAnsi="Consolas"/>
              </w:rPr>
              <w:t xml:space="preserve">AP</w:t>
            </w:r>
            <w:r>
              <w:t xml:space="preserve">. Leave blank if not needed. See section 4.5.</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CUupdate_2.4.exe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If this customer has a short prefix that needs trailing digits (for example </w:t>
      </w:r>
      <w:r>
        <w:rPr>
          <w:rFonts w:ascii="Consolas" w:cs="Consolas" w:eastAsia="Consolas" w:hAnsi="Consolas"/>
        </w:rPr>
        <w:t xml:space="preserve">AP</w:t>
      </w:r>
      <w:r>
        <w:t xml:space="preserve">), enter it in </w:t>
      </w:r>
      <w:r>
        <w:rPr>
          <w:b/>
          <w:bCs/>
        </w:rPr>
        <w:t xml:space="preserve">Prefixes needing digits</w:t>
      </w:r>
      <w:r>
        <w:t xml:space="preserve">. Otherwise leave it blank. See section 4.5.</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and classifies every difference, deciding for each object whether it needs no merge at all (the vendor changed nothing), can be merged automatically, or must go to manual review.</w:t>
      </w:r>
    </w:p>
    <w:p>
      <w:pPr>
        <w:pStyle w:val="ListParagraph"/>
        <w:numPr>
          <w:ilvl w:val="0"/>
          <w:numId w:val="5"/>
        </w:numPr>
        <w:spacing w:after="40"/>
      </w:pPr>
      <w:r>
        <w:t xml:space="preserve">For each object the vendor did not change, copies A across unchanged and moves the source files aside (see "No CU change" in section 5.2).</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K no CU change,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2"/>
      </w:pPr>
      <w:bookmarkStart w:id="9018" w:name="_Toc_cu_18"/>
      <w:r>
        <w:t xml:space="preserve">4.5 Prefixes that need trailing digits</w:t>
      </w:r>
      <w:bookmarkEnd w:id="9018"/>
    </w:p>
    <w:p>
      <w:pPr>
        <w:spacing w:after="120"/>
      </w:pPr>
      <w:r>
        <w:t xml:space="preserve">This optional field controls </w:t>
      </w:r>
      <w:r>
        <w:rPr>
          <w:b/>
          <w:bCs/>
        </w:rPr>
        <w:t xml:space="preserve">how a customer prefix is recognised in the body of an object</w:t>
      </w:r>
      <w:r>
        <w:t xml:space="preserve">, and works together with the automatic tags from section 4.4. It is a global setting for the job — an addendum to the version list. The version list still decides </w:t>
      </w:r>
      <w:r>
        <w:rPr>
          <w:i/>
          <w:iCs/>
        </w:rPr>
        <w:t xml:space="preserve">which</w:t>
      </w:r>
      <w:r>
        <w:t xml:space="preserve"> customer prefixes are in play; this field tells the tool </w:t>
      </w:r>
      <w:r>
        <w:rPr>
          <w:i/>
          <w:iCs/>
        </w:rPr>
        <w:t xml:space="preserve">what each one looks like</w:t>
      </w:r>
      <w:r>
        <w:t xml:space="preserve"> so it can be found wherever it appears.</w:t>
      </w:r>
    </w:p>
    <w:p>
      <w:pPr>
        <w:spacing w:after="120"/>
      </w:pPr>
      <w:r>
        <w:t xml:space="preserve">Most customer prefixes are safe to recognise on their own. </w:t>
      </w:r>
      <w:r>
        <w:rPr>
          <w:rFonts w:ascii="Consolas" w:cs="Consolas" w:eastAsia="Consolas" w:hAnsi="Consolas"/>
        </w:rPr>
        <w:t xml:space="preserve">WBL</w:t>
      </w:r>
      <w:r>
        <w:t xml:space="preserve">, for example, is a letter combination that never occurs inside an ordinary word, so the tool can treat any appearance of</w:t>
      </w:r>
    </w:p>
    <w:p>
      <w:pPr>
        <w:spacing w:after="120"/>
      </w:pPr>
      <w:r>
        <w:rPr>
          <w:rFonts w:ascii="Consolas" w:cs="Consolas" w:eastAsia="Consolas" w:hAnsi="Consolas"/>
        </w:rPr>
        <w:t xml:space="preserve">WBL</w:t>
      </w:r>
      <w:r>
        <w:t xml:space="preserve"> — in a procedure name such as </w:t>
      </w:r>
      <w:r>
        <w:rPr>
          <w:rFonts w:ascii="Consolas" w:cs="Consolas" w:eastAsia="Consolas" w:hAnsi="Consolas"/>
        </w:rPr>
        <w:t xml:space="preserve">Evaluate_WBL</w:t>
      </w:r>
      <w:r>
        <w:t xml:space="preserve">, in a comment, or as a tag — as customer-owned.</w:t>
      </w:r>
    </w:p>
    <w:p>
      <w:pPr>
        <w:spacing w:after="120"/>
      </w:pPr>
      <w:r>
        <w:t xml:space="preserve">A few prefixes are short enough that they </w:t>
      </w:r>
      <w:r>
        <w:rPr>
          <w:i/>
          <w:iCs/>
        </w:rPr>
        <w:t xml:space="preserve">would</w:t>
      </w:r>
      <w:r>
        <w:t xml:space="preserve"> appear inside ordinary words. </w:t>
      </w:r>
      <w:r>
        <w:rPr>
          <w:rFonts w:ascii="Consolas" w:cs="Consolas" w:eastAsia="Consolas" w:hAnsi="Consolas"/>
        </w:rPr>
        <w:t xml:space="preserve">AP</w:t>
      </w:r>
      <w:r>
        <w:t xml:space="preserve">, for instance, occurs inside </w:t>
      </w:r>
      <w:r>
        <w:rPr>
          <w:rFonts w:ascii="Consolas" w:cs="Consolas" w:eastAsia="Consolas" w:hAnsi="Consolas"/>
        </w:rPr>
        <w:t xml:space="preserve">Mapping</w:t>
      </w:r>
      <w:r>
        <w:t xml:space="preserve"> and </w:t>
      </w:r>
      <w:r>
        <w:rPr>
          <w:rFonts w:ascii="Consolas" w:cs="Consolas" w:eastAsia="Consolas" w:hAnsi="Consolas"/>
        </w:rPr>
        <w:t xml:space="preserve">Application</w:t>
      </w:r>
      <w:r>
        <w:t xml:space="preserve">. For these, enter the prefix in this field. The tool will then treat the prefix as a customer tag </w:t>
      </w:r>
      <w:r>
        <w:rPr>
          <w:b/>
          <w:bCs/>
        </w:rPr>
        <w:t xml:space="preserve">only when it is followed by digits</w:t>
      </w:r>
      <w:r>
        <w:t xml:space="preserve"> (for example</w:t>
      </w:r>
    </w:p>
    <w:p>
      <w:pPr>
        <w:spacing w:after="120"/>
      </w:pPr>
      <w:r>
        <w:rPr>
          <w:rFonts w:ascii="Consolas" w:cs="Consolas" w:eastAsia="Consolas" w:hAnsi="Consolas"/>
        </w:rPr>
        <w:t xml:space="preserve">AP001662</w:t>
      </w:r>
      <w:r>
        <w:t xml:space="preserve">, </w:t>
      </w:r>
      <w:r>
        <w:rPr>
          <w:rFonts w:ascii="Consolas" w:cs="Consolas" w:eastAsia="Consolas" w:hAnsi="Consolas"/>
        </w:rPr>
        <w:t xml:space="preserve">AP_001662</w:t>
      </w:r>
      <w:r>
        <w:t xml:space="preserve">), and never when it appears inside a word. List several prefixes separated by commas. Leave the field blank if no prefix needs this.</w:t>
      </w:r>
    </w:p>
    <w:p>
      <w:pPr>
        <w:spacing w:after="120"/>
      </w:pPr>
      <w:r>
        <w:t xml:space="preserve">This recognition is what allows an object whose only changes are customer-added code — for example a customer's own procedures appended to a codeunit — to be identified as needing no merge (section 5.2), even when that code carries no explicit tag comments.</w:t>
      </w:r>
    </w:p>
    <w:p>
      <w:pPr>
        <w:pStyle w:val="Heading1"/>
      </w:pPr>
      <w:bookmarkStart w:id="9019" w:name="_Toc_cu_19"/>
      <w:r>
        <w:t xml:space="preserve">5. Reading the results</w:t>
      </w:r>
      <w:bookmarkEnd w:id="9019"/>
    </w:p>
    <w:p>
      <w:pPr>
        <w:pStyle w:val="Heading2"/>
      </w:pPr>
      <w:bookmarkStart w:id="9020" w:name="_Toc_cu_20"/>
      <w:r>
        <w:t xml:space="preserve">5.1 Use Dry run first</w:t>
      </w:r>
      <w:bookmarkEnd w:id="9020"/>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need no merge, which will be merged automatically, and which will be left for manual review, before anything is changed. When the preview is satisfactory, remove the tick and run the merge.</w:t>
      </w:r>
    </w:p>
    <w:p>
      <w:pPr>
        <w:pStyle w:val="Heading2"/>
      </w:pPr>
      <w:bookmarkStart w:id="9021" w:name="_Toc_cu_21"/>
      <w:r>
        <w:t xml:space="preserve">5.2 Where the files go after a merge</w:t>
      </w:r>
      <w:bookmarkEnd w:id="902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No CU change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vendor made no change to the object in this CU, so no merge is needed. The A file is copied </w:t>
            </w:r>
            <w:r>
              <w:rPr>
                <w:b/>
                <w:bCs/>
              </w:rPr>
              <w:t xml:space="preserve">unchanged</w:t>
            </w:r>
            <w:r>
              <w:t xml:space="preserve"> (no stamp, no edit) to </w:t>
            </w:r>
            <w:r>
              <w:rPr>
                <w:rFonts w:ascii="Consolas" w:cs="Consolas" w:eastAsia="Consolas" w:hAnsi="Consolas"/>
              </w:rPr>
              <w:t xml:space="preserve">&lt;job&gt;\NoCuChangesDetected\&lt;Type&gt;\</w:t>
            </w:r>
            <w:r>
              <w:t xml:space="preserve">. The two source files are moved out of the worklist to </w:t>
            </w:r>
            <w:r>
              <w:rPr>
                <w:rFonts w:ascii="Consolas" w:cs="Consolas" w:eastAsia="Consolas" w:hAnsi="Consolas"/>
              </w:rPr>
              <w:t xml:space="preserve">&lt;job&gt;\AnoCuChange\&lt;Type&gt;\</w:t>
            </w:r>
            <w:r>
              <w:t xml:space="preserve"> and </w:t>
            </w:r>
            <w:r>
              <w:rPr>
                <w:rFonts w:ascii="Consolas" w:cs="Consolas" w:eastAsia="Consolas" w:hAnsi="Consolas"/>
              </w:rPr>
              <w:t xml:space="preserve">&lt;job&gt;\BnoCuChange\&lt;Type&gt;\</w:t>
            </w:r>
            <w:r>
              <w:t xml:space="preserve">, each renamed with an </w:t>
            </w:r>
            <w:r>
              <w:rPr>
                <w:rFonts w:ascii="Consolas" w:cs="Consolas" w:eastAsia="Consolas" w:hAnsi="Consolas"/>
              </w:rPr>
              <w:t xml:space="preserve">Unchanged_</w:t>
            </w:r>
            <w:r>
              <w:t xml:space="preserve"> prefix.</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 or that needed no merge because the vendor did not touch it — has been moved aside.</w:t>
      </w:r>
    </w:p>
    <w:p>
      <w:pPr>
        <w:spacing w:after="120"/>
      </w:pPr>
      <w:r>
        <w:rPr>
          <w:b/>
          <w:bCs/>
        </w:rPr>
        <w:t xml:space="preserve">About "No CU change".</w:t>
      </w:r>
      <w:r>
        <w:t xml:space="preserve"> Not every object needs merging. When the vendor ships a CU, many objects are unchanged from the version the customer originally customised; for those, the customer's object is already correct and there is nothing to carry forward. The tool recognises this by checking whether </w:t>
      </w:r>
      <w:r>
        <w:rPr>
          <w:b/>
          <w:bCs/>
        </w:rPr>
        <w:t xml:space="preserve">every</w:t>
      </w:r>
      <w:r>
        <w:t xml:space="preserve"> difference between A and B is explained by the customer's own tags and markers (a tagged</w:t>
      </w:r>
    </w:p>
    <w:p>
      <w:pPr>
        <w:spacing w:after="120"/>
      </w:pPr>
      <w:r>
        <w:rPr>
          <w:rFonts w:ascii="Consolas" w:cs="Consolas" w:eastAsia="Consolas" w:hAnsi="Consolas"/>
        </w:rPr>
        <w:t xml:space="preserve">Start..Stop</w:t>
      </w:r>
      <w:r>
        <w:t xml:space="preserve"> block, a </w:t>
      </w:r>
      <w:r>
        <w:rPr>
          <w:rFonts w:ascii="Consolas" w:cs="Consolas" w:eastAsia="Consolas" w:hAnsi="Consolas"/>
        </w:rPr>
        <w:t xml:space="preserve">//</w:t>
      </w:r>
      <w:r>
        <w:t xml:space="preserve">-tagged line, or a customer-added variable). If so — and only if so — it treats the object as "no CU change" and copies A across untouched, saving the manual check that would otherwise confirm "nothing to do". If </w:t>
      </w:r>
      <w:r>
        <w:rPr>
          <w:b/>
          <w:bCs/>
        </w:rPr>
        <w:t xml:space="preserve">any</w:t>
      </w:r>
      <w:r>
        <w:t xml:space="preserve"> difference cannot be explained as a customer change, the tool assumes the vendor changed something and sends the object down the normal merge path instead, so this can never cause a real vendor change to be skipped.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2" w:name="_Toc_cu_22"/>
      <w:r>
        <w:t xml:space="preserve">5.3 The manual-review report</w:t>
      </w:r>
      <w:bookmarkEnd w:id="9022"/>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3" w:name="_Toc_cu_23"/>
      <w:r>
        <w:t xml:space="preserve">5.4 What the report tells you about the customer tags</w:t>
      </w:r>
      <w:bookmarkEnd w:id="9023"/>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whether a customer </w:t>
      </w:r>
      <w:r>
        <w:rPr>
          <w:b/>
          <w:bCs/>
        </w:rPr>
        <w:t xml:space="preserve">code block</w:t>
      </w:r>
      <w:r>
        <w:t xml:space="preserve"> is recognised during a merge, and also whether an object is recognised as needing </w:t>
      </w:r>
      <w:r>
        <w:rPr>
          <w:b/>
          <w:bCs/>
        </w:rPr>
        <w:t xml:space="preserve">no merge</w:t>
      </w:r>
      <w:r>
        <w:t xml:space="preserve"> at all (section 5.2 — that test attributes each difference to the customer's tags and markers); caption, option, field and changelog carries do not depend on them. The report records the tags used so that the run is documented and auditable.</w:t>
      </w:r>
    </w:p>
    <w:p>
      <w:pPr>
        <w:pStyle w:val="Heading1"/>
      </w:pPr>
      <w:bookmarkStart w:id="9024" w:name="_Toc_cu_24"/>
      <w:r>
        <w:t xml:space="preserve">6. After the merge</w:t>
      </w:r>
      <w:bookmarkEnd w:id="9024"/>
    </w:p>
    <w:p>
      <w:pPr>
        <w:pStyle w:val="Heading2"/>
      </w:pPr>
      <w:bookmarkStart w:id="9025" w:name="_Toc_cu_25"/>
      <w:r>
        <w:t xml:space="preserve">6.1 The automatically merged objects</w:t>
      </w:r>
      <w:bookmarkEnd w:id="9025"/>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6" w:name="_Toc_cu_26"/>
      <w:r>
        <w:t xml:space="preserve">6.2 The manual objects</w:t>
      </w:r>
      <w:bookmarkEnd w:id="9026"/>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7" w:name="_Toc_cu_27"/>
      <w:r>
        <w:t xml:space="preserve">6.3 Join the objects by type</w:t>
      </w:r>
      <w:bookmarkEnd w:id="9027"/>
    </w:p>
    <w:p>
      <w:pPr>
        <w:spacing w:after="120"/>
      </w:pPr>
      <w:r>
        <w:t xml:space="preserve">Combine the merged objects — both the automatically merged objects and those merged by hand — by object type, into the import files normally produced.</w:t>
      </w:r>
    </w:p>
    <w:p>
      <w:pPr>
        <w:pStyle w:val="Heading2"/>
      </w:pPr>
      <w:bookmarkStart w:id="9028" w:name="_Toc_cu_28"/>
      <w:r>
        <w:t xml:space="preserve">6.4 Re-apply the language layer, then compile</w:t>
      </w:r>
      <w:bookmarkEnd w:id="9028"/>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9" w:name="_Toc_cu_29"/>
      <w:r>
        <w:t xml:space="preserve">7. Inside the application</w:t>
      </w:r>
      <w:bookmarkEnd w:id="9029"/>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CUupdate_2.4.exe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CUupdate_2.4.exe</w:t>
      </w:r>
      <w:r>
        <w:t xml:space="preserve"> file. End users are given the finished application and do not build it themselves.</w:t>
      </w:r>
    </w:p>
    <w:p>
      <w:pPr>
        <w:pStyle w:val="Heading1"/>
      </w:pPr>
      <w:bookmarkStart w:id="9030" w:name="_Toc_cu_30"/>
      <w:r>
        <w:t xml:space="preserve">8. Rules Index by object type</w:t>
      </w:r>
      <w:bookmarkEnd w:id="9030"/>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1" w:name="_Toc_cu_31"/>
      <w:r>
        <w:t xml:space="preserve">8.0 Object-type dispatch (all object types)</w:t>
      </w:r>
      <w:bookmarkEnd w:id="9031"/>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(placing each block at its correct nesting depth — including blocks at the tail of a procedure bracketed only by </w:t>
            </w:r>
            <w:r>
              <w:rPr>
                <w:rFonts w:ascii="Consolas" w:cs="Consolas" w:eastAsia="Consolas" w:hAnsi="Consolas"/>
              </w:rPr>
              <w:t xml:space="preserve">END;</w:t>
            </w:r>
            <w:r>
              <w:t xml:space="preserve"> lines, and blocks whose surrounding code changed depth between versions),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spacing w:after="120"/>
      </w:pPr>
      <w:r>
        <w:t xml:space="preserve">Before any per-type rule runs, the tool also applies the </w:t>
      </w:r>
      <w:r>
        <w:rPr>
          <w:b/>
          <w:bCs/>
        </w:rPr>
        <w:t xml:space="preserve">no-CU-change</w:t>
      </w:r>
      <w:r>
        <w:t xml:space="preserve"> check (section 5.2): for any type, if every difference between A and B is attributable to the customer's own tags and markers, the vendor changed nothing and the object is set aside as "no CU change" rather than merged. This is a short-circuit, not a per-type rule — it changes none of the rules below; it only decides that they need not run for that object.</w:t>
      </w:r>
    </w:p>
    <w:p>
      <w:pPr>
        <w:pStyle w:val="Heading2"/>
      </w:pPr>
      <w:bookmarkStart w:id="9032" w:name="_Toc_cu_32"/>
      <w:r>
        <w:t xml:space="preserve">8.1 Table</w:t>
      </w:r>
      <w:bookmarkEnd w:id="9032"/>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3" w:name="_Toc_cu_33"/>
      <w:r>
        <w:t xml:space="preserve">8.1.1 Customer field added to a vendor table — CARRY (field graft)</w:t>
      </w:r>
      <w:bookmarkEnd w:id="9033"/>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4" w:name="_Toc_cu_34"/>
      <w:r>
        <w:t xml:space="preserve">8.1.2 A whole customer procedure added to a vendor table — CARRY (procedure graft)</w:t>
      </w:r>
      <w:bookmarkEnd w:id="9034"/>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5" w:name="_Toc_cu_35"/>
      <w:r>
        <w:t xml:space="preserve">8.1.3 A changelog entry takes priority over a misleading vendor tag — CARRY</w:t>
      </w:r>
      <w:bookmarkEnd w:id="9035"/>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6" w:name="_Toc_cu_36"/>
      <w:r>
        <w:t xml:space="preserve">8.1.4 A whole field, present only in A, with no tag and no changelog entry — MANUAL</w:t>
      </w:r>
      <w:bookmarkEnd w:id="9036"/>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7" w:name="_Toc_cu_37"/>
      <w:r>
        <w:t xml:space="preserve">8.1.5 A customer code block inside a changed shared field or trigger — the scorer decides</w:t>
      </w:r>
      <w:bookmarkEnd w:id="9037"/>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8" w:name="_Toc_cu_38"/>
      <w:r>
        <w:t xml:space="preserve">8.1.5a A carried code block lands in its own procedure, even when the anchor text repeats</w:t>
      </w:r>
      <w:bookmarkEnd w:id="9038"/>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9" w:name="_Toc_cu_39"/>
      <w:r>
        <w:t xml:space="preserve">8.1.5b A code block at the very end of a procedure, with only END; lines around it</w:t>
      </w:r>
      <w:bookmarkEnd w:id="9039"/>
    </w:p>
    <w:p>
      <w:pPr>
        <w:spacing w:after="120"/>
      </w:pPr>
      <w:r>
        <w:t xml:space="preserve">A customer block sometimes sits as the </w:t>
      </w:r>
      <w:r>
        <w:rPr>
          <w:b/>
          <w:bCs/>
        </w:rPr>
        <w:t xml:space="preserve">last statement of a procedure</w:t>
      </w:r>
      <w:r>
        <w:t xml:space="preserve">, with nothing below it but the </w:t>
      </w:r>
      <w:r>
        <w:rPr>
          <w:rFonts w:ascii="Consolas" w:cs="Consolas" w:eastAsia="Consolas" w:hAnsi="Consolas"/>
        </w:rPr>
        <w:t xml:space="preserve">END;</w:t>
      </w:r>
      <w:r>
        <w:t xml:space="preserve"> lines that close the procedure. These </w:t>
      </w:r>
      <w:r>
        <w:rPr>
          <w:rFonts w:ascii="Consolas" w:cs="Consolas" w:eastAsia="Consolas" w:hAnsi="Consolas"/>
        </w:rPr>
        <w:t xml:space="preserve">END;</w:t>
      </w:r>
      <w:r>
        <w:t xml:space="preserve"> lines are not distinctive — every block in the object ends with them — so they cannot be used as a landmark to position the block. Without a distinctive line below it, an earlier version of the tool could not work out where the block belonged and sent the object to manual review, even though the placement was obvious to a developer reading it.</w:t>
      </w:r>
    </w:p>
    <w:p>
      <w:pPr>
        <w:spacing w:after="120"/>
      </w:pPr>
      <w:r>
        <w:t xml:space="preserve">The tool now positions such a block by its </w:t>
      </w:r>
      <w:r>
        <w:rPr>
          <w:b/>
          <w:bCs/>
        </w:rPr>
        <w:t xml:space="preserve">structure</w:t>
      </w:r>
      <w:r>
        <w:t xml:space="preserve"> rather than by matching a line of text: it counts how many </w:t>
      </w:r>
      <w:r>
        <w:rPr>
          <w:rFonts w:ascii="Consolas" w:cs="Consolas" w:eastAsia="Consolas" w:hAnsi="Consolas"/>
        </w:rPr>
        <w:t xml:space="preserve">END;</w:t>
      </w:r>
      <w:r>
        <w:t xml:space="preserve"> lines sit between the block and the line above it in the customer's object, then steps past the same number of </w:t>
      </w:r>
      <w:r>
        <w:rPr>
          <w:rFonts w:ascii="Consolas" w:cs="Consolas" w:eastAsia="Consolas" w:hAnsi="Consolas"/>
        </w:rPr>
        <w:t xml:space="preserve">END;</w:t>
      </w:r>
      <w:r>
        <w:t xml:space="preserve"> lines in the vendor's object to find the matching spot. Because the object compiles, its </w:t>
      </w:r>
      <w:r>
        <w:rPr>
          <w:rFonts w:ascii="Consolas" w:cs="Consolas" w:eastAsia="Consolas" w:hAnsi="Consolas"/>
        </w:rPr>
        <w:t xml:space="preserve">END;</w:t>
      </w:r>
      <w:r>
        <w:t xml:space="preserve"> nesting is balanced, so this count carries across reliably — and it does </w:t>
      </w:r>
      <w:r>
        <w:rPr>
          <w:b/>
          <w:bCs/>
        </w:rPr>
        <w:t xml:space="preserve">not</w:t>
      </w:r>
      <w:r>
        <w:t xml:space="preserve"> depend on how the code is indented, which can vary between developers. The block is placed after the correct </w:t>
      </w:r>
      <w:r>
        <w:rPr>
          <w:rFonts w:ascii="Consolas" w:cs="Consolas" w:eastAsia="Consolas" w:hAnsi="Consolas"/>
        </w:rPr>
        <w:t xml:space="preserve">END;</w:t>
      </w:r>
      <w:r>
        <w:t xml:space="preserve">, with its blank-line spacing kept tidy (a blank line is not doubled up where the vendor's code already has one).</w:t>
      </w:r>
    </w:p>
    <w:p>
      <w:pPr>
        <w:pStyle w:val="ListParagraph"/>
        <w:numPr>
          <w:ilvl w:val="0"/>
          <w:numId w:val="2"/>
        </w:numPr>
        <w:spacing w:after="40"/>
      </w:pPr>
      <w:r>
        <w:rPr>
          <w:i/>
          <w:iCs/>
        </w:rPr>
        <w:t xml:space="preserve">Validated on Codeunit 231 (Gen. Jnl.-Post):</w:t>
      </w:r>
      <w:r>
        <w:t xml:space="preserve"> the customer's Direct Credit customisation includes a </w:t>
      </w:r>
      <w:r>
        <w:rPr>
          <w:rFonts w:ascii="Consolas" w:cs="Consolas" w:eastAsia="Consolas" w:hAnsi="Consolas"/>
        </w:rPr>
        <w:t xml:space="preserve">// Start DC5.00</w:t>
      </w:r>
      <w:r>
        <w:t xml:space="preserve"> block that is the last statement in the </w:t>
      </w:r>
      <w:r>
        <w:rPr>
          <w:rFonts w:ascii="Consolas" w:cs="Consolas" w:eastAsia="Consolas" w:hAnsi="Consolas"/>
        </w:rPr>
        <w:t xml:space="preserve">Code</w:t>
      </w:r>
      <w:r>
        <w:t xml:space="preserve"> procedure, sitting just before the procedure's closing </w:t>
      </w:r>
      <w:r>
        <w:rPr>
          <w:rFonts w:ascii="Consolas" w:cs="Consolas" w:eastAsia="Consolas" w:hAnsi="Consolas"/>
        </w:rPr>
        <w:t xml:space="preserve">END;</w:t>
      </w:r>
      <w:r>
        <w:t xml:space="preserve">. It is now carried into the correct position automatically, exactly matching the hand-merged result. (An earlier version sent the whole object to manual review.)</w:t>
      </w:r>
    </w:p>
    <w:p>
      <w:pPr>
        <w:pStyle w:val="Heading3"/>
      </w:pPr>
      <w:bookmarkStart w:id="9040" w:name="_Toc_cu_40"/>
      <w:r>
        <w:t xml:space="preserve">8.1.5c A code block that sits just outside a block of code, not inside it</w:t>
      </w:r>
      <w:bookmarkEnd w:id="9040"/>
    </w:p>
    <w:p>
      <w:pPr>
        <w:spacing w:after="120"/>
      </w:pPr>
      <w:r>
        <w:t xml:space="preserve">The line a customer block is positioned against is sometimes </w:t>
      </w:r>
      <w:r>
        <w:rPr>
          <w:b/>
          <w:bCs/>
        </w:rPr>
        <w:t xml:space="preserve">inside</w:t>
      </w:r>
      <w:r>
        <w:t xml:space="preserve"> a deeper block of code — an</w:t>
      </w:r>
    </w:p>
    <w:p>
      <w:pPr>
        <w:spacing w:after="120"/>
      </w:pPr>
      <w:r>
        <w:rPr>
          <w:rFonts w:ascii="Consolas" w:cs="Consolas" w:eastAsia="Consolas" w:hAnsi="Consolas"/>
        </w:rPr>
        <w:t xml:space="preserve">IF ... THEN BEGIN ... END</w:t>
      </w:r>
      <w:r>
        <w:t xml:space="preserve">, a </w:t>
      </w:r>
      <w:r>
        <w:rPr>
          <w:rFonts w:ascii="Consolas" w:cs="Consolas" w:eastAsia="Consolas" w:hAnsi="Consolas"/>
        </w:rPr>
        <w:t xml:space="preserve">CASE</w:t>
      </w:r>
      <w:r>
        <w:t xml:space="preserve">, and so on — while the customer's block itself belongs </w:t>
      </w:r>
      <w:r>
        <w:rPr>
          <w:b/>
          <w:bCs/>
        </w:rPr>
        <w:t xml:space="preserve">outside</w:t>
      </w:r>
      <w:r>
        <w:t xml:space="preserve"> that block. The landmark line and the block are at different nesting depths. Reading only the nearest line of text, an earlier version of the tool could place the block immediately after that landmark, which dropped it </w:t>
      </w:r>
      <w:r>
        <w:rPr>
          <w:i/>
          <w:iCs/>
        </w:rPr>
        <w:t xml:space="preserve">inside</w:t>
      </w:r>
      <w:r>
        <w:t xml:space="preserve"> the deeper block. That changes behaviour: code that should run on every pass would instead run only when the inner block runs.</w:t>
      </w:r>
    </w:p>
    <w:p>
      <w:pPr>
        <w:spacing w:after="120"/>
      </w:pPr>
      <w:r>
        <w:t xml:space="preserve">The tool now checks the </w:t>
      </w:r>
      <w:r>
        <w:rPr>
          <w:b/>
          <w:bCs/>
        </w:rPr>
        <w:t xml:space="preserve">nesting depth</w:t>
      </w:r>
      <w:r>
        <w:t xml:space="preserve"> the block occupies in the customer's object and makes sure the position it chooses in the vendor's object sits at the same depth. If the chosen landmark is deeper, the tool steps forward past the closing lines (</w:t>
      </w:r>
      <w:r>
        <w:rPr>
          <w:rFonts w:ascii="Consolas" w:cs="Consolas" w:eastAsia="Consolas" w:hAnsi="Consolas"/>
        </w:rPr>
        <w:t xml:space="preserve">END;</w:t>
      </w:r>
      <w:r>
        <w:t xml:space="preserve">, </w:t>
      </w:r>
      <w:r>
        <w:rPr>
          <w:rFonts w:ascii="Consolas" w:cs="Consolas" w:eastAsia="Consolas" w:hAnsi="Consolas"/>
        </w:rPr>
        <w:t xml:space="preserve">UNTIL</w:t>
      </w:r>
      <w:r>
        <w:t xml:space="preserve">, the end of a </w:t>
      </w:r>
      <w:r>
        <w:rPr>
          <w:rFonts w:ascii="Consolas" w:cs="Consolas" w:eastAsia="Consolas" w:hAnsi="Consolas"/>
        </w:rPr>
        <w:t xml:space="preserve">CASE</w:t>
      </w:r>
      <w:r>
        <w:t xml:space="preserve">) until the depth matches, and places the block there — outside the deeper block, where the customer wrote it. Depth is read from the code's own </w:t>
      </w:r>
      <w:r>
        <w:rPr>
          <w:rFonts w:ascii="Consolas" w:cs="Consolas" w:eastAsia="Consolas" w:hAnsi="Consolas"/>
        </w:rPr>
        <w:t xml:space="preserve">BEGIN</w:t>
      </w:r>
      <w:r>
        <w:t xml:space="preserve">/</w:t>
      </w:r>
      <w:r>
        <w:rPr>
          <w:rFonts w:ascii="Consolas" w:cs="Consolas" w:eastAsia="Consolas" w:hAnsi="Consolas"/>
        </w:rPr>
        <w:t xml:space="preserve">END</w:t>
      </w:r>
      <w:r>
        <w:t xml:space="preserve">/</w:t>
      </w:r>
      <w:r>
        <w:rPr>
          <w:rFonts w:ascii="Consolas" w:cs="Consolas" w:eastAsia="Consolas" w:hAnsi="Consolas"/>
        </w:rPr>
        <w:t xml:space="preserve">CASE</w:t>
      </w:r>
      <w:r>
        <w:t xml:space="preserve"> structure, ignoring anything inside comments or text strings, and it does not depend on indentation. When the landmark is already at the block's own depth, nothing is changed.</w:t>
      </w:r>
    </w:p>
    <w:p>
      <w:pPr>
        <w:pStyle w:val="ListParagraph"/>
        <w:numPr>
          <w:ilvl w:val="0"/>
          <w:numId w:val="2"/>
        </w:numPr>
        <w:spacing w:after="40"/>
      </w:pPr>
      <w:r>
        <w:rPr>
          <w:i/>
          <w:iCs/>
        </w:rPr>
        <w:t xml:space="preserve">Validated on Codeunit 232 (Gen. Jnl.-Post+Print):</w:t>
      </w:r>
      <w:r>
        <w:t xml:space="preserve"> the customer's </w:t>
      </w:r>
      <w:r>
        <w:rPr>
          <w:rFonts w:ascii="Consolas" w:cs="Consolas" w:eastAsia="Consolas" w:hAnsi="Consolas"/>
        </w:rPr>
        <w:t xml:space="preserve">// Start DC5.00</w:t>
      </w:r>
      <w:r>
        <w:t xml:space="preserve"> block assigning </w:t>
      </w:r>
      <w:r>
        <w:rPr>
          <w:rFonts w:ascii="Consolas" w:cs="Consolas" w:eastAsia="Consolas" w:hAnsi="Consolas"/>
        </w:rPr>
        <w:t xml:space="preserve">DCRegNoG := "Line No.";</w:t>
      </w:r>
      <w:r>
        <w:t xml:space="preserve"> sits just after a posting-report </w:t>
      </w:r>
      <w:r>
        <w:rPr>
          <w:rFonts w:ascii="Consolas" w:cs="Consolas" w:eastAsia="Consolas" w:hAnsi="Consolas"/>
        </w:rPr>
        <w:t xml:space="preserve">IF ... THEN BEGIN ... END</w:t>
      </w:r>
      <w:r>
        <w:t xml:space="preserve"> block, at the outer level. The nearest landmark line above it is the </w:t>
      </w:r>
      <w:r>
        <w:rPr>
          <w:rFonts w:ascii="Consolas" w:cs="Consolas" w:eastAsia="Consolas" w:hAnsi="Consolas"/>
        </w:rPr>
        <w:t xml:space="preserve">REPORT.RUN(...)</w:t>
      </w:r>
      <w:r>
        <w:t xml:space="preserve"> call </w:t>
      </w:r>
      <w:r>
        <w:rPr>
          <w:i/>
          <w:iCs/>
        </w:rPr>
        <w:t xml:space="preserve">inside</w:t>
      </w:r>
      <w:r>
        <w:t xml:space="preserve"> that block, two levels deeper. The tool now steps back out to the outer level and places the block there, exactly matching the hand-merged result. (An earlier version placed it inside the posting-report block.)</w:t>
      </w:r>
    </w:p>
    <w:p>
      <w:pPr>
        <w:pStyle w:val="Heading3"/>
      </w:pPr>
      <w:bookmarkStart w:id="9041" w:name="_Toc_cu_41"/>
      <w:r>
        <w:t xml:space="preserve">8.1.6 A caption or option change — CARRY (always take the customer value)</w:t>
      </w:r>
      <w:bookmarkEnd w:id="9041"/>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42" w:name="_Toc_cu_42"/>
      <w:r>
        <w:t xml:space="preserve">8.1.7 A field with both a code change and an option change — both are carried</w:t>
      </w:r>
      <w:bookmarkEnd w:id="9042"/>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3" w:name="_Toc_cu_43"/>
      <w:r>
        <w:t xml:space="preserve">8.1.8 Customer variable declarations — CARRY (keep rather than delete)</w:t>
      </w:r>
      <w:bookmarkEnd w:id="9043"/>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4" w:name="_Toc_cu_44"/>
      <w:r>
        <w:t xml:space="preserve">8.1.9 A customer-extended option-string variable — CARRY</w:t>
      </w:r>
      <w:bookmarkEnd w:id="9044"/>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5" w:name="_Toc_cu_45"/>
      <w:r>
        <w:t xml:space="preserve">8.1.10 Header and changelog bookkeeping (every automatic merge)</w:t>
      </w:r>
      <w:bookmarkEnd w:id="9045"/>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6" w:name="_Toc_cu_46"/>
      <w:r>
        <w:t xml:space="preserve">8.1.11 Differences in tag spelling are standardised</w:t>
      </w:r>
      <w:bookmarkEnd w:id="9046"/>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7" w:name="_Toc_cu_47"/>
      <w:r>
        <w:t xml:space="preserve">8.2 Codeunit</w:t>
      </w:r>
      <w:bookmarkEnd w:id="9047"/>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8" w:name="_Toc_cu_48"/>
      <w:r>
        <w:t xml:space="preserve">8.3 Page</w:t>
      </w:r>
      <w:bookmarkEnd w:id="9048"/>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9" w:name="_Toc_cu_49"/>
      <w:r>
        <w:t xml:space="preserve">8.3.1 A control added by the customer — CARRY (graft)</w:t>
      </w:r>
      <w:bookmarkEnd w:id="9049"/>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50" w:name="_Toc_cu_50"/>
      <w:r>
        <w:t xml:space="preserve">8.3.2 A vendor caption rename — TAKE B (do not carry the outdated customer caption)</w:t>
      </w:r>
      <w:bookmarkEnd w:id="9050"/>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51" w:name="_Toc_cu_51"/>
      <w:r>
        <w:t xml:space="preserve">8.3.3 A control present only in A, carrying only a vendor tag — MANUAL</w:t>
      </w:r>
      <w:bookmarkEnd w:id="9051"/>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52" w:name="_Toc_cu_52"/>
      <w:r>
        <w:t xml:space="preserve">8.3.4 A customer change to a property on a shared control — MANUAL</w:t>
      </w:r>
      <w:bookmarkEnd w:id="9052"/>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3" w:name="_Toc_cu_53"/>
      <w:r>
        <w:t xml:space="preserve">8.3.5 Caption capture on a page stops at the closing brace</w:t>
      </w:r>
      <w:bookmarkEnd w:id="9053"/>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4" w:name="_Toc_cu_54"/>
      <w:r>
        <w:t xml:space="preserve">8.4 Report and XMLport</w:t>
      </w:r>
      <w:bookmarkEnd w:id="9054"/>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5" w:name="_Toc_cu_55"/>
      <w:r>
        <w:t xml:space="preserve">8.5 Rules that apply to all object types</w:t>
      </w:r>
      <w:bookmarkEnd w:id="9055"/>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6" w:name="_Toc_cu_56"/>
      <w:r>
        <w:t xml:space="preserve">9. Quick reference</w:t>
      </w:r>
      <w:bookmarkEnd w:id="9056"/>
    </w:p>
    <w:p>
      <w:pPr>
        <w:spacing w:after="120"/>
      </w:pPr>
      <w:r>
        <w:rPr>
          <w:b/>
          <w:bCs/>
        </w:rPr>
        <w:t xml:space="preserve">To run a job:</w:t>
      </w:r>
      <w:r>
        <w:t xml:space="preserve"> double-click </w:t>
      </w:r>
      <w:r>
        <w:rPr>
          <w:rFonts w:ascii="Consolas" w:cs="Consolas" w:eastAsia="Consolas" w:hAnsi="Consolas"/>
        </w:rPr>
        <w:t xml:space="preserve">CUupdate_2.4.exe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the </w:t>
      </w:r>
      <w:r>
        <w:rPr>
          <w:rFonts w:ascii="Consolas" w:cs="Consolas" w:eastAsia="Consolas" w:hAnsi="Consolas"/>
        </w:rPr>
        <w:t xml:space="preserve">NoCuChangesDetected\</w:t>
      </w:r>
      <w:r>
        <w:t xml:space="preserve"> folder holds objects the vendor did not change (A copied across unchanged); whatever remains in</w:t>
      </w:r>
    </w:p>
    <w:p>
      <w:pPr>
        <w:spacing w:after="120"/>
      </w:pPr>
      <w:r>
        <w:rPr>
          <w:rFonts w:ascii="Consolas" w:cs="Consolas" w:eastAsia="Consolas" w:hAnsi="Consolas"/>
        </w:rPr>
        <w:t xml:space="preserve">A\</w:t>
      </w:r>
      <w:r>
        <w:t xml:space="preserve"> and </w:t>
      </w: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2026-06-12T22:57:01.545Z</dcterms:created>
  <dcterms:modified xsi:type="dcterms:W3CDTF">2026-06-12T22:57:01.557Z</dcterms:modified>
</cp:coreProperties>
</file>

<file path=docProps/custom.xml><?xml version="1.0" encoding="utf-8"?>
<Properties xmlns="http://schemas.openxmlformats.org/officeDocument/2006/custom-properties" xmlns:vt="http://schemas.openxmlformats.org/officeDocument/2006/docPropsVTypes"/>
</file>