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03A2DE" w14:textId="77777777" w:rsidR="003A40F4" w:rsidRPr="00CE38FB" w:rsidRDefault="00000000">
      <w:pPr>
        <w:jc w:val="center"/>
        <w:rPr>
          <w:rFonts w:ascii="Georgia" w:hAnsi="Georgia" w:cs="Calibri"/>
        </w:rPr>
      </w:pPr>
      <w:r w:rsidRPr="00CE38FB">
        <w:rPr>
          <w:rFonts w:ascii="Georgia" w:hAnsi="Georgia" w:cs="Calibri"/>
          <w:b/>
          <w:bCs/>
          <w:sz w:val="40"/>
          <w:szCs w:val="40"/>
        </w:rPr>
        <w:t>MicrobeRelay.com</w:t>
      </w:r>
    </w:p>
    <w:p w14:paraId="688BE454" w14:textId="77777777" w:rsidR="003A40F4" w:rsidRPr="00CE38FB" w:rsidRDefault="00000000">
      <w:pPr>
        <w:spacing w:after="60"/>
        <w:jc w:val="center"/>
        <w:rPr>
          <w:rFonts w:ascii="Georgia" w:hAnsi="Georgia" w:cs="Calibri"/>
        </w:rPr>
      </w:pPr>
      <w:r w:rsidRPr="00CE38FB">
        <w:rPr>
          <w:rFonts w:ascii="Georgia" w:hAnsi="Georgia" w:cs="Calibri"/>
          <w:sz w:val="28"/>
          <w:szCs w:val="28"/>
        </w:rPr>
        <w:t>Teacher's Guide</w:t>
      </w:r>
    </w:p>
    <w:p w14:paraId="59C367DF" w14:textId="2D9E61C7" w:rsidR="003A40F4" w:rsidRPr="00CE38FB" w:rsidRDefault="000F4474">
      <w:pPr>
        <w:spacing w:after="200"/>
        <w:jc w:val="center"/>
        <w:rPr>
          <w:rFonts w:ascii="Georgia" w:hAnsi="Georgia" w:cs="Calibri"/>
        </w:rPr>
      </w:pPr>
      <w:r w:rsidRPr="00CE38FB">
        <w:rPr>
          <w:rFonts w:ascii="Georgia" w:hAnsi="Georgia" w:cs="Calibri"/>
          <w:color w:val="555555"/>
          <w:sz w:val="20"/>
          <w:szCs w:val="20"/>
        </w:rPr>
        <w:t xml:space="preserve">Developed by the </w:t>
      </w:r>
      <w:r w:rsidR="00000000" w:rsidRPr="00CE38FB">
        <w:rPr>
          <w:rFonts w:ascii="Georgia" w:hAnsi="Georgia" w:cs="Calibri"/>
          <w:color w:val="555555"/>
          <w:sz w:val="20"/>
          <w:szCs w:val="20"/>
        </w:rPr>
        <w:t>Sun Lab</w:t>
      </w:r>
      <w:r w:rsidRPr="00CE38FB">
        <w:rPr>
          <w:rFonts w:ascii="Georgia" w:hAnsi="Georgia" w:cs="Calibri"/>
          <w:color w:val="555555"/>
          <w:sz w:val="20"/>
          <w:szCs w:val="20"/>
        </w:rPr>
        <w:t xml:space="preserve"> at the</w:t>
      </w:r>
      <w:r w:rsidR="00000000" w:rsidRPr="00CE38FB">
        <w:rPr>
          <w:rFonts w:ascii="Georgia" w:hAnsi="Georgia" w:cs="Calibri"/>
          <w:color w:val="555555"/>
          <w:sz w:val="20"/>
          <w:szCs w:val="20"/>
        </w:rPr>
        <w:t xml:space="preserve"> University of Pennsylvania</w:t>
      </w:r>
    </w:p>
    <w:p w14:paraId="3874AB6E" w14:textId="77777777" w:rsidR="003A40F4" w:rsidRPr="00CE38FB" w:rsidRDefault="00000000">
      <w:pPr>
        <w:spacing w:after="80"/>
        <w:rPr>
          <w:rFonts w:ascii="Georgia" w:hAnsi="Georgia" w:cs="Calibri"/>
        </w:rPr>
      </w:pPr>
      <w:r w:rsidRPr="00CE38FB">
        <w:rPr>
          <w:rFonts w:ascii="Georgia" w:hAnsi="Georgia" w:cs="Calibri"/>
          <w:b/>
          <w:bCs/>
          <w:sz w:val="24"/>
          <w:szCs w:val="24"/>
        </w:rPr>
        <w:t>Overview</w:t>
      </w:r>
    </w:p>
    <w:p w14:paraId="6EE1777F" w14:textId="5CC84F8A" w:rsidR="003A40F4" w:rsidRPr="00CE38FB" w:rsidRDefault="000F4474">
      <w:pPr>
        <w:spacing w:after="160"/>
        <w:rPr>
          <w:rFonts w:ascii="Georgia" w:hAnsi="Georgia" w:cs="Calibri"/>
          <w:sz w:val="20"/>
          <w:szCs w:val="20"/>
        </w:rPr>
      </w:pPr>
      <w:r w:rsidRPr="00CE38FB">
        <w:rPr>
          <w:rFonts w:ascii="Georgia" w:hAnsi="Georgia" w:cs="Calibri"/>
          <w:sz w:val="20"/>
          <w:szCs w:val="20"/>
        </w:rPr>
        <w:t xml:space="preserve">This interactive simulation walks students through denitrification in ocean dead zones. Students </w:t>
      </w:r>
      <w:r w:rsidRPr="00CE38FB">
        <w:rPr>
          <w:rFonts w:ascii="Georgia" w:hAnsi="Georgia" w:cs="Calibri"/>
          <w:sz w:val="20"/>
          <w:szCs w:val="20"/>
        </w:rPr>
        <w:t>change</w:t>
      </w:r>
      <w:r w:rsidRPr="00CE38FB">
        <w:rPr>
          <w:rFonts w:ascii="Georgia" w:hAnsi="Georgia" w:cs="Calibri"/>
          <w:sz w:val="20"/>
          <w:szCs w:val="20"/>
        </w:rPr>
        <w:t xml:space="preserve"> organic matter levels and </w:t>
      </w:r>
      <w:r w:rsidRPr="00CE38FB">
        <w:rPr>
          <w:rFonts w:ascii="Georgia" w:hAnsi="Georgia" w:cs="Calibri"/>
          <w:sz w:val="20"/>
          <w:szCs w:val="20"/>
        </w:rPr>
        <w:t>record</w:t>
      </w:r>
      <w:r w:rsidRPr="00CE38FB">
        <w:rPr>
          <w:rFonts w:ascii="Georgia" w:hAnsi="Georgia" w:cs="Calibri"/>
          <w:sz w:val="20"/>
          <w:szCs w:val="20"/>
        </w:rPr>
        <w:t xml:space="preserve"> how food availability determines which microbes thrive and what gases get released. It brings together concepts from the nitrogen cycle, aquatic pollution, and greenhouse gas emissions.</w:t>
      </w:r>
    </w:p>
    <w:p w14:paraId="34882EB4" w14:textId="77777777" w:rsidR="00CE38FB" w:rsidRPr="00CE38FB" w:rsidRDefault="00CE38FB">
      <w:pPr>
        <w:spacing w:after="160"/>
        <w:rPr>
          <w:rFonts w:ascii="Georgia" w:hAnsi="Georgia" w:cs="Calibri"/>
        </w:rPr>
      </w:pPr>
    </w:p>
    <w:tbl>
      <w:tblPr>
        <w:tblW w:w="49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93"/>
      </w:tblGrid>
      <w:tr w:rsidR="003A40F4" w:rsidRPr="00CE38FB" w14:paraId="7B86F2E6" w14:textId="77777777" w:rsidTr="000F4474">
        <w:tblPrEx>
          <w:tblCellMar>
            <w:top w:w="0" w:type="dxa"/>
            <w:bottom w:w="0" w:type="dxa"/>
          </w:tblCellMar>
        </w:tblPrEx>
        <w:trPr>
          <w:trHeight w:val="870"/>
        </w:trPr>
        <w:tc>
          <w:tcPr>
            <w:tcW w:w="10693" w:type="dxa"/>
            <w:tcBorders>
              <w:top w:val="single" w:sz="1" w:space="0" w:color="666666"/>
              <w:left w:val="single" w:sz="12" w:space="0" w:color="4472C4"/>
              <w:bottom w:val="single" w:sz="1" w:space="0" w:color="666666"/>
              <w:right w:val="single" w:sz="1" w:space="0" w:color="666666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2297D" w14:textId="5B6A2412" w:rsidR="003A40F4" w:rsidRPr="00CE38FB" w:rsidRDefault="000F4474">
            <w:pPr>
              <w:spacing w:after="40"/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b/>
                <w:bCs/>
              </w:rPr>
              <w:t>Main Idea</w:t>
            </w:r>
          </w:p>
          <w:p w14:paraId="7FEE7EE4" w14:textId="77777777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sz w:val="20"/>
                <w:szCs w:val="20"/>
              </w:rPr>
              <w:t>The amount of organic matter in the ocean determines which microbes thrive—and whether the ocean releases a potent greenhouse gas or harmless nitrogen.</w:t>
            </w:r>
          </w:p>
        </w:tc>
      </w:tr>
    </w:tbl>
    <w:p w14:paraId="03216E59" w14:textId="77777777" w:rsidR="003A40F4" w:rsidRPr="00CE38FB" w:rsidRDefault="003A40F4">
      <w:pPr>
        <w:spacing w:after="200"/>
        <w:rPr>
          <w:rFonts w:ascii="Georgia" w:hAnsi="Georgia" w:cs="Calibr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9"/>
        <w:gridCol w:w="5399"/>
      </w:tblGrid>
      <w:tr w:rsidR="003A40F4" w:rsidRPr="00CE38FB" w14:paraId="6FAA1E4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30B7F" w14:textId="0011398B" w:rsidR="003A40F4" w:rsidRPr="00CE38FB" w:rsidRDefault="000F4474">
            <w:pPr>
              <w:spacing w:after="80"/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b/>
                <w:bCs/>
              </w:rPr>
              <w:t>Information</w:t>
            </w:r>
          </w:p>
          <w:p w14:paraId="082CE5B4" w14:textId="77777777" w:rsidR="003A40F4" w:rsidRPr="00CE38FB" w:rsidRDefault="00000000">
            <w:pPr>
              <w:spacing w:after="40"/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b/>
                <w:bCs/>
                <w:sz w:val="20"/>
                <w:szCs w:val="20"/>
              </w:rPr>
              <w:t xml:space="preserve">Time: </w:t>
            </w:r>
            <w:r w:rsidRPr="00CE38FB">
              <w:rPr>
                <w:rFonts w:ascii="Georgia" w:hAnsi="Georgia" w:cs="Calibri"/>
                <w:sz w:val="20"/>
                <w:szCs w:val="20"/>
              </w:rPr>
              <w:t>~40 minutes</w:t>
            </w:r>
          </w:p>
          <w:p w14:paraId="3D74D759" w14:textId="47B57822" w:rsidR="003A40F4" w:rsidRPr="00CE38FB" w:rsidRDefault="00000000">
            <w:pPr>
              <w:spacing w:after="40"/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b/>
                <w:bCs/>
                <w:sz w:val="20"/>
                <w:szCs w:val="20"/>
              </w:rPr>
              <w:t xml:space="preserve">Materials: </w:t>
            </w:r>
            <w:r w:rsidRPr="00CE38FB">
              <w:rPr>
                <w:rFonts w:ascii="Georgia" w:hAnsi="Georgia" w:cs="Calibri"/>
                <w:sz w:val="20"/>
                <w:szCs w:val="20"/>
              </w:rPr>
              <w:t>Device with internet</w:t>
            </w:r>
            <w:r w:rsidR="000F4474" w:rsidRPr="00CE38FB">
              <w:rPr>
                <w:rFonts w:ascii="Georgia" w:hAnsi="Georgia" w:cs="Calibri"/>
                <w:sz w:val="20"/>
                <w:szCs w:val="20"/>
              </w:rPr>
              <w:t xml:space="preserve"> and the </w:t>
            </w:r>
            <w:r w:rsidRPr="00CE38FB">
              <w:rPr>
                <w:rFonts w:ascii="Georgia" w:hAnsi="Georgia" w:cs="Calibri"/>
                <w:sz w:val="20"/>
                <w:szCs w:val="20"/>
              </w:rPr>
              <w:t>worksheet</w:t>
            </w:r>
          </w:p>
          <w:p w14:paraId="46764A92" w14:textId="659BE5E2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b/>
                <w:bCs/>
                <w:sz w:val="20"/>
                <w:szCs w:val="20"/>
              </w:rPr>
              <w:t xml:space="preserve">Prerequisites: </w:t>
            </w:r>
            <w:r w:rsidRPr="00CE38FB">
              <w:rPr>
                <w:rFonts w:ascii="Georgia" w:hAnsi="Georgia" w:cs="Calibri"/>
                <w:sz w:val="20"/>
                <w:szCs w:val="20"/>
              </w:rPr>
              <w:t xml:space="preserve">Basic </w:t>
            </w:r>
            <w:r w:rsidR="000F4474" w:rsidRPr="00CE38FB">
              <w:rPr>
                <w:rFonts w:ascii="Georgia" w:hAnsi="Georgia" w:cs="Calibri"/>
                <w:sz w:val="20"/>
                <w:szCs w:val="20"/>
              </w:rPr>
              <w:t xml:space="preserve">familiarity with the </w:t>
            </w:r>
            <w:r w:rsidRPr="00CE38FB">
              <w:rPr>
                <w:rFonts w:ascii="Georgia" w:hAnsi="Georgia" w:cs="Calibri"/>
                <w:sz w:val="20"/>
                <w:szCs w:val="20"/>
              </w:rPr>
              <w:t>nitrogen cycle</w:t>
            </w:r>
          </w:p>
        </w:tc>
        <w:tc>
          <w:tcPr>
            <w:tcW w:w="5400" w:type="dxa"/>
            <w:tcBorders>
              <w:top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7A9B1" w14:textId="77777777" w:rsidR="003A40F4" w:rsidRPr="00CE38FB" w:rsidRDefault="00000000">
            <w:pPr>
              <w:spacing w:after="80"/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b/>
                <w:bCs/>
              </w:rPr>
              <w:t>Learning Objectives</w:t>
            </w:r>
          </w:p>
          <w:p w14:paraId="7DD5BF4B" w14:textId="77777777" w:rsidR="003A40F4" w:rsidRPr="00CE38FB" w:rsidRDefault="00000000">
            <w:pPr>
              <w:spacing w:after="40"/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sz w:val="20"/>
                <w:szCs w:val="20"/>
              </w:rPr>
              <w:t>•  Describe the steps of denitrification</w:t>
            </w:r>
          </w:p>
          <w:p w14:paraId="0C1891D7" w14:textId="77777777" w:rsidR="003A40F4" w:rsidRPr="00CE38FB" w:rsidRDefault="00000000">
            <w:pPr>
              <w:spacing w:after="40"/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sz w:val="20"/>
                <w:szCs w:val="20"/>
              </w:rPr>
              <w:t>•  Explain how organic matter affects microbial pathways</w:t>
            </w:r>
          </w:p>
          <w:p w14:paraId="259FA6AB" w14:textId="77777777" w:rsidR="003A40F4" w:rsidRPr="00CE38FB" w:rsidRDefault="00000000">
            <w:pPr>
              <w:spacing w:after="40"/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sz w:val="20"/>
                <w:szCs w:val="20"/>
              </w:rPr>
              <w:t>•  Predict when N₂O accumulates vs. converts to N₂</w:t>
            </w:r>
          </w:p>
          <w:p w14:paraId="78C9C57C" w14:textId="77777777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sz w:val="20"/>
                <w:szCs w:val="20"/>
              </w:rPr>
              <w:t>•  Connect human activities to ocean greenhouse gases</w:t>
            </w:r>
          </w:p>
        </w:tc>
      </w:tr>
    </w:tbl>
    <w:p w14:paraId="6C5984B4" w14:textId="77777777" w:rsidR="003A40F4" w:rsidRPr="00CE38FB" w:rsidRDefault="003A40F4">
      <w:pPr>
        <w:spacing w:after="200"/>
        <w:rPr>
          <w:rFonts w:ascii="Georgia" w:hAnsi="Georgia" w:cs="Calibri"/>
        </w:rPr>
      </w:pPr>
    </w:p>
    <w:p w14:paraId="4144DCA9" w14:textId="51C83BB6" w:rsidR="003A40F4" w:rsidRPr="00CE38FB" w:rsidRDefault="00000000">
      <w:pPr>
        <w:spacing w:after="100"/>
        <w:rPr>
          <w:rFonts w:ascii="Georgia" w:hAnsi="Georgia" w:cs="Calibri"/>
        </w:rPr>
      </w:pPr>
      <w:r w:rsidRPr="00CE38FB">
        <w:rPr>
          <w:rFonts w:ascii="Georgia" w:hAnsi="Georgia" w:cs="Calibri"/>
          <w:b/>
          <w:bCs/>
          <w:sz w:val="24"/>
          <w:szCs w:val="24"/>
        </w:rPr>
        <w:t>AP</w:t>
      </w:r>
      <w:r w:rsidR="000F4474" w:rsidRPr="00CE38FB">
        <w:rPr>
          <w:rFonts w:ascii="Georgia" w:hAnsi="Georgia" w:cs="Calibri"/>
          <w:b/>
          <w:bCs/>
          <w:sz w:val="24"/>
          <w:szCs w:val="24"/>
        </w:rPr>
        <w:t xml:space="preserve"> Environmental Science</w:t>
      </w:r>
      <w:r w:rsidRPr="00CE38FB">
        <w:rPr>
          <w:rFonts w:ascii="Georgia" w:hAnsi="Georgia" w:cs="Calibri"/>
          <w:b/>
          <w:bCs/>
          <w:sz w:val="24"/>
          <w:szCs w:val="24"/>
        </w:rPr>
        <w:t xml:space="preserve"> Curriculum Alignment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99"/>
        <w:gridCol w:w="5399"/>
      </w:tblGrid>
      <w:tr w:rsidR="003A40F4" w:rsidRPr="00CE38FB" w14:paraId="0D809E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20F32" w14:textId="77777777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B5CC" w14:textId="77777777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43BA2" w14:textId="77777777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b/>
                <w:bCs/>
                <w:sz w:val="20"/>
                <w:szCs w:val="20"/>
              </w:rPr>
              <w:t>Connection</w:t>
            </w:r>
          </w:p>
        </w:tc>
      </w:tr>
      <w:tr w:rsidR="003A40F4" w:rsidRPr="00CE38FB" w14:paraId="6DC13F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1513D" w14:textId="77777777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sz w:val="20"/>
                <w:szCs w:val="20"/>
              </w:rPr>
              <w:t>Unit 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5C17" w14:textId="77777777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sz w:val="20"/>
                <w:szCs w:val="20"/>
              </w:rPr>
              <w:t>1.5 The Nitrogen Cycle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AA68" w14:textId="77777777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sz w:val="20"/>
                <w:szCs w:val="20"/>
              </w:rPr>
              <w:t>Denitrification steps and microbial roles</w:t>
            </w:r>
          </w:p>
        </w:tc>
      </w:tr>
      <w:tr w:rsidR="003A40F4" w:rsidRPr="00CE38FB" w14:paraId="272886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2FA40" w14:textId="77777777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sz w:val="20"/>
                <w:szCs w:val="20"/>
              </w:rPr>
              <w:t>Unit 8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73F58" w14:textId="77777777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sz w:val="20"/>
                <w:szCs w:val="20"/>
              </w:rPr>
              <w:t>8.2 Human Impacts on Ecosystems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5E17F" w14:textId="77777777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sz w:val="20"/>
                <w:szCs w:val="20"/>
              </w:rPr>
              <w:t>Dead zones and low-oxygen environments</w:t>
            </w:r>
          </w:p>
        </w:tc>
      </w:tr>
      <w:tr w:rsidR="003A40F4" w:rsidRPr="00CE38FB" w14:paraId="3EA0BD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8D8E9" w14:textId="77777777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sz w:val="20"/>
                <w:szCs w:val="20"/>
              </w:rPr>
              <w:t>Unit 8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4506" w14:textId="77777777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sz w:val="20"/>
                <w:szCs w:val="20"/>
              </w:rPr>
              <w:t>8.5 Eutrophication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E3F9" w14:textId="77777777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sz w:val="20"/>
                <w:szCs w:val="20"/>
              </w:rPr>
              <w:t>Organic matter from runoff affects microbial communities</w:t>
            </w:r>
          </w:p>
        </w:tc>
      </w:tr>
      <w:tr w:rsidR="003A40F4" w:rsidRPr="00CE38FB" w14:paraId="289D41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D0123" w14:textId="77777777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sz w:val="20"/>
                <w:szCs w:val="20"/>
              </w:rPr>
              <w:t>Unit 9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17C00" w14:textId="77777777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sz w:val="20"/>
                <w:szCs w:val="20"/>
              </w:rPr>
              <w:t>9.3–9.4 Greenhouse Gases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CF22" w14:textId="0B61227E" w:rsidR="003A40F4" w:rsidRPr="00CE38FB" w:rsidRDefault="00000000">
            <w:pPr>
              <w:rPr>
                <w:rFonts w:ascii="Georgia" w:hAnsi="Georgia" w:cs="Calibri"/>
              </w:rPr>
            </w:pPr>
            <w:r w:rsidRPr="00CE38FB">
              <w:rPr>
                <w:rFonts w:ascii="Georgia" w:hAnsi="Georgia" w:cs="Calibri"/>
                <w:sz w:val="20"/>
                <w:szCs w:val="20"/>
              </w:rPr>
              <w:t>N₂O as a potent greenhouse gas (300</w:t>
            </w:r>
            <w:r w:rsidR="000F4474" w:rsidRPr="00CE38FB">
              <w:rPr>
                <w:rFonts w:ascii="Georgia" w:hAnsi="Georgia" w:cs="Calibri"/>
                <w:sz w:val="20"/>
                <w:szCs w:val="20"/>
              </w:rPr>
              <w:t xml:space="preserve"> times </w:t>
            </w:r>
            <w:r w:rsidRPr="00CE38FB">
              <w:rPr>
                <w:rFonts w:ascii="Georgia" w:hAnsi="Georgia" w:cs="Calibri"/>
                <w:sz w:val="20"/>
                <w:szCs w:val="20"/>
              </w:rPr>
              <w:t>CO₂)</w:t>
            </w:r>
          </w:p>
        </w:tc>
      </w:tr>
    </w:tbl>
    <w:p w14:paraId="33F868E3" w14:textId="77777777" w:rsidR="003A40F4" w:rsidRPr="00CE38FB" w:rsidRDefault="003A40F4">
      <w:pPr>
        <w:spacing w:after="120"/>
        <w:rPr>
          <w:rFonts w:ascii="Georgia" w:hAnsi="Georgia" w:cs="Calibri"/>
        </w:rPr>
      </w:pPr>
    </w:p>
    <w:p w14:paraId="5BDCA33B" w14:textId="69D269D0" w:rsidR="003A40F4" w:rsidRPr="00CE38FB" w:rsidRDefault="000F4474">
      <w:pPr>
        <w:spacing w:after="60"/>
        <w:rPr>
          <w:rFonts w:ascii="Georgia" w:hAnsi="Georgia" w:cs="Calibri"/>
        </w:rPr>
      </w:pPr>
      <w:r w:rsidRPr="00CE38FB">
        <w:rPr>
          <w:rFonts w:ascii="Georgia" w:hAnsi="Georgia" w:cs="Calibri"/>
          <w:sz w:val="20"/>
          <w:szCs w:val="20"/>
        </w:rPr>
        <w:t>This activity w</w:t>
      </w:r>
      <w:r w:rsidR="00000000" w:rsidRPr="00CE38FB">
        <w:rPr>
          <w:rFonts w:ascii="Georgia" w:hAnsi="Georgia" w:cs="Calibri"/>
          <w:sz w:val="20"/>
          <w:szCs w:val="20"/>
        </w:rPr>
        <w:t>orks well after introducing the nitrogen cycle (Unit 1), during pollution and dead zones (Unit 8), or when covering greenhouse gases (Unit 9).</w:t>
      </w:r>
    </w:p>
    <w:p w14:paraId="3A6EF550" w14:textId="77777777" w:rsidR="003A40F4" w:rsidRPr="00CE38FB" w:rsidRDefault="003A40F4">
      <w:pPr>
        <w:spacing w:after="160"/>
        <w:rPr>
          <w:rFonts w:ascii="Georgia" w:hAnsi="Georgia" w:cs="Calibri"/>
        </w:rPr>
      </w:pPr>
    </w:p>
    <w:p w14:paraId="4DC5C099" w14:textId="77777777" w:rsidR="003A40F4" w:rsidRPr="00CE38FB" w:rsidRDefault="00000000">
      <w:pPr>
        <w:spacing w:after="100"/>
        <w:rPr>
          <w:rFonts w:ascii="Georgia" w:hAnsi="Georgia" w:cs="Calibri"/>
        </w:rPr>
      </w:pPr>
      <w:r w:rsidRPr="00CE38FB">
        <w:rPr>
          <w:rFonts w:ascii="Georgia" w:hAnsi="Georgia" w:cs="Calibri"/>
          <w:b/>
          <w:bCs/>
          <w:sz w:val="24"/>
          <w:szCs w:val="24"/>
        </w:rPr>
        <w:t>How to Use</w:t>
      </w:r>
    </w:p>
    <w:p w14:paraId="367A92D0" w14:textId="77777777" w:rsidR="003A40F4" w:rsidRPr="00CE38FB" w:rsidRDefault="00000000">
      <w:pPr>
        <w:spacing w:after="50"/>
        <w:rPr>
          <w:rFonts w:ascii="Georgia" w:hAnsi="Georgia" w:cs="Calibri"/>
        </w:rPr>
      </w:pPr>
      <w:r w:rsidRPr="00CE38FB">
        <w:rPr>
          <w:rFonts w:ascii="Georgia" w:hAnsi="Georgia" w:cs="Calibri"/>
          <w:b/>
          <w:bCs/>
          <w:sz w:val="20"/>
          <w:szCs w:val="20"/>
        </w:rPr>
        <w:t>1.</w:t>
      </w:r>
      <w:r w:rsidRPr="00CE38FB">
        <w:rPr>
          <w:rFonts w:ascii="Georgia" w:hAnsi="Georgia" w:cs="Calibri"/>
          <w:sz w:val="20"/>
          <w:szCs w:val="20"/>
        </w:rPr>
        <w:t xml:space="preserve">  Distribute the worksheet (one per student).</w:t>
      </w:r>
    </w:p>
    <w:p w14:paraId="175EF840" w14:textId="36340E66" w:rsidR="003A40F4" w:rsidRPr="00CE38FB" w:rsidRDefault="00000000">
      <w:pPr>
        <w:spacing w:after="50"/>
        <w:rPr>
          <w:rFonts w:ascii="Georgia" w:hAnsi="Georgia" w:cs="Calibri"/>
        </w:rPr>
      </w:pPr>
      <w:r w:rsidRPr="00CE38FB">
        <w:rPr>
          <w:rFonts w:ascii="Georgia" w:hAnsi="Georgia" w:cs="Calibri"/>
          <w:b/>
          <w:bCs/>
          <w:sz w:val="20"/>
          <w:szCs w:val="20"/>
        </w:rPr>
        <w:t>2.</w:t>
      </w:r>
      <w:r w:rsidRPr="00CE38FB">
        <w:rPr>
          <w:rFonts w:ascii="Georgia" w:hAnsi="Georgia" w:cs="Calibri"/>
          <w:sz w:val="20"/>
          <w:szCs w:val="20"/>
        </w:rPr>
        <w:t xml:space="preserve">  Students go to </w:t>
      </w:r>
      <w:r w:rsidRPr="00CE38FB">
        <w:rPr>
          <w:rFonts w:ascii="Georgia" w:hAnsi="Georgia" w:cs="Calibri"/>
          <w:b/>
          <w:bCs/>
          <w:sz w:val="20"/>
          <w:szCs w:val="20"/>
        </w:rPr>
        <w:t>MicrobeRelay.com</w:t>
      </w:r>
      <w:r w:rsidRPr="00CE38FB">
        <w:rPr>
          <w:rFonts w:ascii="Georgia" w:hAnsi="Georgia" w:cs="Calibri"/>
          <w:sz w:val="20"/>
          <w:szCs w:val="20"/>
        </w:rPr>
        <w:t xml:space="preserve"> and work through the site</w:t>
      </w:r>
      <w:r w:rsidR="000F4474" w:rsidRPr="00CE38FB">
        <w:rPr>
          <w:rFonts w:ascii="Georgia" w:hAnsi="Georgia" w:cs="Calibri"/>
          <w:sz w:val="20"/>
          <w:szCs w:val="20"/>
        </w:rPr>
        <w:t xml:space="preserve"> alongside the worksheet</w:t>
      </w:r>
      <w:r w:rsidRPr="00CE38FB">
        <w:rPr>
          <w:rFonts w:ascii="Georgia" w:hAnsi="Georgia" w:cs="Calibri"/>
          <w:sz w:val="20"/>
          <w:szCs w:val="20"/>
        </w:rPr>
        <w:t>.</w:t>
      </w:r>
    </w:p>
    <w:p w14:paraId="31667C0D" w14:textId="297CCB4B" w:rsidR="003A40F4" w:rsidRPr="00CE38FB" w:rsidRDefault="00000000">
      <w:pPr>
        <w:spacing w:after="50"/>
        <w:rPr>
          <w:rFonts w:ascii="Georgia" w:hAnsi="Georgia" w:cs="Calibri"/>
        </w:rPr>
      </w:pPr>
      <w:r w:rsidRPr="00CE38FB">
        <w:rPr>
          <w:rFonts w:ascii="Georgia" w:hAnsi="Georgia" w:cs="Calibri"/>
          <w:b/>
          <w:bCs/>
          <w:sz w:val="20"/>
          <w:szCs w:val="20"/>
        </w:rPr>
        <w:t>3.</w:t>
      </w:r>
      <w:r w:rsidRPr="00CE38FB">
        <w:rPr>
          <w:rFonts w:ascii="Georgia" w:hAnsi="Georgia" w:cs="Calibri"/>
          <w:sz w:val="20"/>
          <w:szCs w:val="20"/>
        </w:rPr>
        <w:t xml:space="preserve">  The website teaches the content</w:t>
      </w:r>
      <w:r w:rsidR="000F4474" w:rsidRPr="00CE38FB">
        <w:rPr>
          <w:rFonts w:ascii="Georgia" w:hAnsi="Georgia" w:cs="Calibri"/>
          <w:sz w:val="20"/>
          <w:szCs w:val="20"/>
        </w:rPr>
        <w:t xml:space="preserve"> and </w:t>
      </w:r>
      <w:r w:rsidRPr="00CE38FB">
        <w:rPr>
          <w:rFonts w:ascii="Georgia" w:hAnsi="Georgia" w:cs="Calibri"/>
          <w:sz w:val="20"/>
          <w:szCs w:val="20"/>
        </w:rPr>
        <w:t>no lectur</w:t>
      </w:r>
      <w:r w:rsidR="000F4474" w:rsidRPr="00CE38FB">
        <w:rPr>
          <w:rFonts w:ascii="Georgia" w:hAnsi="Georgia" w:cs="Calibri"/>
          <w:sz w:val="20"/>
          <w:szCs w:val="20"/>
        </w:rPr>
        <w:t>ing is needed</w:t>
      </w:r>
      <w:r w:rsidRPr="00CE38FB">
        <w:rPr>
          <w:rFonts w:ascii="Georgia" w:hAnsi="Georgia" w:cs="Calibri"/>
          <w:sz w:val="20"/>
          <w:szCs w:val="20"/>
        </w:rPr>
        <w:t>.</w:t>
      </w:r>
    </w:p>
    <w:p w14:paraId="16853499" w14:textId="40EF681B" w:rsidR="00CE38FB" w:rsidRPr="00CE38FB" w:rsidRDefault="00000000">
      <w:pPr>
        <w:spacing w:after="50"/>
        <w:rPr>
          <w:rFonts w:ascii="Georgia" w:hAnsi="Georgia" w:cs="Calibri"/>
          <w:sz w:val="20"/>
          <w:szCs w:val="20"/>
        </w:rPr>
      </w:pPr>
      <w:r w:rsidRPr="00CE38FB">
        <w:rPr>
          <w:rFonts w:ascii="Georgia" w:hAnsi="Georgia" w:cs="Calibri"/>
          <w:b/>
          <w:bCs/>
          <w:sz w:val="20"/>
          <w:szCs w:val="20"/>
        </w:rPr>
        <w:t>4.</w:t>
      </w:r>
      <w:r w:rsidRPr="00CE38FB">
        <w:rPr>
          <w:rFonts w:ascii="Georgia" w:hAnsi="Georgia" w:cs="Calibri"/>
          <w:sz w:val="20"/>
          <w:szCs w:val="20"/>
        </w:rPr>
        <w:t xml:space="preserve">  Students complete the worksheet as they </w:t>
      </w:r>
      <w:r w:rsidR="000F4474" w:rsidRPr="00CE38FB">
        <w:rPr>
          <w:rFonts w:ascii="Georgia" w:hAnsi="Georgia" w:cs="Calibri"/>
          <w:sz w:val="20"/>
          <w:szCs w:val="20"/>
        </w:rPr>
        <w:t>navigate the website</w:t>
      </w:r>
      <w:r w:rsidRPr="00CE38FB">
        <w:rPr>
          <w:rFonts w:ascii="Georgia" w:hAnsi="Georgia" w:cs="Calibri"/>
          <w:sz w:val="20"/>
          <w:szCs w:val="20"/>
        </w:rPr>
        <w:t>.</w:t>
      </w:r>
    </w:p>
    <w:p w14:paraId="0B401946" w14:textId="4F65DFAB" w:rsidR="003A40F4" w:rsidRPr="00CE38FB" w:rsidRDefault="00000000" w:rsidP="000F4474">
      <w:pPr>
        <w:spacing w:after="120"/>
        <w:rPr>
          <w:rFonts w:ascii="Georgia" w:hAnsi="Georgia" w:cs="Calibri"/>
        </w:rPr>
      </w:pPr>
      <w:r w:rsidRPr="00CE38FB">
        <w:rPr>
          <w:rFonts w:ascii="Georgia" w:hAnsi="Georgia" w:cs="Calibri"/>
          <w:color w:val="555555"/>
          <w:sz w:val="20"/>
          <w:szCs w:val="20"/>
        </w:rPr>
        <w:t>Your role</w:t>
      </w:r>
      <w:r w:rsidR="000F4474" w:rsidRPr="00CE38FB">
        <w:rPr>
          <w:rFonts w:ascii="Georgia" w:hAnsi="Georgia" w:cs="Calibri"/>
          <w:color w:val="555555"/>
          <w:sz w:val="20"/>
          <w:szCs w:val="20"/>
        </w:rPr>
        <w:t xml:space="preserve"> is to </w:t>
      </w:r>
      <w:r w:rsidRPr="00CE38FB">
        <w:rPr>
          <w:rFonts w:ascii="Georgia" w:hAnsi="Georgia" w:cs="Calibri"/>
          <w:color w:val="555555"/>
          <w:sz w:val="20"/>
          <w:szCs w:val="20"/>
        </w:rPr>
        <w:t>support</w:t>
      </w:r>
      <w:r w:rsidR="000F4474" w:rsidRPr="00CE38FB">
        <w:rPr>
          <w:rFonts w:ascii="Georgia" w:hAnsi="Georgia" w:cs="Calibri"/>
          <w:color w:val="555555"/>
          <w:sz w:val="20"/>
          <w:szCs w:val="20"/>
        </w:rPr>
        <w:t xml:space="preserve"> the students</w:t>
      </w:r>
      <w:r w:rsidRPr="00CE38FB">
        <w:rPr>
          <w:rFonts w:ascii="Georgia" w:hAnsi="Georgia" w:cs="Calibri"/>
          <w:color w:val="555555"/>
          <w:sz w:val="20"/>
          <w:szCs w:val="20"/>
        </w:rPr>
        <w:t xml:space="preserve">. The website guides students through the concepts and shows </w:t>
      </w:r>
      <w:r w:rsidR="000F4474" w:rsidRPr="00CE38FB">
        <w:rPr>
          <w:rFonts w:ascii="Georgia" w:hAnsi="Georgia" w:cs="Calibri"/>
          <w:color w:val="555555"/>
          <w:sz w:val="20"/>
          <w:szCs w:val="20"/>
        </w:rPr>
        <w:t xml:space="preserve">the </w:t>
      </w:r>
      <w:r w:rsidRPr="00CE38FB">
        <w:rPr>
          <w:rFonts w:ascii="Georgia" w:hAnsi="Georgia" w:cs="Calibri"/>
          <w:color w:val="555555"/>
          <w:sz w:val="20"/>
          <w:szCs w:val="20"/>
        </w:rPr>
        <w:t>correct answers at the end.</w:t>
      </w:r>
    </w:p>
    <w:sectPr w:rsidR="003A40F4" w:rsidRPr="00CE38F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7D3870"/>
    <w:multiLevelType w:val="hybridMultilevel"/>
    <w:tmpl w:val="B77A768E"/>
    <w:lvl w:ilvl="0" w:tplc="CA7A51DA">
      <w:start w:val="1"/>
      <w:numFmt w:val="bullet"/>
      <w:lvlText w:val="●"/>
      <w:lvlJc w:val="left"/>
      <w:pPr>
        <w:ind w:left="720" w:hanging="360"/>
      </w:pPr>
    </w:lvl>
    <w:lvl w:ilvl="1" w:tplc="727A0ACA">
      <w:start w:val="1"/>
      <w:numFmt w:val="bullet"/>
      <w:lvlText w:val="○"/>
      <w:lvlJc w:val="left"/>
      <w:pPr>
        <w:ind w:left="1440" w:hanging="360"/>
      </w:pPr>
    </w:lvl>
    <w:lvl w:ilvl="2" w:tplc="311433BE">
      <w:start w:val="1"/>
      <w:numFmt w:val="bullet"/>
      <w:lvlText w:val="■"/>
      <w:lvlJc w:val="left"/>
      <w:pPr>
        <w:ind w:left="2160" w:hanging="360"/>
      </w:pPr>
    </w:lvl>
    <w:lvl w:ilvl="3" w:tplc="7F74E544">
      <w:start w:val="1"/>
      <w:numFmt w:val="bullet"/>
      <w:lvlText w:val="●"/>
      <w:lvlJc w:val="left"/>
      <w:pPr>
        <w:ind w:left="2880" w:hanging="360"/>
      </w:pPr>
    </w:lvl>
    <w:lvl w:ilvl="4" w:tplc="08FE598C">
      <w:start w:val="1"/>
      <w:numFmt w:val="bullet"/>
      <w:lvlText w:val="○"/>
      <w:lvlJc w:val="left"/>
      <w:pPr>
        <w:ind w:left="3600" w:hanging="360"/>
      </w:pPr>
    </w:lvl>
    <w:lvl w:ilvl="5" w:tplc="DFDA304A">
      <w:start w:val="1"/>
      <w:numFmt w:val="bullet"/>
      <w:lvlText w:val="■"/>
      <w:lvlJc w:val="left"/>
      <w:pPr>
        <w:ind w:left="4320" w:hanging="360"/>
      </w:pPr>
    </w:lvl>
    <w:lvl w:ilvl="6" w:tplc="E1840A72">
      <w:start w:val="1"/>
      <w:numFmt w:val="bullet"/>
      <w:lvlText w:val="●"/>
      <w:lvlJc w:val="left"/>
      <w:pPr>
        <w:ind w:left="5040" w:hanging="360"/>
      </w:pPr>
    </w:lvl>
    <w:lvl w:ilvl="7" w:tplc="19760826">
      <w:start w:val="1"/>
      <w:numFmt w:val="bullet"/>
      <w:lvlText w:val="●"/>
      <w:lvlJc w:val="left"/>
      <w:pPr>
        <w:ind w:left="5760" w:hanging="360"/>
      </w:pPr>
    </w:lvl>
    <w:lvl w:ilvl="8" w:tplc="0ED42F1A">
      <w:start w:val="1"/>
      <w:numFmt w:val="bullet"/>
      <w:lvlText w:val="●"/>
      <w:lvlJc w:val="left"/>
      <w:pPr>
        <w:ind w:left="6480" w:hanging="360"/>
      </w:pPr>
    </w:lvl>
  </w:abstractNum>
  <w:num w:numId="1" w16cid:durableId="9679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0F4"/>
    <w:rsid w:val="000F4474"/>
    <w:rsid w:val="003A40F4"/>
    <w:rsid w:val="00A5216F"/>
    <w:rsid w:val="00AC542F"/>
    <w:rsid w:val="00CE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FFCAC"/>
  <w15:docId w15:val="{1A33B02E-A6A8-B44D-9544-A2F06A6C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Budda, Navadeep</cp:lastModifiedBy>
  <cp:revision>4</cp:revision>
  <dcterms:created xsi:type="dcterms:W3CDTF">2026-01-09T04:08:00Z</dcterms:created>
  <dcterms:modified xsi:type="dcterms:W3CDTF">2026-01-09T04:23:00Z</dcterms:modified>
</cp:coreProperties>
</file>