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RetailzPOS</w:t>
      </w:r>
      <w:r>
        <w:t xml:space="preserve"> </w:t>
      </w:r>
      <w:r>
        <w:t xml:space="preserve">—</w:t>
      </w:r>
      <w:r>
        <w:t xml:space="preserve"> </w:t>
      </w:r>
      <w:r>
        <w:t xml:space="preserve">90-Day</w:t>
      </w:r>
      <w:r>
        <w:t xml:space="preserve"> </w:t>
      </w:r>
      <w:r>
        <w:t xml:space="preserve">Marketing</w:t>
      </w:r>
      <w:r>
        <w:t xml:space="preserve"> </w:t>
      </w:r>
      <w:r>
        <w:t xml:space="preserve">Brief</w:t>
      </w:r>
    </w:p>
    <w:p>
      <w:pPr>
        <w:pStyle w:val="Subtitle"/>
      </w:pPr>
      <w:r>
        <w:t xml:space="preserve">Launch</w:t>
      </w:r>
      <w:r>
        <w:t xml:space="preserve"> </w:t>
      </w:r>
      <w:r>
        <w:t xml:space="preserve">quarter</w:t>
      </w:r>
      <w:r>
        <w:t xml:space="preserve"> </w:t>
      </w:r>
      <w:r>
        <w:t xml:space="preserve">·</w:t>
      </w:r>
      <w:r>
        <w:t xml:space="preserve"> </w:t>
      </w:r>
      <w:r>
        <w:t xml:space="preserve">3</w:t>
      </w:r>
      <w:r>
        <w:t xml:space="preserve"> </w:t>
      </w:r>
      <w:r>
        <w:t xml:space="preserve">August</w:t>
      </w:r>
      <w:r>
        <w:t xml:space="preserve"> </w:t>
      </w:r>
      <w:r>
        <w:t xml:space="preserve">–</w:t>
      </w:r>
      <w:r>
        <w:t xml:space="preserve"> </w:t>
      </w:r>
      <w:r>
        <w:t xml:space="preserve">1</w:t>
      </w:r>
      <w:r>
        <w:t xml:space="preserve"> </w:t>
      </w:r>
      <w:r>
        <w:t xml:space="preserve">November</w:t>
      </w:r>
      <w:r>
        <w:t xml:space="preserve"> </w:t>
      </w:r>
      <w:r>
        <w:t xml:space="preserve">2026</w:t>
      </w:r>
      <w:r>
        <w:t xml:space="preserve"> </w:t>
      </w:r>
      <w:r>
        <w:t xml:space="preserve">·</w:t>
      </w:r>
      <w:r>
        <w:t xml:space="preserve"> </w:t>
      </w:r>
      <w:r>
        <w:t xml:space="preserve">United</w:t>
      </w:r>
      <w:r>
        <w:t xml:space="preserve"> </w:t>
      </w:r>
      <w:r>
        <w:t xml:space="preserve">States</w:t>
      </w:r>
      <w:r>
        <w:t xml:space="preserve"> </w:t>
      </w:r>
      <w:r>
        <w:t xml:space="preserve">·</w:t>
      </w:r>
      <w:r>
        <w:t xml:space="preserve"> </w:t>
      </w:r>
      <w:r>
        <w:t xml:space="preserve">v1.0</w:t>
      </w:r>
    </w:p>
    <w:bookmarkStart w:id="20" w:name="the-situation"/>
    <w:p>
      <w:pPr>
        <w:pStyle w:val="Heading1"/>
      </w:pPr>
      <w:r>
        <w:t xml:space="preserve">The situation</w:t>
      </w:r>
    </w:p>
    <w:p>
      <w:pPr>
        <w:pStyle w:val="FirstParagraph"/>
      </w:pPr>
      <w:r>
        <w:t xml:space="preserve">RetailzPOS sells into a category general POS platforms were never built for — liquor, tobacco/vape, CBD, and high-SKU convenience retail — where every buying decision carries real compliance exposure and every shelf is stocked by the case, not the unit. We’re up against seven active competitors, and our own published research already shows where each one is weakest: bolted-on loyalty, soft-block compliance,</w:t>
      </w:r>
      <w:r>
        <w:t xml:space="preserve"> </w:t>
      </w:r>
      <w:r>
        <w:t xml:space="preserve">“</w:t>
      </w:r>
      <w:r>
        <w:t xml:space="preserve">confirm with vendor</w:t>
      </w:r>
      <w:r>
        <w:t xml:space="preserve">”</w:t>
      </w:r>
      <w:r>
        <w:t xml:space="preserve"> </w:t>
      </w:r>
      <w:r>
        <w:t xml:space="preserve">gaps on multi-location and audit support, or breadth without vertical-native depth.</w:t>
      </w:r>
    </w:p>
    <w:p>
      <w:pPr>
        <w:pStyle w:val="BodyText"/>
      </w:pPr>
      <w:r>
        <w:t xml:space="preserve">The opening is that none of the seven markets convincingly to all four of our verticals at once, and several leave real capability gaps unmarketed or unconfirmed in their own public materials. Our positioning — built for what actually needs an ID check, not bolted onto a general platform afterward — is true because it’s how RetailzPOS already operates. So this is not a branding exercise. It’s a credibility-and-depth problem, and this plan solves it vertical by vertical, proof by proof.</w:t>
      </w:r>
    </w:p>
    <w:p>
      <w:pPr>
        <w:pStyle w:val="BodyText"/>
      </w:pPr>
      <w:r>
        <w:t xml:space="preserve">Two decisions shape everything below. Pricing is never published — it’s shared on a call, so the plan leads on what the platform does, not what it costs. And this is a foundation-and-proof quarter: the only ask anywhere is a demo request. No discount, no urgency play, no conversion campaign.</w:t>
      </w:r>
    </w:p>
    <w:bookmarkEnd w:id="20"/>
    <w:bookmarkStart w:id="21" w:name="the-quarter-in-three-moves"/>
    <w:p>
      <w:pPr>
        <w:pStyle w:val="Heading1"/>
      </w:pPr>
      <w:r>
        <w:t xml:space="preserve">The quarter in three moves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Theme</w:t>
            </w:r>
          </w:p>
        </w:tc>
        <w:tc>
          <w:tcPr/>
          <w:p>
            <w:pPr>
              <w:pStyle w:val="Compact"/>
              <w:jc w:val="left"/>
            </w:pPr>
            <w:r>
              <w:t xml:space="preserve">What we do</w:t>
            </w:r>
          </w:p>
        </w:tc>
        <w:tc>
          <w:tcPr/>
          <w:p>
            <w:pPr>
              <w:pStyle w:val="Compact"/>
              <w:jc w:val="left"/>
            </w:pPr>
            <w:r>
              <w:t xml:space="preserve">What we have at the end</w:t>
            </w:r>
          </w:p>
        </w:tc>
      </w:tr>
      <w:tr>
        <w:tc>
          <w:tcPr/>
          <w:p>
            <w:pPr>
              <w:pStyle w:val="Compact"/>
              <w:jc w:val="left"/>
            </w:pPr>
            <w:r>
              <w:t xml:space="preserve">Month 1 — August</w:t>
            </w:r>
          </w:p>
        </w:tc>
        <w:tc>
          <w:tcPr/>
          <w:p>
            <w:pPr>
              <w:pStyle w:val="Compact"/>
              <w:jc w:val="left"/>
            </w:pPr>
            <w:r>
              <w:t xml:space="preserve">Launch &amp; foundation</w:t>
            </w:r>
          </w:p>
        </w:tc>
        <w:tc>
          <w:tcPr/>
          <w:p>
            <w:pPr>
              <w:pStyle w:val="Compact"/>
              <w:jc w:val="left"/>
            </w:pPr>
            <w:r>
              <w:t xml:space="preserve">Publish the What’s Included page and the product tour. Claim and optimize every review-site profile. Ship the Week 1–4 launch grid naming real category pains. Stand up the demo path and per-post tracking.</w:t>
            </w:r>
          </w:p>
        </w:tc>
        <w:tc>
          <w:tcPr/>
          <w:p>
            <w:pPr>
              <w:pStyle w:val="Compact"/>
              <w:jc w:val="left"/>
            </w:pPr>
            <w:r>
              <w:t xml:space="preserve">A content engine running, self-serve research covered, and a baseline to measure everything else against.</w:t>
            </w:r>
          </w:p>
        </w:tc>
      </w:tr>
      <w:tr>
        <w:tc>
          <w:tcPr/>
          <w:p>
            <w:pPr>
              <w:pStyle w:val="Compact"/>
              <w:jc w:val="left"/>
            </w:pPr>
            <w:r>
              <w:t xml:space="preserve">Month 2 — September</w:t>
            </w:r>
          </w:p>
        </w:tc>
        <w:tc>
          <w:tcPr/>
          <w:p>
            <w:pPr>
              <w:pStyle w:val="Compact"/>
              <w:jc w:val="left"/>
            </w:pPr>
            <w:r>
              <w:t xml:space="preserve">Vertical depth &amp; proof</w:t>
            </w:r>
          </w:p>
        </w:tc>
        <w:tc>
          <w:tcPr/>
          <w:p>
            <w:pPr>
              <w:pStyle w:val="Compact"/>
              <w:jc w:val="left"/>
            </w:pPr>
            <w:r>
              <w:t xml:space="preserve">One vertical a week — liquor, convenience, smoke/vape, CBD. Weekly feature spotlights via the 3-Layer Method. First reference-customer story. Modest paid spend behind what’s already working.</w:t>
            </w:r>
          </w:p>
        </w:tc>
        <w:tc>
          <w:tcPr/>
          <w:p>
            <w:pPr>
              <w:pStyle w:val="Compact"/>
              <w:jc w:val="left"/>
            </w:pPr>
            <w:r>
              <w:t xml:space="preserve">Real proof from real merchants, and demo requests trending up week on week.</w:t>
            </w:r>
          </w:p>
        </w:tc>
      </w:tr>
      <w:tr>
        <w:tc>
          <w:tcPr/>
          <w:p>
            <w:pPr>
              <w:pStyle w:val="Compact"/>
              <w:jc w:val="left"/>
            </w:pPr>
            <w:r>
              <w:t xml:space="preserve">Month 3 — October</w:t>
            </w:r>
          </w:p>
        </w:tc>
        <w:tc>
          <w:tcPr/>
          <w:p>
            <w:pPr>
              <w:pStyle w:val="Compact"/>
              <w:jc w:val="left"/>
            </w:pPr>
            <w:r>
              <w:t xml:space="preserve">Scale reach &amp; credibility</w:t>
            </w:r>
          </w:p>
        </w:tc>
        <w:tc>
          <w:tcPr/>
          <w:p>
            <w:pPr>
              <w:pStyle w:val="Compact"/>
              <w:jc w:val="left"/>
            </w:pPr>
            <w:r>
              <w:t xml:space="preserve">Whole-day workflow stories from real stores, the flagship benchmark report launch with trade-press push, and an open live demo.</w:t>
            </w:r>
          </w:p>
        </w:tc>
        <w:tc>
          <w:tcPr/>
          <w:p>
            <w:pPr>
              <w:pStyle w:val="Compact"/>
              <w:jc w:val="left"/>
            </w:pPr>
            <w:r>
              <w:t xml:space="preserve">Demo requests as the headline number, and a readout that sets Q4 targets.</w:t>
            </w:r>
          </w:p>
        </w:tc>
      </w:tr>
    </w:tbl>
    <w:bookmarkEnd w:id="21"/>
    <w:bookmarkStart w:id="22" w:name="Xd06c30379a4344c2adb8f67448b9ea98731a742"/>
    <w:p>
      <w:pPr>
        <w:pStyle w:val="Heading1"/>
      </w:pPr>
      <w:r>
        <w:t xml:space="preserve">The spine: a mindset ladder, not a posting schedule</w:t>
      </w:r>
    </w:p>
    <w:p>
      <w:pPr>
        <w:pStyle w:val="FirstParagraph"/>
      </w:pPr>
      <w:r>
        <w:t xml:space="preserve">Every week targets one state of mind, and each month’s job is to move the reader up one rung. This is what stops it being blind marketing: a post exists because someone at a particular stage of thinking needs it — not because it was Tuesday.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Where their head is</w:t>
            </w:r>
          </w:p>
        </w:tc>
        <w:tc>
          <w:tcPr/>
          <w:p>
            <w:pPr>
              <w:pStyle w:val="Compact"/>
              <w:jc w:val="left"/>
            </w:pPr>
            <w:r>
              <w:t xml:space="preserve">What moves them up</w:t>
            </w:r>
          </w:p>
        </w:tc>
      </w:tr>
      <w:tr>
        <w:tc>
          <w:tcPr/>
          <w:p>
            <w:pPr>
              <w:pStyle w:val="Compact"/>
              <w:jc w:val="left"/>
            </w:pPr>
            <w:r>
              <w:t xml:space="preserve">Month 1</w:t>
            </w:r>
          </w:p>
        </w:tc>
        <w:tc>
          <w:tcPr/>
          <w:p>
            <w:pPr>
              <w:pStyle w:val="Compact"/>
              <w:jc w:val="left"/>
            </w:pPr>
            <w:r>
              <w:t xml:space="preserve">“</w:t>
            </w:r>
            <w:r>
              <w:t xml:space="preserve">This is just how running an age-restricted or high-SKU store is. I’ve never heard of RetailzPOS.</w:t>
            </w:r>
            <w:r>
              <w:t xml:space="preserve">”</w:t>
            </w:r>
          </w:p>
        </w:tc>
        <w:tc>
          <w:tcPr/>
          <w:p>
            <w:pPr>
              <w:pStyle w:val="Compact"/>
              <w:jc w:val="left"/>
            </w:pPr>
            <w:r>
              <w:t xml:space="preserve">Name the pain before naming ourselves — the 11pm ID check, the Sunday case-count, the regular who quietly stopped coming.</w:t>
            </w:r>
          </w:p>
        </w:tc>
      </w:tr>
      <w:tr>
        <w:tc>
          <w:tcPr/>
          <w:p>
            <w:pPr>
              <w:pStyle w:val="Compact"/>
              <w:jc w:val="left"/>
            </w:pPr>
            <w:r>
              <w:t xml:space="preserve">Month 2</w:t>
            </w:r>
          </w:p>
        </w:tc>
        <w:tc>
          <w:tcPr/>
          <w:p>
            <w:pPr>
              <w:pStyle w:val="Compact"/>
              <w:jc w:val="left"/>
            </w:pPr>
            <w:r>
              <w:t xml:space="preserve">“</w:t>
            </w:r>
            <w:r>
              <w:t xml:space="preserve">Maybe software could fix this — but is any of it built for my category specifically?</w:t>
            </w:r>
            <w:r>
              <w:t xml:space="preserve">”</w:t>
            </w:r>
          </w:p>
        </w:tc>
        <w:tc>
          <w:tcPr/>
          <w:p>
            <w:pPr>
              <w:pStyle w:val="Compact"/>
              <w:jc w:val="left"/>
            </w:pPr>
            <w:r>
              <w:t xml:space="preserve">Depth in their own vertical, in their own language, plus proof from an operator like them.</w:t>
            </w:r>
          </w:p>
        </w:tc>
      </w:tr>
      <w:tr>
        <w:tc>
          <w:tcPr/>
          <w:p>
            <w:pPr>
              <w:pStyle w:val="Compact"/>
              <w:jc w:val="left"/>
            </w:pPr>
            <w:r>
              <w:t xml:space="preserve">Month 3</w:t>
            </w:r>
          </w:p>
        </w:tc>
        <w:tc>
          <w:tcPr/>
          <w:p>
            <w:pPr>
              <w:pStyle w:val="Compact"/>
              <w:jc w:val="left"/>
            </w:pPr>
            <w:r>
              <w:t xml:space="preserve">“</w:t>
            </w:r>
            <w:r>
              <w:t xml:space="preserve">I understand what it does — show me it running in a store like mine.</w:t>
            </w:r>
            <w:r>
              <w:t xml:space="preserve">”</w:t>
            </w:r>
          </w:p>
        </w:tc>
        <w:tc>
          <w:tcPr/>
          <w:p>
            <w:pPr>
              <w:pStyle w:val="Compact"/>
              <w:jc w:val="left"/>
            </w:pPr>
            <w:r>
              <w:t xml:space="preserve">Whole-day stories from real stores, a proprietary data report, and an open demo anyone can watch.</w:t>
            </w:r>
          </w:p>
        </w:tc>
      </w:tr>
    </w:tbl>
    <w:bookmarkEnd w:id="22"/>
    <w:bookmarkStart w:id="23" w:name="who-were-talking-to"/>
    <w:p>
      <w:pPr>
        <w:pStyle w:val="Heading1"/>
      </w:pPr>
      <w:r>
        <w:t xml:space="preserve">Who we’re talking to</w:t>
      </w:r>
    </w:p>
    <w:p>
      <w:pPr>
        <w:pStyle w:val="FirstParagraph"/>
      </w:pPr>
      <w:r>
        <w:t xml:space="preserve">Five named buyers, in priority order. Every post in the calendar is tagged to one — if we can’t name who a post is for, it’s aimed at nobody.</w:t>
      </w:r>
    </w:p>
    <w:p>
      <w:pPr>
        <w:numPr>
          <w:ilvl w:val="0"/>
          <w:numId w:val="1001"/>
        </w:numPr>
        <w:pStyle w:val="Compact"/>
      </w:pPr>
      <w:r>
        <w:rPr>
          <w:bCs/>
          <w:b/>
        </w:rPr>
        <w:t xml:space="preserve">Danny, the Compliance-Conscious Independent (liquor)</w:t>
      </w:r>
      <w:r>
        <w:t xml:space="preserve"> </w:t>
      </w:r>
      <w:r>
        <w:t xml:space="preserve">— primary. Believes his punch card</w:t>
      </w:r>
      <w:r>
        <w:t xml:space="preserve"> </w:t>
      </w:r>
      <w:r>
        <w:rPr>
          <w:iCs/>
          <w:i/>
        </w:rPr>
        <w:t xml:space="preserve">is</w:t>
      </w:r>
      <w:r>
        <w:t xml:space="preserve"> </w:t>
      </w:r>
      <w:r>
        <w:t xml:space="preserve">the loyalty program, and worries any new subscription gets ignored by month three. Wins on hard-block age verification, audit logging, and win-back campaigns that run themselves.</w:t>
      </w:r>
    </w:p>
    <w:p>
      <w:pPr>
        <w:numPr>
          <w:ilvl w:val="0"/>
          <w:numId w:val="1001"/>
        </w:numPr>
        <w:pStyle w:val="Compact"/>
      </w:pPr>
      <w:r>
        <w:rPr>
          <w:bCs/>
          <w:b/>
        </w:rPr>
        <w:t xml:space="preserve">Farah, the Volume Juggler (convenience)</w:t>
      </w:r>
      <w:r>
        <w:t xml:space="preserve"> </w:t>
      </w:r>
      <w:r>
        <w:t xml:space="preserve">— thin margins, high staff turnover, starting from zero on loyalty. Wins on speed, simplicity, and a multi-location story that works identically at every register.</w:t>
      </w:r>
    </w:p>
    <w:p>
      <w:pPr>
        <w:numPr>
          <w:ilvl w:val="0"/>
          <w:numId w:val="1001"/>
        </w:numPr>
        <w:pStyle w:val="Compact"/>
      </w:pPr>
      <w:r>
        <w:rPr>
          <w:bCs/>
          <w:b/>
        </w:rPr>
        <w:t xml:space="preserve">Ray, the Scrutinized Specialist (smoke/vape)</w:t>
      </w:r>
      <w:r>
        <w:t xml:space="preserve"> </w:t>
      </w:r>
      <w:r>
        <w:t xml:space="preserve">— the fastest-moving, most acute regulatory environment of the four verticals. Wins on reward-variety mechanics over volume mechanics, and SHAFT/TCPA-safe campaign design.</w:t>
      </w:r>
    </w:p>
    <w:p>
      <w:pPr>
        <w:numPr>
          <w:ilvl w:val="0"/>
          <w:numId w:val="1001"/>
        </w:numPr>
        <w:pStyle w:val="Compact"/>
      </w:pPr>
      <w:r>
        <w:rPr>
          <w:bCs/>
          <w:b/>
        </w:rPr>
        <w:t xml:space="preserve">Priya, the Growth-Stage Operator (3–8 locations)</w:t>
      </w:r>
      <w:r>
        <w:t xml:space="preserve"> </w:t>
      </w:r>
      <w:r>
        <w:t xml:space="preserve">— outgrown single-store tools, too small for enterprise. Wins on unified multi-location reporting, audit logs, and a white-glove rollout.</w:t>
      </w:r>
    </w:p>
    <w:p>
      <w:pPr>
        <w:numPr>
          <w:ilvl w:val="0"/>
          <w:numId w:val="1001"/>
        </w:numPr>
        <w:pStyle w:val="Compact"/>
      </w:pPr>
      <w:r>
        <w:rPr>
          <w:bCs/>
          <w:b/>
        </w:rPr>
        <w:t xml:space="preserve">Sam, the CBD Newcomer</w:t>
      </w:r>
      <w:r>
        <w:t xml:space="preserve"> </w:t>
      </w:r>
      <w:r>
        <w:t xml:space="preserve">— opportunistic and uncontested; no major competitor markets to this vertical at all. Wins on an honest, compliance-first posture applied to CBD’s genuine state-by-state patchwork.</w:t>
      </w:r>
    </w:p>
    <w:bookmarkEnd w:id="23"/>
    <w:bookmarkStart w:id="24" w:name="what-we-say-and-how-we-sound"/>
    <w:p>
      <w:pPr>
        <w:pStyle w:val="Heading1"/>
      </w:pPr>
      <w:r>
        <w:t xml:space="preserve">What we say, and how we sound</w:t>
      </w:r>
    </w:p>
    <w:p>
      <w:pPr>
        <w:pStyle w:val="FirstParagraph"/>
      </w:pPr>
      <w:r>
        <w:t xml:space="preserve">Five drums. Every post, page, and email ladders back to exactly one — rotating them keeps the message consistent without becoming repetitive.</w:t>
      </w:r>
    </w:p>
    <w:p>
      <w:pPr>
        <w:numPr>
          <w:ilvl w:val="0"/>
          <w:numId w:val="1002"/>
        </w:numPr>
        <w:pStyle w:val="Compact"/>
      </w:pPr>
      <w:r>
        <w:rPr>
          <w:bCs/>
          <w:b/>
        </w:rPr>
        <w:t xml:space="preserve">Built for what needs an ID check.</w:t>
      </w:r>
      <w:r>
        <w:t xml:space="preserve"> </w:t>
      </w:r>
      <w:r>
        <w:t xml:space="preserve">Against soft-block compliance. Hard-block age verification with automatic audit logging.</w:t>
      </w:r>
    </w:p>
    <w:p>
      <w:pPr>
        <w:numPr>
          <w:ilvl w:val="0"/>
          <w:numId w:val="1002"/>
        </w:numPr>
        <w:pStyle w:val="Compact"/>
      </w:pPr>
      <w:r>
        <w:rPr>
          <w:bCs/>
          <w:b/>
        </w:rPr>
        <w:t xml:space="preserve">Every case, every bottle, every SKU — accounted for.</w:t>
      </w:r>
      <w:r>
        <w:t xml:space="preserve"> </w:t>
      </w:r>
      <w:r>
        <w:t xml:space="preserve">Against generic inventory tools. Case-break conversion and AI reorder alerts.</w:t>
      </w:r>
    </w:p>
    <w:p>
      <w:pPr>
        <w:numPr>
          <w:ilvl w:val="0"/>
          <w:numId w:val="1002"/>
        </w:numPr>
        <w:pStyle w:val="Compact"/>
      </w:pPr>
      <w:r>
        <w:rPr>
          <w:bCs/>
          <w:b/>
        </w:rPr>
        <w:t xml:space="preserve">Your regulars, remembered automatically.</w:t>
      </w:r>
      <w:r>
        <w:t xml:space="preserve"> </w:t>
      </w:r>
      <w:r>
        <w:t xml:space="preserve">Against generic bolted-on loyalty. Moolah Points, native and category-specific.</w:t>
      </w:r>
    </w:p>
    <w:p>
      <w:pPr>
        <w:numPr>
          <w:ilvl w:val="0"/>
          <w:numId w:val="1002"/>
        </w:numPr>
        <w:pStyle w:val="Compact"/>
      </w:pPr>
      <w:r>
        <w:rPr>
          <w:bCs/>
          <w:b/>
        </w:rPr>
        <w:t xml:space="preserve">One system, every register, every location.</w:t>
      </w:r>
      <w:r>
        <w:t xml:space="preserve"> </w:t>
      </w:r>
      <w:r>
        <w:t xml:space="preserve">Against fragmented multi-store tools. Unified inventory and reporting from day one.</w:t>
      </w:r>
    </w:p>
    <w:p>
      <w:pPr>
        <w:numPr>
          <w:ilvl w:val="0"/>
          <w:numId w:val="1002"/>
        </w:numPr>
        <w:pStyle w:val="Compact"/>
      </w:pPr>
      <w:r>
        <w:rPr>
          <w:bCs/>
          <w:b/>
        </w:rPr>
        <w:t xml:space="preserve">A quote built around your store, not a shelf price.</w:t>
      </w:r>
      <w:r>
        <w:t xml:space="preserve"> </w:t>
      </w:r>
      <w:r>
        <w:t xml:space="preserve">Against opaque enterprise quotes. We never quote a figure — publicly or privately, before a call.</w:t>
      </w:r>
    </w:p>
    <w:p>
      <w:pPr>
        <w:pStyle w:val="FirstParagraph"/>
      </w:pPr>
      <w:r>
        <w:t xml:space="preserve">Tone: owner-to-owner, plain English, specific numbers instead of superlatives. We sound like someone who’s stood behind the counter at 11pm waiting on an ID scan, and now helps other owners run that counter with less risk and less guesswork — direct about the value, respectful of the reader’s time and margin. If a sentence would sound strange said out loud across a register, it gets rewritten.</w:t>
      </w:r>
    </w:p>
    <w:p>
      <w:pPr>
        <w:pStyle w:val="BodyText"/>
      </w:pPr>
      <w:r>
        <w:t xml:space="preserve">On price, publicly: we answer warmly and invite a call. We never quote a figure, a range, or a hint of one —</w:t>
      </w:r>
      <w:r>
        <w:t xml:space="preserve"> </w:t>
      </w:r>
      <w:r>
        <w:t xml:space="preserve">“</w:t>
      </w:r>
      <w:r>
        <w:t xml:space="preserve">affordable</w:t>
      </w:r>
      <w:r>
        <w:t xml:space="preserve">”</w:t>
      </w:r>
      <w:r>
        <w:t xml:space="preserve"> </w:t>
      </w:r>
      <w:r>
        <w:t xml:space="preserve">and</w:t>
      </w:r>
      <w:r>
        <w:t xml:space="preserve"> </w:t>
      </w:r>
      <w:r>
        <w:t xml:space="preserve">“</w:t>
      </w:r>
      <w:r>
        <w:t xml:space="preserve">less than you’d think</w:t>
      </w:r>
      <w:r>
        <w:t xml:space="preserve">”</w:t>
      </w:r>
      <w:r>
        <w:t xml:space="preserve"> </w:t>
      </w:r>
      <w:r>
        <w:t xml:space="preserve">are anchors too. The approved wording lives in the Content Book, and everyone touching the accounts has it before Day 1.</w:t>
      </w:r>
    </w:p>
    <w:bookmarkEnd w:id="24"/>
    <w:bookmarkStart w:id="25" w:name="where-we-say-it"/>
    <w:p>
      <w:pPr>
        <w:pStyle w:val="Heading1"/>
      </w:pPr>
      <w:r>
        <w:t xml:space="preserve">Where we say it</w:t>
      </w:r>
    </w:p>
    <w:p>
      <w:pPr>
        <w:pStyle w:val="FirstParagraph"/>
      </w:pPr>
      <w:r>
        <w:t xml:space="preserve">Review sites aren’t social, but they’re where buyers decide and where AI assistants source their comparison answers — so claiming and building those profiles is treated as a channel, not an afterthought.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Cadence</w:t>
            </w:r>
          </w:p>
        </w:tc>
        <w:tc>
          <w:tcPr/>
          <w:p>
            <w:pPr>
              <w:pStyle w:val="Compact"/>
              <w:jc w:val="left"/>
            </w:pPr>
            <w:r>
              <w:t xml:space="preserve">Role</w:t>
            </w:r>
          </w:p>
        </w:tc>
        <w:tc>
          <w:tcPr/>
          <w:p>
            <w:pPr>
              <w:pStyle w:val="Compact"/>
              <w:jc w:val="left"/>
            </w:pPr>
            <w:r>
              <w:t xml:space="preserve">Why</w:t>
            </w:r>
          </w:p>
        </w:tc>
      </w:tr>
      <w:tr>
        <w:tc>
          <w:tcPr/>
          <w:p>
            <w:pPr>
              <w:pStyle w:val="Compact"/>
              <w:jc w:val="left"/>
            </w:pPr>
            <w:r>
              <w:t xml:space="preserve">Facebook</w:t>
            </w:r>
          </w:p>
        </w:tc>
        <w:tc>
          <w:tcPr/>
          <w:p>
            <w:pPr>
              <w:pStyle w:val="Compact"/>
              <w:jc w:val="left"/>
            </w:pPr>
            <w:r>
              <w:t xml:space="preserve">4–5 / wk</w:t>
            </w:r>
          </w:p>
        </w:tc>
        <w:tc>
          <w:tcPr/>
          <w:p>
            <w:pPr>
              <w:pStyle w:val="Compact"/>
              <w:jc w:val="left"/>
            </w:pPr>
            <w:r>
              <w:t xml:space="preserve">Primary</w:t>
            </w:r>
          </w:p>
        </w:tc>
        <w:tc>
          <w:tcPr/>
          <w:p>
            <w:pPr>
              <w:pStyle w:val="Compact"/>
              <w:jc w:val="left"/>
            </w:pPr>
            <w:r>
              <w:t xml:space="preserve">Independent retail owners skew older and locally-grouped; owner communities live here.</w:t>
            </w:r>
          </w:p>
        </w:tc>
      </w:tr>
      <w:tr>
        <w:tc>
          <w:tcPr/>
          <w:p>
            <w:pPr>
              <w:pStyle w:val="Compact"/>
              <w:jc w:val="left"/>
            </w:pPr>
            <w:r>
              <w:t xml:space="preserve">Instagram</w:t>
            </w:r>
          </w:p>
        </w:tc>
        <w:tc>
          <w:tcPr/>
          <w:p>
            <w:pPr>
              <w:pStyle w:val="Compact"/>
              <w:jc w:val="left"/>
            </w:pPr>
            <w:r>
              <w:t xml:space="preserve">3–4 / wk</w:t>
            </w:r>
          </w:p>
        </w:tc>
        <w:tc>
          <w:tcPr/>
          <w:p>
            <w:pPr>
              <w:pStyle w:val="Compact"/>
              <w:jc w:val="left"/>
            </w:pPr>
            <w:r>
              <w:t xml:space="preserve">Primary</w:t>
            </w:r>
          </w:p>
        </w:tc>
        <w:tc>
          <w:tcPr/>
          <w:p>
            <w:pPr>
              <w:pStyle w:val="Compact"/>
              <w:jc w:val="left"/>
            </w:pPr>
            <w:r>
              <w:t xml:space="preserve">Visual proof — case-break before/after, shelf transformations, product-tour clips.</w:t>
            </w:r>
          </w:p>
        </w:tc>
      </w:tr>
      <w:tr>
        <w:tc>
          <w:tcPr/>
          <w:p>
            <w:pPr>
              <w:pStyle w:val="Compact"/>
              <w:jc w:val="left"/>
            </w:pPr>
            <w:r>
              <w:t xml:space="preserve">LinkedIn</w:t>
            </w:r>
          </w:p>
        </w:tc>
        <w:tc>
          <w:tcPr/>
          <w:p>
            <w:pPr>
              <w:pStyle w:val="Compact"/>
              <w:jc w:val="left"/>
            </w:pPr>
            <w:r>
              <w:t xml:space="preserve">2–3 / wk</w:t>
            </w:r>
          </w:p>
        </w:tc>
        <w:tc>
          <w:tcPr/>
          <w:p>
            <w:pPr>
              <w:pStyle w:val="Compact"/>
              <w:jc w:val="left"/>
            </w:pPr>
            <w:r>
              <w:t xml:space="preserve">Primary</w:t>
            </w:r>
          </w:p>
        </w:tc>
        <w:tc>
          <w:tcPr/>
          <w:p>
            <w:pPr>
              <w:pStyle w:val="Compact"/>
              <w:jc w:val="left"/>
            </w:pPr>
            <w:r>
              <w:t xml:space="preserve">Multi-location and franchise-stage operators research software here.</w:t>
            </w:r>
          </w:p>
        </w:tc>
      </w:tr>
      <w:tr>
        <w:tc>
          <w:tcPr/>
          <w:p>
            <w:pPr>
              <w:pStyle w:val="Compact"/>
              <w:jc w:val="left"/>
            </w:pPr>
            <w:r>
              <w:t xml:space="preserve">Blog / SEO</w:t>
            </w:r>
          </w:p>
        </w:tc>
        <w:tc>
          <w:tcPr/>
          <w:p>
            <w:pPr>
              <w:pStyle w:val="Compact"/>
              <w:jc w:val="left"/>
            </w:pPr>
            <w:r>
              <w:t xml:space="preserve">1 / wk</w:t>
            </w:r>
          </w:p>
        </w:tc>
        <w:tc>
          <w:tcPr/>
          <w:p>
            <w:pPr>
              <w:pStyle w:val="Compact"/>
              <w:jc w:val="left"/>
            </w:pPr>
            <w:r>
              <w:t xml:space="preserve">Primary</w:t>
            </w:r>
          </w:p>
        </w:tc>
        <w:tc>
          <w:tcPr/>
          <w:p>
            <w:pPr>
              <w:pStyle w:val="Compact"/>
              <w:jc w:val="left"/>
            </w:pPr>
            <w:r>
              <w:t xml:space="preserve">Catches owners already searching comparisons, and what AI assistants read when asked to compare POS systems.</w:t>
            </w:r>
          </w:p>
        </w:tc>
      </w:tr>
      <w:tr>
        <w:tc>
          <w:tcPr/>
          <w:p>
            <w:pPr>
              <w:pStyle w:val="Compact"/>
              <w:jc w:val="left"/>
            </w:pPr>
            <w:r>
              <w:t xml:space="preserve">Review sites (Capterra, G2, Google)</w:t>
            </w:r>
          </w:p>
        </w:tc>
        <w:tc>
          <w:tcPr/>
          <w:p>
            <w:pPr>
              <w:pStyle w:val="Compact"/>
              <w:jc w:val="left"/>
            </w:pPr>
            <w:r>
              <w:t xml:space="preserve">Ongoing</w:t>
            </w:r>
          </w:p>
        </w:tc>
        <w:tc>
          <w:tcPr/>
          <w:p>
            <w:pPr>
              <w:pStyle w:val="Compact"/>
              <w:jc w:val="left"/>
            </w:pPr>
            <w:r>
              <w:t xml:space="preserve">Primary</w:t>
            </w:r>
          </w:p>
        </w:tc>
        <w:tc>
          <w:tcPr/>
          <w:p>
            <w:pPr>
              <w:pStyle w:val="Compact"/>
              <w:jc w:val="left"/>
            </w:pPr>
            <w:r>
              <w:t xml:space="preserve">Where buyers decide and where AI answer engines source comparison answers.</w:t>
            </w:r>
          </w:p>
        </w:tc>
      </w:tr>
      <w:tr>
        <w:tc>
          <w:tcPr/>
          <w:p>
            <w:pPr>
              <w:pStyle w:val="Compact"/>
              <w:jc w:val="left"/>
            </w:pPr>
            <w:r>
              <w:t xml:space="preserve">TikTok / X / Threads</w:t>
            </w:r>
          </w:p>
        </w:tc>
        <w:tc>
          <w:tcPr/>
          <w:p>
            <w:pPr>
              <w:pStyle w:val="Compact"/>
              <w:jc w:val="left"/>
            </w:pPr>
            <w:r>
              <w:t xml:space="preserve">1–2 / wk</w:t>
            </w:r>
          </w:p>
        </w:tc>
        <w:tc>
          <w:tcPr/>
          <w:p>
            <w:pPr>
              <w:pStyle w:val="Compact"/>
              <w:jc w:val="left"/>
            </w:pPr>
            <w:r>
              <w:t xml:space="preserve">Mirror</w:t>
            </w:r>
          </w:p>
        </w:tc>
        <w:tc>
          <w:tcPr/>
          <w:p>
            <w:pPr>
              <w:pStyle w:val="Compact"/>
              <w:jc w:val="left"/>
            </w:pPr>
            <w:r>
              <w:t xml:space="preserve">Trimmed mirrors of the best performers; watched for 90 days before further investment.</w:t>
            </w:r>
          </w:p>
        </w:tc>
      </w:tr>
    </w:tbl>
    <w:bookmarkEnd w:id="25"/>
    <w:bookmarkStart w:id="26" w:name="how-well-know-it-worked"/>
    <w:p>
      <w:pPr>
        <w:pStyle w:val="Heading1"/>
      </w:pPr>
      <w:r>
        <w:t xml:space="preserve">How we’ll know it worked</w:t>
      </w:r>
    </w:p>
    <w:p>
      <w:pPr>
        <w:pStyle w:val="FirstParagraph"/>
      </w:pPr>
      <w:r>
        <w:t xml:space="preserve">The true-north metric is demo requests, not reach — reach that never becomes a demo is a cost, not a result. Month 1 sets the baseline, and we deliberately set no numeric targets before Week 5, because targets invented before data are just wishes. From there we track three things side by side: awareness, product education (saves, watch-through, time on page), and demand (demo-page visits, requests, demos held).</w:t>
      </w:r>
    </w:p>
    <w:bookmarkEnd w:id="26"/>
    <w:bookmarkStart w:id="27" w:name="what-i-need-from-you"/>
    <w:p>
      <w:pPr>
        <w:pStyle w:val="Heading1"/>
      </w:pPr>
      <w:r>
        <w:t xml:space="preserve">What I need from you</w:t>
      </w:r>
    </w:p>
    <w:p>
      <w:pPr>
        <w:numPr>
          <w:ilvl w:val="0"/>
          <w:numId w:val="1003"/>
        </w:numPr>
        <w:pStyle w:val="Compact"/>
      </w:pPr>
      <w:r>
        <w:t xml:space="preserve">The confirmed per-vertical feature matrix — features only, no prices attached. Gates the What’s Included page and every</w:t>
      </w:r>
      <w:r>
        <w:t xml:space="preserve"> </w:t>
      </w:r>
      <w:r>
        <w:t xml:space="preserve">“</w:t>
      </w:r>
      <w:r>
        <w:t xml:space="preserve">what’s included</w:t>
      </w:r>
      <w:r>
        <w:t xml:space="preserve">”</w:t>
      </w:r>
      <w:r>
        <w:t xml:space="preserve"> </w:t>
      </w:r>
      <w:r>
        <w:t xml:space="preserve">claim.</w:t>
      </w:r>
    </w:p>
    <w:p>
      <w:pPr>
        <w:numPr>
          <w:ilvl w:val="0"/>
          <w:numId w:val="1003"/>
        </w:numPr>
        <w:pStyle w:val="Compact"/>
      </w:pPr>
      <w:r>
        <w:t xml:space="preserve">The approved answer to</w:t>
      </w:r>
      <w:r>
        <w:t xml:space="preserve"> </w:t>
      </w:r>
      <w:r>
        <w:t xml:space="preserve">“</w:t>
      </w:r>
      <w:r>
        <w:t xml:space="preserve">what does it cost?</w:t>
      </w:r>
      <w:r>
        <w:t xml:space="preserve">”</w:t>
      </w:r>
      <w:r>
        <w:t xml:space="preserve">, signed off by leadership and Sales. Needed before Day 1, because someone will ask in a public comment in Week 1.</w:t>
      </w:r>
    </w:p>
    <w:p>
      <w:pPr>
        <w:numPr>
          <w:ilvl w:val="0"/>
          <w:numId w:val="1003"/>
        </w:numPr>
        <w:pStyle w:val="Compact"/>
      </w:pPr>
      <w:r>
        <w:t xml:space="preserve">Three to five reference customers cleared for marketing use, covering liquor, convenience, smoke/vape, and at least one multi-location operator.</w:t>
      </w:r>
    </w:p>
    <w:p>
      <w:pPr>
        <w:numPr>
          <w:ilvl w:val="0"/>
          <w:numId w:val="1003"/>
        </w:numPr>
        <w:pStyle w:val="Compact"/>
      </w:pPr>
      <w:r>
        <w:t xml:space="preserve">The support response target we can publish and actually hold — it turns</w:t>
      </w:r>
      <w:r>
        <w:t xml:space="preserve"> </w:t>
      </w:r>
      <w:r>
        <w:t xml:space="preserve">“</w:t>
      </w:r>
      <w:r>
        <w:t xml:space="preserve">a human answers</w:t>
      </w:r>
      <w:r>
        <w:t xml:space="preserve">”</w:t>
      </w:r>
      <w:r>
        <w:t xml:space="preserve"> </w:t>
      </w:r>
      <w:r>
        <w:t xml:space="preserve">from a claim into a commitment.</w:t>
      </w:r>
    </w:p>
    <w:p>
      <w:pPr>
        <w:numPr>
          <w:ilvl w:val="0"/>
          <w:numId w:val="1003"/>
        </w:numPr>
        <w:pStyle w:val="Compact"/>
      </w:pPr>
      <w:r>
        <w:t xml:space="preserve">The recorded product tour. With no pricing page, it carries the entire self-serve research load this quarter.</w:t>
      </w:r>
    </w:p>
    <w:p>
      <w:pPr>
        <w:numPr>
          <w:ilvl w:val="0"/>
          <w:numId w:val="1003"/>
        </w:numPr>
        <w:pStyle w:val="Compact"/>
      </w:pPr>
      <w:r>
        <w:t xml:space="preserve">Logo vectors, feature screenshots, and screen recordings for explainer content.</w:t>
      </w:r>
    </w:p>
    <w:p>
      <w:pPr>
        <w:numPr>
          <w:ilvl w:val="0"/>
          <w:numId w:val="1003"/>
        </w:numPr>
        <w:pStyle w:val="Compact"/>
      </w:pPr>
      <w:r>
        <w:t xml:space="preserve">The monthly paid figure, and who signs off on published content.</w:t>
      </w:r>
    </w:p>
    <w:p>
      <w:pPr>
        <w:numPr>
          <w:ilvl w:val="0"/>
          <w:numId w:val="1003"/>
        </w:numPr>
        <w:pStyle w:val="Compact"/>
      </w:pPr>
      <w:r>
        <w:t xml:space="preserve">Access timeline for pulling anonymized, aggregate install-base data for the flagship benchmark report.</w:t>
      </w:r>
    </w:p>
    <w:p>
      <w:pPr>
        <w:numPr>
          <w:ilvl w:val="0"/>
          <w:numId w:val="1003"/>
        </w:numPr>
        <w:pStyle w:val="Compact"/>
      </w:pPr>
      <w:r>
        <w:t xml:space="preserve">Counsel-reviewed, state-by-state CBD marketing guidance.</w:t>
      </w:r>
    </w:p>
    <w:p>
      <w:pPr>
        <w:pStyle w:val="FirstParagraph"/>
      </w:pPr>
      <w:r>
        <w:t xml:space="preserve">Companion documents: the 90-Day Marketing Plan (strategy, competitor analysis, guidelines, grading system), the 90-Day Content Book (the written copy for every scheduled post), and the 90-Day Content Calendar &amp; Tracker workbook (schedule, status, and performance).</w:t>
      </w:r>
    </w:p>
    <w:bookmarkEnd w:id="27"/>
    <w:sectPr>
      <w:pgMar w:bottom="1152" w:left="1296" w:right="1296"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21F1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221F1A"/>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RetailzPOS — 90-Day Marketing Brief</dc:title>
  <dc:creator/>
  <cp:keywords/>
  <dcterms:created xsi:type="dcterms:W3CDTF">2026-08-03T20:29:26Z</dcterms:created>
  <dcterms:modified xsi:type="dcterms:W3CDTF">2026-08-03T20:29:26Z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Launch quarter · 3 August – 1 November 2026 · United States · v1.0</vt:lpwstr>
  </property>
</Properties>
</file>