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RetailzPOS</w:t>
      </w:r>
      <w:r>
        <w:t xml:space="preserve"> </w:t>
      </w:r>
      <w:r>
        <w:t xml:space="preserve">—</w:t>
      </w:r>
      <w:r>
        <w:t xml:space="preserve"> </w:t>
      </w:r>
      <w:r>
        <w:t xml:space="preserve">90-Day</w:t>
      </w:r>
      <w:r>
        <w:t xml:space="preserve"> </w:t>
      </w:r>
      <w:r>
        <w:t xml:space="preserve">Marketing</w:t>
      </w:r>
      <w:r>
        <w:t xml:space="preserve"> </w:t>
      </w:r>
      <w:r>
        <w:t xml:space="preserve">Plan</w:t>
      </w:r>
    </w:p>
    <w:p>
      <w:pPr>
        <w:pStyle w:val="Subtitle"/>
      </w:pPr>
      <w:r>
        <w:t xml:space="preserve">Launch</w:t>
      </w:r>
      <w:r>
        <w:t xml:space="preserve"> </w:t>
      </w:r>
      <w:r>
        <w:t xml:space="preserve">quarter</w:t>
      </w:r>
      <w:r>
        <w:t xml:space="preserve"> </w:t>
      </w:r>
      <w:r>
        <w:t xml:space="preserve">·</w:t>
      </w:r>
      <w:r>
        <w:t xml:space="preserve"> </w:t>
      </w:r>
      <w:r>
        <w:t xml:space="preserve">3</w:t>
      </w:r>
      <w:r>
        <w:t xml:space="preserve"> </w:t>
      </w:r>
      <w:r>
        <w:t xml:space="preserve">August</w:t>
      </w:r>
      <w:r>
        <w:t xml:space="preserve"> </w:t>
      </w:r>
      <w:r>
        <w:t xml:space="preserve">–</w:t>
      </w:r>
      <w:r>
        <w:t xml:space="preserve"> </w:t>
      </w:r>
      <w:r>
        <w:t xml:space="preserve">1</w:t>
      </w:r>
      <w:r>
        <w:t xml:space="preserve"> </w:t>
      </w:r>
      <w:r>
        <w:t xml:space="preserve">November</w:t>
      </w:r>
      <w:r>
        <w:t xml:space="preserve"> </w:t>
      </w:r>
      <w:r>
        <w:t xml:space="preserve">2026</w:t>
      </w:r>
      <w:r>
        <w:t xml:space="preserve"> </w:t>
      </w:r>
      <w:r>
        <w:t xml:space="preserve">·</w:t>
      </w:r>
      <w:r>
        <w:t xml:space="preserve"> </w:t>
      </w:r>
      <w:r>
        <w:t xml:space="preserve">United</w:t>
      </w:r>
      <w:r>
        <w:t xml:space="preserve"> </w:t>
      </w:r>
      <w:r>
        <w:t xml:space="preserve">States</w:t>
      </w:r>
      <w:r>
        <w:t xml:space="preserve"> </w:t>
      </w:r>
      <w:r>
        <w:t xml:space="preserve">·</w:t>
      </w:r>
      <w:r>
        <w:t xml:space="preserve"> </w:t>
      </w:r>
      <w:r>
        <w:t xml:space="preserve">v1.0</w:t>
      </w:r>
    </w:p>
    <w:sdt>
      <w:sdtPr>
        <w:docPartObj>
          <w:docPartGallery w:val="Table of Contents"/>
          <w:docPartUnique/>
        </w:docPartObj>
      </w:sdtPr>
      <w:sdtContent>
        <w:p>
          <w:pPr>
            <w:pStyle w:val="TOCHeading"/>
          </w:pPr>
          <w:r>
            <w:t xml:space="preserve">Contents</w:t>
          </w:r>
        </w:p>
        <w:p>
          <w:r>
            <w:fldChar w:fldCharType="begin" w:dirty="true"/>
            <w:instrText xml:space="preserve">TOC \o "1-1" \h \z \u</w:instrText>
            <w:fldChar w:fldCharType="separate"/>
            <w:fldChar w:fldCharType="end"/>
          </w:r>
        </w:p>
      </w:sdtContent>
    </w:sdt>
    <w:bookmarkStart w:id="20" w:name="market-position"/>
    <w:p>
      <w:pPr>
        <w:pStyle w:val="Heading1"/>
      </w:pPr>
      <w:r>
        <w:t xml:space="preserve">1. Market position</w:t>
      </w:r>
    </w:p>
    <w:p>
      <w:pPr>
        <w:pStyle w:val="FirstParagraph"/>
      </w:pPr>
      <w:r>
        <w:t xml:space="preserve">RetailzPOS sells point-of-sale software into a category general retail POS was never built for: liquor and wine, tobacco and vape, CBD, and high-SKU convenience retail. Every one of those categories carries the same three burdens general merchandise doesn’t — age-restricted transactions that carry real fine and license risk if mishandled, inventory that arrives by the case and sells by the unit, and marketing that is legally restricted in ways a generic</w:t>
      </w:r>
      <w:r>
        <w:t xml:space="preserve"> </w:t>
      </w:r>
      <w:r>
        <w:t xml:space="preserve">“</w:t>
      </w:r>
      <w:r>
        <w:t xml:space="preserve">grow your business</w:t>
      </w:r>
      <w:r>
        <w:t xml:space="preserve">”</w:t>
      </w:r>
      <w:r>
        <w:t xml:space="preserve"> </w:t>
      </w:r>
      <w:r>
        <w:t xml:space="preserve">platform doesn’t account for.</w:t>
      </w:r>
    </w:p>
    <w:p>
      <w:pPr>
        <w:pStyle w:val="BodyText"/>
      </w:pPr>
      <w:r>
        <w:t xml:space="preserve">That is also exactly where the seven vendors we compete with are weakest. Bottle POS and LMS-POS bundle basic loyalty but leave multi-location and compliance depth as</w:t>
      </w:r>
      <w:r>
        <w:t xml:space="preserve"> </w:t>
      </w:r>
      <w:r>
        <w:t xml:space="preserve">“</w:t>
      </w:r>
      <w:r>
        <w:t xml:space="preserve">confirm with vendor.</w:t>
      </w:r>
      <w:r>
        <w:t xml:space="preserve">”</w:t>
      </w:r>
      <w:r>
        <w:t xml:space="preserve"> </w:t>
      </w:r>
      <w:r>
        <w:t xml:space="preserve">NRS POS sells a cross-retailer discount network instead of category-tuned mechanics. Clover and Square for Retail are general-purpose platforms with loyalty bolted on as an add-on, not built for age-restricted retail natively. Loyverse’s free tier is genuinely good for a brand-new single-location operator — until case-break inventory has to be reconciled by hand and age verification depends on staff memory instead of the register. KORONA POS is the one competitor with a genuinely sophisticated content operation, but a strong content engine is not the same as category-native product depth.</w:t>
      </w:r>
    </w:p>
    <w:p>
      <w:pPr>
        <w:pStyle w:val="BodyText"/>
      </w:pPr>
      <w:r>
        <w:t xml:space="preserve">Two decisions shape everything below. Pricing is never published — it is shared on a call, so the plan leads on what the platform actually does for a liquor, smoke-shop, convenience, or CBD store rather than what it costs. And this is a foundation-and-proof quarter: the primary ask everywhere is a demo request, not a sale. No discounting, no</w:t>
      </w:r>
      <w:r>
        <w:t xml:space="preserve"> </w:t>
      </w:r>
      <w:r>
        <w:t xml:space="preserve">“</w:t>
      </w:r>
      <w:r>
        <w:t xml:space="preserve">sign up today</w:t>
      </w:r>
      <w:r>
        <w:t xml:space="preserve">”</w:t>
      </w:r>
      <w:r>
        <w:t xml:space="preserve"> </w:t>
      </w:r>
      <w:r>
        <w:t xml:space="preserve">urgency — the category doesn’t reward that, and neither does a buyer who’s been burned by software before.</w:t>
      </w:r>
    </w:p>
    <w:bookmarkEnd w:id="20"/>
    <w:bookmarkStart w:id="21" w:name="the-pricing-decision"/>
    <w:p>
      <w:pPr>
        <w:pStyle w:val="Heading1"/>
      </w:pPr>
      <w:r>
        <w:t xml:space="preserve">2. The pricing decision</w:t>
      </w:r>
    </w:p>
    <w:p>
      <w:pPr>
        <w:pStyle w:val="FirstParagraph"/>
      </w:pPr>
      <w:r>
        <w:t xml:space="preserve">RetailzPOS pricing is never published publicly — not a number, not a range, not a starting-at figure, and not a soft anchor like</w:t>
      </w:r>
      <w:r>
        <w:t xml:space="preserve"> </w:t>
      </w:r>
      <w:r>
        <w:t xml:space="preserve">“</w:t>
      </w:r>
      <w:r>
        <w:t xml:space="preserve">affordable</w:t>
      </w:r>
      <w:r>
        <w:t xml:space="preserve">”</w:t>
      </w:r>
      <w:r>
        <w:t xml:space="preserve"> </w:t>
      </w:r>
      <w:r>
        <w:t xml:space="preserve">or</w:t>
      </w:r>
      <w:r>
        <w:t xml:space="preserve"> </w:t>
      </w:r>
      <w:r>
        <w:t xml:space="preserve">“</w:t>
      </w:r>
      <w:r>
        <w:t xml:space="preserve">less than you’d think.</w:t>
      </w:r>
      <w:r>
        <w:t xml:space="preserve">”</w:t>
      </w:r>
      <w:r>
        <w:t xml:space="preserve"> </w:t>
      </w:r>
      <w:r>
        <w:t xml:space="preserve">This is already how RetailzPOS operates today; every comparison page we’ve published states</w:t>
      </w:r>
      <w:r>
        <w:t xml:space="preserve"> </w:t>
      </w:r>
      <w:r>
        <w:t xml:space="preserve">“</w:t>
      </w:r>
      <w:r>
        <w:t xml:space="preserve">Contact for a quote</w:t>
      </w:r>
      <w:r>
        <w:t xml:space="preserve">”</w:t>
      </w:r>
      <w:r>
        <w:t xml:space="preserve"> </w:t>
      </w:r>
      <w:r>
        <w:t xml:space="preserve">as our own pricing line, next to whatever the competitor publishes or doesn’t. The plan formalizes it into three hard rules:</w:t>
      </w:r>
    </w:p>
    <w:p>
      <w:pPr>
        <w:numPr>
          <w:ilvl w:val="0"/>
          <w:numId w:val="1001"/>
        </w:numPr>
        <w:pStyle w:val="Compact"/>
      </w:pPr>
      <w:r>
        <w:rPr>
          <w:bCs/>
          <w:b/>
        </w:rPr>
        <w:t xml:space="preserve">Never imply a price.</w:t>
      </w:r>
      <w:r>
        <w:t xml:space="preserve"> </w:t>
      </w:r>
      <w:r>
        <w:t xml:space="preserve">No</w:t>
      </w:r>
      <w:r>
        <w:t xml:space="preserve"> </w:t>
      </w:r>
      <w:r>
        <w:t xml:space="preserve">“</w:t>
      </w:r>
      <w:r>
        <w:t xml:space="preserve">starting at,</w:t>
      </w:r>
      <w:r>
        <w:t xml:space="preserve">”</w:t>
      </w:r>
      <w:r>
        <w:t xml:space="preserve"> </w:t>
      </w:r>
      <w:r>
        <w:t xml:space="preserve">no</w:t>
      </w:r>
      <w:r>
        <w:t xml:space="preserve"> </w:t>
      </w:r>
      <w:r>
        <w:t xml:space="preserve">“</w:t>
      </w:r>
      <w:r>
        <w:t xml:space="preserve">as low as,</w:t>
      </w:r>
      <w:r>
        <w:t xml:space="preserve">”</w:t>
      </w:r>
      <w:r>
        <w:t xml:space="preserve"> </w:t>
      </w:r>
      <w:r>
        <w:t xml:space="preserve">no vague affordability language anywhere in owned content, paid ads, or comment replies.</w:t>
      </w:r>
    </w:p>
    <w:p>
      <w:pPr>
        <w:numPr>
          <w:ilvl w:val="0"/>
          <w:numId w:val="1001"/>
        </w:numPr>
        <w:pStyle w:val="Compact"/>
      </w:pPr>
      <w:r>
        <w:rPr>
          <w:bCs/>
          <w:b/>
        </w:rPr>
        <w:t xml:space="preserve">Never build a public competitor price grid.</w:t>
      </w:r>
      <w:r>
        <w:t xml:space="preserve"> </w:t>
      </w:r>
      <w:r>
        <w:t xml:space="preserve">We can describe what a competitor’s pricing</w:t>
      </w:r>
      <w:r>
        <w:t xml:space="preserve"> </w:t>
      </w:r>
      <w:r>
        <w:rPr>
          <w:iCs/>
          <w:i/>
        </w:rPr>
        <w:t xml:space="preserve">model</w:t>
      </w:r>
      <w:r>
        <w:t xml:space="preserve"> </w:t>
      </w:r>
      <w:r>
        <w:t xml:space="preserve">is (per-location, per-seat, bundled, freemium) without publishing numbers we can’t verify are current, and without inviting a public pricing argument in a comment thread.</w:t>
      </w:r>
    </w:p>
    <w:p>
      <w:pPr>
        <w:numPr>
          <w:ilvl w:val="0"/>
          <w:numId w:val="1001"/>
        </w:numPr>
        <w:pStyle w:val="Compact"/>
      </w:pPr>
      <w:r>
        <w:rPr>
          <w:bCs/>
          <w:b/>
        </w:rPr>
        <w:t xml:space="preserve">Always answer warmly and invite a call.</w:t>
      </w:r>
      <w:r>
        <w:t xml:space="preserve"> </w:t>
      </w:r>
      <w:r>
        <w:t xml:space="preserve">Every</w:t>
      </w:r>
      <w:r>
        <w:t xml:space="preserve"> </w:t>
      </w:r>
      <w:r>
        <w:t xml:space="preserve">“</w:t>
      </w:r>
      <w:r>
        <w:t xml:space="preserve">what does this cost?</w:t>
      </w:r>
      <w:r>
        <w:t xml:space="preserve">”</w:t>
      </w:r>
      <w:r>
        <w:t xml:space="preserve"> </w:t>
      </w:r>
      <w:r>
        <w:t xml:space="preserve">— in a DM, a comment, a review reply — gets a warm, specific, non-evasive answer that ends in a demo invitation, never silence and never a dodge.</w:t>
      </w:r>
    </w:p>
    <w:p>
      <w:pPr>
        <w:pStyle w:val="FirstParagraph"/>
      </w:pPr>
      <w:r>
        <w:t xml:space="preserve">The upside this creates: without a published price to lead with, every post has to earn attention on what the platform actually does. That is a harder, more honest content bar — and it is the same bar our strongest competitor content already clears.</w:t>
      </w:r>
    </w:p>
    <w:bookmarkEnd w:id="21"/>
    <w:bookmarkStart w:id="22" w:name="the-quarter-in-three-moves"/>
    <w:p>
      <w:pPr>
        <w:pStyle w:val="Heading1"/>
      </w:pPr>
      <w:r>
        <w:t xml:space="preserve">3. The quarter in three moves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Theme</w:t>
            </w:r>
          </w:p>
        </w:tc>
        <w:tc>
          <w:tcPr/>
          <w:p>
            <w:pPr>
              <w:pStyle w:val="Compact"/>
              <w:jc w:val="left"/>
            </w:pPr>
            <w:r>
              <w:t xml:space="preserve">What we do</w:t>
            </w:r>
          </w:p>
        </w:tc>
        <w:tc>
          <w:tcPr/>
          <w:p>
            <w:pPr>
              <w:pStyle w:val="Compact"/>
              <w:jc w:val="left"/>
            </w:pPr>
            <w:r>
              <w:t xml:space="preserve">What we have at the end</w:t>
            </w:r>
          </w:p>
        </w:tc>
      </w:tr>
      <w:tr>
        <w:tc>
          <w:tcPr/>
          <w:p>
            <w:pPr>
              <w:pStyle w:val="Compact"/>
              <w:jc w:val="left"/>
            </w:pPr>
            <w:r>
              <w:t xml:space="preserve">Month 1 — August (Weeks 1–4)</w:t>
            </w:r>
          </w:p>
        </w:tc>
        <w:tc>
          <w:tcPr/>
          <w:p>
            <w:pPr>
              <w:pStyle w:val="Compact"/>
              <w:jc w:val="left"/>
            </w:pPr>
            <w:r>
              <w:t xml:space="preserve">Launch &amp; foundation</w:t>
            </w:r>
          </w:p>
        </w:tc>
        <w:tc>
          <w:tcPr/>
          <w:p>
            <w:pPr>
              <w:pStyle w:val="Compact"/>
              <w:jc w:val="left"/>
            </w:pPr>
            <w:r>
              <w:t xml:space="preserve">Publish the What’s Included page and the recorded product tour. Claim and optimize every review-site profile (Capterra, G2, Google Business). Ship the Week 1–4 launch grid naming the real, category-specific pains before naming ourselves. Stand up the demo path and per-post tracking.</w:t>
            </w:r>
          </w:p>
        </w:tc>
        <w:tc>
          <w:tcPr/>
          <w:p>
            <w:pPr>
              <w:pStyle w:val="Compact"/>
              <w:jc w:val="left"/>
            </w:pPr>
            <w:r>
              <w:t xml:space="preserve">A content engine running, self-serve research covered, and a baseline to measure everything else against.</w:t>
            </w:r>
          </w:p>
        </w:tc>
      </w:tr>
      <w:tr>
        <w:tc>
          <w:tcPr/>
          <w:p>
            <w:pPr>
              <w:pStyle w:val="Compact"/>
              <w:jc w:val="left"/>
            </w:pPr>
            <w:r>
              <w:t xml:space="preserve">Month 2 — September (Weeks 5–9)</w:t>
            </w:r>
          </w:p>
        </w:tc>
        <w:tc>
          <w:tcPr/>
          <w:p>
            <w:pPr>
              <w:pStyle w:val="Compact"/>
              <w:jc w:val="left"/>
            </w:pPr>
            <w:r>
              <w:t xml:space="preserve">Vertical depth &amp; proof</w:t>
            </w:r>
          </w:p>
        </w:tc>
        <w:tc>
          <w:tcPr/>
          <w:p>
            <w:pPr>
              <w:pStyle w:val="Compact"/>
              <w:jc w:val="left"/>
            </w:pPr>
            <w:r>
              <w:t xml:space="preserve">One vertical a week — liquor, convenience, smoke/vape, CBD — plus a proof week. Weekly feature spotlights using the 3-Layer Method. First reference-customer story. Modest paid spend behind whatever is already outperforming organically.</w:t>
            </w:r>
          </w:p>
        </w:tc>
        <w:tc>
          <w:tcPr/>
          <w:p>
            <w:pPr>
              <w:pStyle w:val="Compact"/>
              <w:jc w:val="left"/>
            </w:pPr>
            <w:r>
              <w:t xml:space="preserve">Real proof from real merchants, demo requests trending up week over week, and a validated vertical rotation.</w:t>
            </w:r>
          </w:p>
        </w:tc>
      </w:tr>
      <w:tr>
        <w:tc>
          <w:tcPr/>
          <w:p>
            <w:pPr>
              <w:pStyle w:val="Compact"/>
              <w:jc w:val="left"/>
            </w:pPr>
            <w:r>
              <w:t xml:space="preserve">Month 3 — October (Weeks 10–13)</w:t>
            </w:r>
          </w:p>
        </w:tc>
        <w:tc>
          <w:tcPr/>
          <w:p>
            <w:pPr>
              <w:pStyle w:val="Compact"/>
              <w:jc w:val="left"/>
            </w:pPr>
            <w:r>
              <w:t xml:space="preserve">Scale reach &amp; credibility</w:t>
            </w:r>
          </w:p>
        </w:tc>
        <w:tc>
          <w:tcPr/>
          <w:p>
            <w:pPr>
              <w:pStyle w:val="Compact"/>
              <w:jc w:val="left"/>
            </w:pPr>
            <w:r>
              <w:t xml:space="preserve">Whole-day workflow stories from real stores, the flagship benchmark report launch with a trade-press push, and an open live demo.</w:t>
            </w:r>
          </w:p>
        </w:tc>
        <w:tc>
          <w:tcPr/>
          <w:p>
            <w:pPr>
              <w:pStyle w:val="Compact"/>
              <w:jc w:val="left"/>
            </w:pPr>
            <w:r>
              <w:t xml:space="preserve">Demo requests as the headline number, a citable proprietary data asset live, and a readout that sets Q4 targets.</w:t>
            </w:r>
          </w:p>
        </w:tc>
      </w:tr>
    </w:tbl>
    <w:bookmarkEnd w:id="22"/>
    <w:bookmarkStart w:id="23" w:name="Xd06c30379a4344c2adb8f67448b9ea98731a742"/>
    <w:p>
      <w:pPr>
        <w:pStyle w:val="Heading1"/>
      </w:pPr>
      <w:r>
        <w:t xml:space="preserve">4. The spine: a mindset ladder, not a posting schedule</w:t>
      </w:r>
    </w:p>
    <w:p>
      <w:pPr>
        <w:pStyle w:val="FirstParagraph"/>
      </w:pPr>
      <w:r>
        <w:t xml:space="preserve">Every week targets one state of mind, and each month’s job is to move the reader up one rung. A post exists because someone at a specific stage of thinking needs it — not because it was Tuesday.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Where their head is</w:t>
            </w:r>
          </w:p>
        </w:tc>
        <w:tc>
          <w:tcPr/>
          <w:p>
            <w:pPr>
              <w:pStyle w:val="Compact"/>
              <w:jc w:val="left"/>
            </w:pPr>
            <w:r>
              <w:t xml:space="preserve">What moves them up</w:t>
            </w:r>
          </w:p>
        </w:tc>
      </w:tr>
      <w:tr>
        <w:tc>
          <w:tcPr/>
          <w:p>
            <w:pPr>
              <w:pStyle w:val="Compact"/>
              <w:jc w:val="left"/>
            </w:pPr>
            <w:r>
              <w:t xml:space="preserve">Month 1</w:t>
            </w:r>
          </w:p>
        </w:tc>
        <w:tc>
          <w:tcPr/>
          <w:p>
            <w:pPr>
              <w:pStyle w:val="Compact"/>
              <w:jc w:val="left"/>
            </w:pPr>
            <w:r>
              <w:t xml:space="preserve">“</w:t>
            </w:r>
            <w:r>
              <w:t xml:space="preserve">This is just how running an age-restricted or high-SKU store is. I’ve never heard of RetailzPOS.</w:t>
            </w:r>
            <w:r>
              <w:t xml:space="preserve">”</w:t>
            </w:r>
          </w:p>
        </w:tc>
        <w:tc>
          <w:tcPr/>
          <w:p>
            <w:pPr>
              <w:pStyle w:val="Compact"/>
              <w:jc w:val="left"/>
            </w:pPr>
            <w:r>
              <w:t xml:space="preserve">Name the pain before naming ourselves — the 11pm ID check, the Sunday case-count, the regular who quietly stopped coming.</w:t>
            </w:r>
          </w:p>
        </w:tc>
      </w:tr>
      <w:tr>
        <w:tc>
          <w:tcPr/>
          <w:p>
            <w:pPr>
              <w:pStyle w:val="Compact"/>
              <w:jc w:val="left"/>
            </w:pPr>
            <w:r>
              <w:t xml:space="preserve">Month 2</w:t>
            </w:r>
          </w:p>
        </w:tc>
        <w:tc>
          <w:tcPr/>
          <w:p>
            <w:pPr>
              <w:pStyle w:val="Compact"/>
              <w:jc w:val="left"/>
            </w:pPr>
            <w:r>
              <w:t xml:space="preserve">“</w:t>
            </w:r>
            <w:r>
              <w:t xml:space="preserve">Maybe software could actually fix this — but is any of it built for</w:t>
            </w:r>
            <w:r>
              <w:t xml:space="preserve"> </w:t>
            </w:r>
            <w:r>
              <w:rPr>
                <w:iCs/>
                <w:i/>
              </w:rPr>
              <w:t xml:space="preserve">my</w:t>
            </w:r>
            <w:r>
              <w:t xml:space="preserve"> </w:t>
            </w:r>
            <w:r>
              <w:t xml:space="preserve">category specifically?</w:t>
            </w:r>
            <w:r>
              <w:t xml:space="preserve">”</w:t>
            </w:r>
          </w:p>
        </w:tc>
        <w:tc>
          <w:tcPr/>
          <w:p>
            <w:pPr>
              <w:pStyle w:val="Compact"/>
              <w:jc w:val="left"/>
            </w:pPr>
            <w:r>
              <w:t xml:space="preserve">Depth in their own vertical, in their own language, plus proof from an operator like them.</w:t>
            </w:r>
          </w:p>
        </w:tc>
      </w:tr>
      <w:tr>
        <w:tc>
          <w:tcPr/>
          <w:p>
            <w:pPr>
              <w:pStyle w:val="Compact"/>
              <w:jc w:val="left"/>
            </w:pPr>
            <w:r>
              <w:t xml:space="preserve">Month 3</w:t>
            </w:r>
          </w:p>
        </w:tc>
        <w:tc>
          <w:tcPr/>
          <w:p>
            <w:pPr>
              <w:pStyle w:val="Compact"/>
              <w:jc w:val="left"/>
            </w:pPr>
            <w:r>
              <w:t xml:space="preserve">“</w:t>
            </w:r>
            <w:r>
              <w:t xml:space="preserve">I understand what it does — show me it running in a store like mine, and show me the numbers.</w:t>
            </w:r>
            <w:r>
              <w:t xml:space="preserve">”</w:t>
            </w:r>
          </w:p>
        </w:tc>
        <w:tc>
          <w:tcPr/>
          <w:p>
            <w:pPr>
              <w:pStyle w:val="Compact"/>
              <w:jc w:val="left"/>
            </w:pPr>
            <w:r>
              <w:t xml:space="preserve">Real stores, whole-day stories, a proprietary data report, and an open demo anyone can watch.</w:t>
            </w:r>
          </w:p>
        </w:tc>
      </w:tr>
    </w:tbl>
    <w:bookmarkEnd w:id="23"/>
    <w:bookmarkStart w:id="24" w:name="competitive-landscape"/>
    <w:p>
      <w:pPr>
        <w:pStyle w:val="Heading1"/>
      </w:pPr>
      <w:r>
        <w:t xml:space="preserve">5. Competitive landscape</w:t>
      </w:r>
    </w:p>
    <w:p>
      <w:pPr>
        <w:pStyle w:val="FirstParagraph"/>
      </w:pPr>
      <w:r>
        <w:t xml:space="preserve">Seven vendors, drawn from RetailzPOS’s own published comparison research (the seven comparison posts already live at</w:t>
      </w:r>
      <w:r>
        <w:t xml:space="preserve"> </w:t>
      </w:r>
      <w:r>
        <w:rPr>
          <w:rStyle w:val="VerbatimChar"/>
        </w:rPr>
        <w:t xml:space="preserve">retailzpos-blog-01</w:t>
      </w:r>
      <w:r>
        <w:t xml:space="preserve"> </w:t>
      </w:r>
      <w:r>
        <w:t xml:space="preserve">through</w:t>
      </w:r>
      <w:r>
        <w:t xml:space="preserve"> </w:t>
      </w:r>
      <w:r>
        <w:rPr>
          <w:rStyle w:val="VerbatimChar"/>
        </w:rPr>
        <w:t xml:space="preserve">retailzpos-blog-07</w:t>
      </w:r>
      <w:r>
        <w:t xml:space="preserve">). Where our own research flagged a gap as</w:t>
      </w:r>
      <w:r>
        <w:t xml:space="preserve"> </w:t>
      </w:r>
      <w:r>
        <w:t xml:space="preserve">“</w:t>
      </w:r>
      <w:r>
        <w:t xml:space="preserve">confirm directly with vendor,</w:t>
      </w:r>
      <w:r>
        <w:t xml:space="preserve">”</w:t>
      </w:r>
      <w:r>
        <w:t xml:space="preserve"> </w:t>
      </w:r>
      <w:r>
        <w:t xml:space="preserve">that caveat is preserved here rather than filled in with a guess.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Competitor</w:t>
            </w:r>
          </w:p>
        </w:tc>
        <w:tc>
          <w:tcPr/>
          <w:p>
            <w:pPr>
              <w:pStyle w:val="Compact"/>
              <w:jc w:val="left"/>
            </w:pPr>
            <w:r>
              <w:t xml:space="preserve">Model</w:t>
            </w:r>
          </w:p>
        </w:tc>
        <w:tc>
          <w:tcPr/>
          <w:p>
            <w:pPr>
              <w:pStyle w:val="Compact"/>
              <w:jc w:val="left"/>
            </w:pPr>
            <w:r>
              <w:t xml:space="preserve">Weapon</w:t>
            </w:r>
          </w:p>
        </w:tc>
        <w:tc>
          <w:tcPr/>
          <w:p>
            <w:pPr>
              <w:pStyle w:val="Compact"/>
              <w:jc w:val="left"/>
            </w:pPr>
            <w:r>
              <w:t xml:space="preserve">Wound</w:t>
            </w:r>
          </w:p>
        </w:tc>
        <w:tc>
          <w:tcPr/>
          <w:p>
            <w:pPr>
              <w:pStyle w:val="Compact"/>
              <w:jc w:val="left"/>
            </w:pPr>
            <w:r>
              <w:t xml:space="preserve">How they market</w:t>
            </w:r>
          </w:p>
        </w:tc>
        <w:tc>
          <w:tcPr/>
          <w:p>
            <w:pPr>
              <w:pStyle w:val="Compact"/>
              <w:jc w:val="left"/>
            </w:pPr>
            <w:r>
              <w:t xml:space="preserve">What we steal</w:t>
            </w:r>
          </w:p>
        </w:tc>
        <w:tc>
          <w:tcPr/>
          <w:p>
            <w:pPr>
              <w:pStyle w:val="Compact"/>
              <w:jc w:val="left"/>
            </w:pPr>
            <w:r>
              <w:t xml:space="preserve">What we counter</w:t>
            </w:r>
          </w:p>
        </w:tc>
      </w:tr>
      <w:tr>
        <w:tc>
          <w:tcPr/>
          <w:p>
            <w:pPr>
              <w:pStyle w:val="Compact"/>
              <w:jc w:val="left"/>
            </w:pPr>
            <w:r>
              <w:rPr>
                <w:bCs/>
                <w:b/>
              </w:rPr>
              <w:t xml:space="preserve">Bottle POS</w:t>
            </w:r>
          </w:p>
        </w:tc>
        <w:tc>
          <w:tcPr/>
          <w:p>
            <w:pPr>
              <w:pStyle w:val="Compact"/>
              <w:jc w:val="left"/>
            </w:pPr>
            <w:r>
              <w:t xml:space="preserve">All-in-one bundled liquor POS + basic loyalty, single vendor</w:t>
            </w:r>
          </w:p>
        </w:tc>
        <w:tc>
          <w:tcPr/>
          <w:p>
            <w:pPr>
              <w:pStyle w:val="Compact"/>
              <w:jc w:val="left"/>
            </w:pPr>
            <w:r>
              <w:t xml:space="preserve">Simplicity — one vendor, one relationship, loyalty included free</w:t>
            </w:r>
          </w:p>
        </w:tc>
        <w:tc>
          <w:tcPr/>
          <w:p>
            <w:pPr>
              <w:pStyle w:val="Compact"/>
              <w:jc w:val="left"/>
            </w:pPr>
            <w:r>
              <w:t xml:space="preserve">Multi-location capability, compliance-feature specifics, and integration depth all land as</w:t>
            </w:r>
            <w:r>
              <w:t xml:space="preserve"> </w:t>
            </w:r>
            <w:r>
              <w:t xml:space="preserve">“</w:t>
            </w:r>
            <w:r>
              <w:t xml:space="preserve">confirm with vendor</w:t>
            </w:r>
            <w:r>
              <w:t xml:space="preserve">”</w:t>
            </w:r>
            <w:r>
              <w:t xml:space="preserve"> </w:t>
            </w:r>
            <w:r>
              <w:t xml:space="preserve">in our own comparison — not confidently marketed anywhere we’ve found</w:t>
            </w:r>
          </w:p>
        </w:tc>
        <w:tc>
          <w:tcPr/>
          <w:p>
            <w:pPr>
              <w:pStyle w:val="Compact"/>
              <w:jc w:val="left"/>
            </w:pPr>
            <w:r>
              <w:t xml:space="preserve">Liquor-vertical-direct positioning (depth unconfirmed — treat cautiously)</w:t>
            </w:r>
          </w:p>
        </w:tc>
        <w:tc>
          <w:tcPr/>
          <w:p>
            <w:pPr>
              <w:pStyle w:val="Compact"/>
              <w:jc w:val="left"/>
            </w:pPr>
            <w:r>
              <w:t xml:space="preserve">The honest single-vendor-simplicity story, for the owner who genuinely wants it</w:t>
            </w:r>
          </w:p>
        </w:tc>
        <w:tc>
          <w:tcPr/>
          <w:p>
            <w:pPr>
              <w:pStyle w:val="Compact"/>
              <w:jc w:val="left"/>
            </w:pPr>
            <w:r>
              <w:t xml:space="preserve">The growth path: the day store #2 opens, or loyalty needs to be a channel instead of a checkout feature, we’re the upgrade</w:t>
            </w:r>
          </w:p>
        </w:tc>
      </w:tr>
      <w:tr>
        <w:tc>
          <w:tcPr/>
          <w:p>
            <w:pPr>
              <w:pStyle w:val="Compact"/>
              <w:jc w:val="left"/>
            </w:pPr>
            <w:r>
              <w:rPr>
                <w:bCs/>
                <w:b/>
              </w:rPr>
              <w:t xml:space="preserve">NRS POS</w:t>
            </w:r>
          </w:p>
        </w:tc>
        <w:tc>
          <w:tcPr/>
          <w:p>
            <w:pPr>
              <w:pStyle w:val="Compact"/>
              <w:jc w:val="left"/>
            </w:pPr>
            <w:r>
              <w:t xml:space="preserve">Single vendor for POS + payments + loyalty, plus a cross-retailer discount network</w:t>
            </w:r>
          </w:p>
        </w:tc>
        <w:tc>
          <w:tcPr/>
          <w:p>
            <w:pPr>
              <w:pStyle w:val="Compact"/>
              <w:jc w:val="left"/>
            </w:pPr>
            <w:r>
              <w:t xml:space="preserve">A shared discount network customers may already recognize</w:t>
            </w:r>
          </w:p>
        </w:tc>
        <w:tc>
          <w:tcPr/>
          <w:p>
            <w:pPr>
              <w:pStyle w:val="Compact"/>
              <w:jc w:val="left"/>
            </w:pPr>
            <w:r>
              <w:t xml:space="preserve">Category-specific reward mechanics take a back seat to network breadth — one-size rewards, not liquor/smoke/c-store-tuned</w:t>
            </w:r>
          </w:p>
        </w:tc>
        <w:tc>
          <w:tcPr/>
          <w:p>
            <w:pPr>
              <w:pStyle w:val="Compact"/>
              <w:jc w:val="left"/>
            </w:pPr>
            <w:r>
              <w:t xml:space="preserve">Payments-processor-adjacent, network breadth as the headline</w:t>
            </w:r>
          </w:p>
        </w:tc>
        <w:tc>
          <w:tcPr/>
          <w:p>
            <w:pPr>
              <w:pStyle w:val="Compact"/>
              <w:jc w:val="left"/>
            </w:pPr>
            <w:r>
              <w:t xml:space="preserve">“</w:t>
            </w:r>
            <w:r>
              <w:t xml:space="preserve">One vendor, less integration risk</w:t>
            </w:r>
            <w:r>
              <w:t xml:space="preserve">”</w:t>
            </w:r>
            <w:r>
              <w:t xml:space="preserve"> </w:t>
            </w:r>
            <w:r>
              <w:t xml:space="preserve">language, for prospects who value it</w:t>
            </w:r>
          </w:p>
        </w:tc>
        <w:tc>
          <w:tcPr/>
          <w:p>
            <w:pPr>
              <w:pStyle w:val="Compact"/>
              <w:jc w:val="left"/>
            </w:pPr>
            <w:r>
              <w:t xml:space="preserve">Mechanics actually built for the category — win-back timing, SHAFT/TCPA-aware content, case-break inventory the network story never touches</w:t>
            </w:r>
          </w:p>
        </w:tc>
      </w:tr>
      <w:tr>
        <w:tc>
          <w:tcPr/>
          <w:p>
            <w:pPr>
              <w:pStyle w:val="Compact"/>
              <w:jc w:val="left"/>
            </w:pPr>
            <w:r>
              <w:rPr>
                <w:bCs/>
                <w:b/>
              </w:rPr>
              <w:t xml:space="preserve">Clover</w:t>
            </w:r>
          </w:p>
        </w:tc>
        <w:tc>
          <w:tcPr/>
          <w:p>
            <w:pPr>
              <w:pStyle w:val="Compact"/>
              <w:jc w:val="left"/>
            </w:pPr>
            <w:r>
              <w:t xml:space="preserve">General-purpose POS, broad hardware + app marketplace, free basic loyalty tier</w:t>
            </w:r>
          </w:p>
        </w:tc>
        <w:tc>
          <w:tcPr/>
          <w:p>
            <w:pPr>
              <w:pStyle w:val="Compact"/>
              <w:jc w:val="left"/>
            </w:pPr>
            <w:r>
              <w:t xml:space="preserve">Brand familiarity (shortens training time), broad app ecosystem</w:t>
            </w:r>
          </w:p>
        </w:tc>
        <w:tc>
          <w:tcPr/>
          <w:p>
            <w:pPr>
              <w:pStyle w:val="Compact"/>
              <w:jc w:val="left"/>
            </w:pPr>
            <w:r>
              <w:t xml:space="preserve">General retail by design — no native age-restricted compliance, no case-break inventory; anything vertical-specific is a bolted-on app with its own fee and reliability risk</w:t>
            </w:r>
          </w:p>
        </w:tc>
        <w:tc>
          <w:tcPr/>
          <w:p>
            <w:pPr>
              <w:pStyle w:val="Compact"/>
              <w:jc w:val="left"/>
            </w:pPr>
            <w:r>
              <w:t xml:space="preserve">Broad SMB reach, hardware + marketplace breadth, big-brand trust</w:t>
            </w:r>
          </w:p>
        </w:tc>
        <w:tc>
          <w:tcPr/>
          <w:p>
            <w:pPr>
              <w:pStyle w:val="Compact"/>
              <w:jc w:val="left"/>
            </w:pPr>
            <w:r>
              <w:t xml:space="preserve">Acknowledge familiarity reduces switching friction —</w:t>
            </w:r>
            <w:r>
              <w:t xml:space="preserve"> </w:t>
            </w:r>
            <w:r>
              <w:t xml:space="preserve">“</w:t>
            </w:r>
            <w:r>
              <w:t xml:space="preserve">if your staff already knows a POS screen, this one’s not harder</w:t>
            </w:r>
            <w:r>
              <w:t xml:space="preserve">”</w:t>
            </w:r>
          </w:p>
        </w:tc>
        <w:tc>
          <w:tcPr/>
          <w:p>
            <w:pPr>
              <w:pStyle w:val="Compact"/>
              <w:jc w:val="left"/>
            </w:pPr>
            <w:r>
              <w:t xml:space="preserve">Every app-marketplace dependency is a hidden second bill and a reliability risk; here, age-restricted compliance and case-break inventory are the product, not an add-on</w:t>
            </w:r>
          </w:p>
        </w:tc>
      </w:tr>
      <w:tr>
        <w:tc>
          <w:tcPr/>
          <w:p>
            <w:pPr>
              <w:pStyle w:val="Compact"/>
              <w:jc w:val="left"/>
            </w:pPr>
            <w:r>
              <w:rPr>
                <w:bCs/>
                <w:b/>
              </w:rPr>
              <w:t xml:space="preserve">Square for Retail</w:t>
            </w:r>
          </w:p>
        </w:tc>
        <w:tc>
          <w:tcPr/>
          <w:p>
            <w:pPr>
              <w:pStyle w:val="Compact"/>
              <w:jc w:val="left"/>
            </w:pPr>
            <w:r>
              <w:t xml:space="preserve">Broad retail POS, Square Loyalty bolt-on (~$45–49/mo/location), generic reward mechanics</w:t>
            </w:r>
          </w:p>
        </w:tc>
        <w:tc>
          <w:tcPr/>
          <w:p>
            <w:pPr>
              <w:pStyle w:val="Compact"/>
              <w:jc w:val="left"/>
            </w:pPr>
            <w:r>
              <w:t xml:space="preserve">Brand trust, ubiquity, self-serve signup, transparent-feeling published base pricing</w:t>
            </w:r>
          </w:p>
        </w:tc>
        <w:tc>
          <w:tcPr/>
          <w:p>
            <w:pPr>
              <w:pStyle w:val="Compact"/>
              <w:jc w:val="left"/>
            </w:pPr>
            <w:r>
              <w:t xml:space="preserve">Loyalty is generic — not built for age-restricted or high-SKU retail — and its cost multiplies per location, undercutting</w:t>
            </w:r>
            <w:r>
              <w:t xml:space="preserve"> </w:t>
            </w:r>
            <w:r>
              <w:t xml:space="preserve">“</w:t>
            </w:r>
            <w:r>
              <w:t xml:space="preserve">simple and transparent</w:t>
            </w:r>
            <w:r>
              <w:t xml:space="preserve">”</w:t>
            </w:r>
            <w:r>
              <w:t xml:space="preserve"> </w:t>
            </w:r>
            <w:r>
              <w:t xml:space="preserve">at multi-store scale</w:t>
            </w:r>
          </w:p>
        </w:tc>
        <w:tc>
          <w:tcPr/>
          <w:p>
            <w:pPr>
              <w:pStyle w:val="Compact"/>
              <w:jc w:val="left"/>
            </w:pPr>
            <w:r>
              <w:t xml:space="preserve">Self-serve, published pricing, broad SMB SEO/brand presence</w:t>
            </w:r>
          </w:p>
        </w:tc>
        <w:tc>
          <w:tcPr/>
          <w:p>
            <w:pPr>
              <w:pStyle w:val="Compact"/>
              <w:jc w:val="left"/>
            </w:pPr>
            <w:r>
              <w:t xml:space="preserve">The friction-free trial motion — trust-building even where we can’t publish price the same way</w:t>
            </w:r>
          </w:p>
        </w:tc>
        <w:tc>
          <w:tcPr/>
          <w:p>
            <w:pPr>
              <w:pStyle w:val="Compact"/>
              <w:jc w:val="left"/>
            </w:pPr>
            <w:r>
              <w:t xml:space="preserve">“</w:t>
            </w:r>
            <w:r>
              <w:t xml:space="preserve">Transparent</w:t>
            </w:r>
            <w:r>
              <w:t xml:space="preserve">”</w:t>
            </w:r>
            <w:r>
              <w:t xml:space="preserve"> </w:t>
            </w:r>
            <w:r>
              <w:t xml:space="preserve">pricing that multiplies per location isn’t simple at 3+ stores, and generic loyalty doesn’t move a liquor or smoke-shop regular the way category-built mechanics do</w:t>
            </w:r>
          </w:p>
        </w:tc>
      </w:tr>
      <w:tr>
        <w:tc>
          <w:tcPr/>
          <w:p>
            <w:pPr>
              <w:pStyle w:val="Compact"/>
              <w:jc w:val="left"/>
            </w:pPr>
            <w:r>
              <w:rPr>
                <w:bCs/>
                <w:b/>
              </w:rPr>
              <w:t xml:space="preserve">Loyverse</w:t>
            </w:r>
          </w:p>
        </w:tc>
        <w:tc>
          <w:tcPr/>
          <w:p>
            <w:pPr>
              <w:pStyle w:val="Compact"/>
              <w:jc w:val="left"/>
            </w:pPr>
            <w:r>
              <w:t xml:space="preserve">Free POS + loyalty tier, paid tiers unlock multi-store and deeper reporting</w:t>
            </w:r>
          </w:p>
        </w:tc>
        <w:tc>
          <w:tcPr/>
          <w:p>
            <w:pPr>
              <w:pStyle w:val="Compact"/>
              <w:jc w:val="left"/>
            </w:pPr>
            <w:r>
              <w:t xml:space="preserve">Free — genuinely enough for a very small, cost-sensitive, low-complexity operator just starting out</w:t>
            </w:r>
          </w:p>
        </w:tc>
        <w:tc>
          <w:tcPr/>
          <w:p>
            <w:pPr>
              <w:pStyle w:val="Compact"/>
              <w:jc w:val="left"/>
            </w:pPr>
            <w:r>
              <w:t xml:space="preserve">The free tier’s limits become the real cost: manual case-break reconciliation, staff-memory-dependent age checks, no way to target the customer who quietly stopped coming back</w:t>
            </w:r>
          </w:p>
        </w:tc>
        <w:tc>
          <w:tcPr/>
          <w:p>
            <w:pPr>
              <w:pStyle w:val="Compact"/>
              <w:jc w:val="left"/>
            </w:pPr>
            <w:r>
              <w:t xml:space="preserve">Freemium acquisition, honest</w:t>
            </w:r>
            <w:r>
              <w:t xml:space="preserve"> </w:t>
            </w:r>
            <w:r>
              <w:t xml:space="preserve">“</w:t>
            </w:r>
            <w:r>
              <w:t xml:space="preserve">start free</w:t>
            </w:r>
            <w:r>
              <w:t xml:space="preserve">”</w:t>
            </w:r>
            <w:r>
              <w:t xml:space="preserve"> </w:t>
            </w:r>
            <w:r>
              <w:t xml:space="preserve">positioning for cost-sensitive owners</w:t>
            </w:r>
          </w:p>
        </w:tc>
        <w:tc>
          <w:tcPr/>
          <w:p>
            <w:pPr>
              <w:pStyle w:val="Compact"/>
              <w:jc w:val="left"/>
            </w:pPr>
            <w:r>
              <w:t xml:space="preserve">Meeting the truly-just-starting-out owner where they are, instead of dismissing free-tier users as unqualified</w:t>
            </w:r>
          </w:p>
        </w:tc>
        <w:tc>
          <w:tcPr/>
          <w:p>
            <w:pPr>
              <w:pStyle w:val="Compact"/>
              <w:jc w:val="left"/>
            </w:pPr>
            <w:r>
              <w:t xml:space="preserve">The moment shrinkage, a near-miss age-verification incident, or real multi-store complexity shows up,</w:t>
            </w:r>
            <w:r>
              <w:t xml:space="preserve"> </w:t>
            </w:r>
            <w:r>
              <w:t xml:space="preserve">“</w:t>
            </w:r>
            <w:r>
              <w:t xml:space="preserve">free</w:t>
            </w:r>
            <w:r>
              <w:t xml:space="preserve">”</w:t>
            </w:r>
            <w:r>
              <w:t xml:space="preserve"> </w:t>
            </w:r>
            <w:r>
              <w:t xml:space="preserve">has already cost more in time and risk than a subscription would have</w:t>
            </w:r>
          </w:p>
        </w:tc>
      </w:tr>
      <w:tr>
        <w:tc>
          <w:tcPr/>
          <w:p>
            <w:pPr>
              <w:pStyle w:val="Compact"/>
              <w:jc w:val="left"/>
            </w:pPr>
            <w:r>
              <w:rPr>
                <w:bCs/>
                <w:b/>
              </w:rPr>
              <w:t xml:space="preserve">LMS-POS</w:t>
            </w:r>
          </w:p>
        </w:tc>
        <w:tc>
          <w:tcPr/>
          <w:p>
            <w:pPr>
              <w:pStyle w:val="Compact"/>
              <w:jc w:val="left"/>
            </w:pPr>
            <w:r>
              <w:t xml:space="preserve">Bundled liquor POS + basic loyalty, single-vendor simplicity</w:t>
            </w:r>
          </w:p>
        </w:tc>
        <w:tc>
          <w:tcPr/>
          <w:p>
            <w:pPr>
              <w:pStyle w:val="Compact"/>
              <w:jc w:val="left"/>
            </w:pPr>
            <w:r>
              <w:t xml:space="preserve">Simplest possible bundled setup for an owner who wants one relationship</w:t>
            </w:r>
          </w:p>
        </w:tc>
        <w:tc>
          <w:tcPr/>
          <w:p>
            <w:pPr>
              <w:pStyle w:val="Compact"/>
              <w:jc w:val="left"/>
            </w:pPr>
            <w:r>
              <w:t xml:space="preserve">Basic loyalty tracking only — no AI-driven inventory intelligence, no compliance-first audit logging, no multi-location growth path</w:t>
            </w:r>
          </w:p>
        </w:tc>
        <w:tc>
          <w:tcPr/>
          <w:p>
            <w:pPr>
              <w:pStyle w:val="Compact"/>
              <w:jc w:val="left"/>
            </w:pPr>
            <w:r>
              <w:t xml:space="preserve">Presumed liquor-vertical-direct, simplicity-first (depth unconfirmed — same caveat as Bottle POS)</w:t>
            </w:r>
          </w:p>
        </w:tc>
        <w:tc>
          <w:tcPr/>
          <w:p>
            <w:pPr>
              <w:pStyle w:val="Compact"/>
              <w:jc w:val="left"/>
            </w:pPr>
            <w:r>
              <w:t xml:space="preserve">The single-vendor-relationship comfort some owners genuinely want</w:t>
            </w:r>
          </w:p>
        </w:tc>
        <w:tc>
          <w:tcPr/>
          <w:p>
            <w:pPr>
              <w:pStyle w:val="Compact"/>
              <w:jc w:val="left"/>
            </w:pPr>
            <w:r>
              <w:t xml:space="preserve">AI-driven inventory intelligence, compliance-first audit logging, and a real multi-location path — what this owner wants the day store #2 opens or an auditor calls</w:t>
            </w:r>
          </w:p>
        </w:tc>
      </w:tr>
      <w:tr>
        <w:tc>
          <w:tcPr/>
          <w:p>
            <w:pPr>
              <w:pStyle w:val="Compact"/>
              <w:jc w:val="left"/>
            </w:pPr>
            <w:r>
              <w:rPr>
                <w:bCs/>
                <w:b/>
              </w:rPr>
              <w:t xml:space="preserve">KORONA POS</w:t>
            </w:r>
          </w:p>
        </w:tc>
        <w:tc>
          <w:tcPr/>
          <w:p>
            <w:pPr>
              <w:pStyle w:val="Compact"/>
              <w:jc w:val="left"/>
            </w:pPr>
            <w:r>
              <w:t xml:space="preserve">Broader vertical POS player, not liquor-exclusive</w:t>
            </w:r>
          </w:p>
        </w:tc>
        <w:tc>
          <w:tcPr/>
          <w:p>
            <w:pPr>
              <w:pStyle w:val="Compact"/>
              <w:jc w:val="left"/>
            </w:pPr>
            <w:r>
              <w:t xml:space="preserve">Content authority — per our own prior research, the most sophisticated published content operation in this niche</w:t>
            </w:r>
          </w:p>
        </w:tc>
        <w:tc>
          <w:tcPr/>
          <w:p>
            <w:pPr>
              <w:pStyle w:val="Compact"/>
              <w:jc w:val="left"/>
            </w:pPr>
            <w:r>
              <w:t xml:space="preserve">Breadth over vertical-native depth — a strong content engine isn’t the same as category-built loyalty, case-break inventory, and SHAFT-aware SMS purpose-built for this category</w:t>
            </w:r>
          </w:p>
        </w:tc>
        <w:tc>
          <w:tcPr/>
          <w:p>
            <w:pPr>
              <w:pStyle w:val="Compact"/>
              <w:jc w:val="left"/>
            </w:pPr>
            <w:r>
              <w:t xml:space="preserve">Content- and SEO-led, positioned as the default comparison/citation source</w:t>
            </w:r>
          </w:p>
        </w:tc>
        <w:tc>
          <w:tcPr/>
          <w:p>
            <w:pPr>
              <w:pStyle w:val="Compact"/>
              <w:jc w:val="left"/>
            </w:pPr>
            <w:r>
              <w:t xml:space="preserve">Their content discipline is the benchmark, not a template — proof this category rewards genuine authority content</w:t>
            </w:r>
          </w:p>
        </w:tc>
        <w:tc>
          <w:tcPr/>
          <w:p>
            <w:pPr>
              <w:pStyle w:val="Compact"/>
              <w:jc w:val="left"/>
            </w:pPr>
            <w:r>
              <w:t xml:space="preserve">Out-publish and out-cite them with a real proprietary data source (the flagship benchmark report) and deeper vertical-native product depth</w:t>
            </w:r>
          </w:p>
        </w:tc>
      </w:tr>
    </w:tbl>
    <w:bookmarkEnd w:id="24"/>
    <w:bookmarkStart w:id="25" w:name="positioning-statement"/>
    <w:p>
      <w:pPr>
        <w:pStyle w:val="Heading1"/>
      </w:pPr>
      <w:r>
        <w:t xml:space="preserve">6. Positioning statement</w:t>
      </w:r>
    </w:p>
    <w:p>
      <w:pPr>
        <w:pStyle w:val="FirstParagraph"/>
      </w:pPr>
      <w:r>
        <w:t xml:space="preserve">For independent liquor, convenience, smoke/vape, and CBD retailers who are done losing customers they never knew they’d lost, RetailzPOS is the point-of-sale system built for what you actually sell — with compliance, inventory, and loyalty made for age-restricted, high-SKU retail from the start, not bolted onto a general platform afterward.</w:t>
      </w:r>
    </w:p>
    <w:bookmarkEnd w:id="25"/>
    <w:bookmarkStart w:id="26" w:name="what-we-say-five-messaging-pillars"/>
    <w:p>
      <w:pPr>
        <w:pStyle w:val="Heading1"/>
      </w:pPr>
      <w:r>
        <w:t xml:space="preserve">7. What we say: five messaging pillars</w:t>
      </w:r>
    </w:p>
    <w:p>
      <w:pPr>
        <w:pStyle w:val="FirstParagraph"/>
      </w:pPr>
      <w:r>
        <w:t xml:space="preserve">Every post, page, and email ladders back to exactly one. Rotating them keeps the message consistent without becoming repetitive.</w:t>
      </w:r>
    </w:p>
    <w:p>
      <w:pPr>
        <w:numPr>
          <w:ilvl w:val="0"/>
          <w:numId w:val="1002"/>
        </w:numPr>
        <w:pStyle w:val="Compact"/>
      </w:pPr>
      <w:r>
        <w:rPr>
          <w:bCs/>
          <w:b/>
        </w:rPr>
        <w:t xml:space="preserve">Built for what needs an ID check.</w:t>
      </w:r>
      <w:r>
        <w:t xml:space="preserve"> </w:t>
      </w:r>
      <w:r>
        <w:t xml:space="preserve">Against soft-block prompts and staff-memory compliance. Hard-block age verification with automatic audit logging — the transaction cannot complete without a passed check.</w:t>
      </w:r>
    </w:p>
    <w:p>
      <w:pPr>
        <w:numPr>
          <w:ilvl w:val="0"/>
          <w:numId w:val="1002"/>
        </w:numPr>
        <w:pStyle w:val="Compact"/>
      </w:pPr>
      <w:r>
        <w:rPr>
          <w:bCs/>
          <w:b/>
        </w:rPr>
        <w:t xml:space="preserve">Every case, every bottle, every SKU — accounted for.</w:t>
      </w:r>
      <w:r>
        <w:t xml:space="preserve"> </w:t>
      </w:r>
      <w:r>
        <w:t xml:space="preserve">Against generic, general-merchandise inventory tools. Case-to-unit conversion and AI reorder alerts built for case-break, high-SKU retail.</w:t>
      </w:r>
    </w:p>
    <w:p>
      <w:pPr>
        <w:numPr>
          <w:ilvl w:val="0"/>
          <w:numId w:val="1002"/>
        </w:numPr>
        <w:pStyle w:val="Compact"/>
      </w:pPr>
      <w:r>
        <w:rPr>
          <w:bCs/>
          <w:b/>
        </w:rPr>
        <w:t xml:space="preserve">Your regulars, remembered automatically.</w:t>
      </w:r>
      <w:r>
        <w:t xml:space="preserve"> </w:t>
      </w:r>
      <w:r>
        <w:t xml:space="preserve">Against generic bolted-on loyalty (Square Loyalty’s flat mechanics, Clover’s free tier). Moolah Points — native, category-specific reward mechanics, SHAFT/TCPA-aware campaigns.</w:t>
      </w:r>
    </w:p>
    <w:p>
      <w:pPr>
        <w:numPr>
          <w:ilvl w:val="0"/>
          <w:numId w:val="1002"/>
        </w:numPr>
        <w:pStyle w:val="Compact"/>
      </w:pPr>
      <w:r>
        <w:rPr>
          <w:bCs/>
          <w:b/>
        </w:rPr>
        <w:t xml:space="preserve">One system, every register, every location.</w:t>
      </w:r>
      <w:r>
        <w:t xml:space="preserve"> </w:t>
      </w:r>
      <w:r>
        <w:t xml:space="preserve">Against fragmented tools and per-location fee creep. Unified inventory and reporting across every store from day one.</w:t>
      </w:r>
    </w:p>
    <w:p>
      <w:pPr>
        <w:numPr>
          <w:ilvl w:val="0"/>
          <w:numId w:val="1002"/>
        </w:numPr>
        <w:pStyle w:val="Compact"/>
      </w:pPr>
      <w:r>
        <w:rPr>
          <w:bCs/>
          <w:b/>
        </w:rPr>
        <w:t xml:space="preserve">A quote built around your store, not a shelf price.</w:t>
      </w:r>
      <w:r>
        <w:t xml:space="preserve"> </w:t>
      </w:r>
      <w:r>
        <w:t xml:space="preserve">Against opaque enterprise-style quotes and generic per-seat pricing. Pricing is a real conversation on a call, built around your store — never a guess, never hidden.</w:t>
      </w:r>
    </w:p>
    <w:bookmarkEnd w:id="26"/>
    <w:bookmarkStart w:id="28" w:name="brand-tone-and-voice"/>
    <w:p>
      <w:pPr>
        <w:pStyle w:val="Heading1"/>
      </w:pPr>
      <w:r>
        <w:t xml:space="preserve">8. Brand tone and voice</w:t>
      </w:r>
    </w:p>
    <w:p>
      <w:pPr>
        <w:pStyle w:val="FirstParagraph"/>
      </w:pPr>
      <w:r>
        <w:t xml:space="preserve">Owner-to-owner, plain English, specific numbers instead of superlatives. We sound like someone who has stood behind the counter at 11pm on a Friday waiting on an ID scan, and now helps other owners run that counter with less risk and less guesswork — direct about the value, respectful of how thin the owner’s time and margin already are. If a sentence would sound strange said out loud across a register, it gets rewritten.</w:t>
      </w:r>
    </w:p>
    <w:p>
      <w:pPr>
        <w:pStyle w:val="BodyText"/>
      </w:pPr>
      <w:r>
        <w:t xml:space="preserve">On price, publicly: we answer warmly and invite a call. We never quote a figure, a range, or a soft anchor like</w:t>
      </w:r>
      <w:r>
        <w:t xml:space="preserve"> </w:t>
      </w:r>
      <w:r>
        <w:t xml:space="preserve">“</w:t>
      </w:r>
      <w:r>
        <w:t xml:space="preserve">affordable.</w:t>
      </w:r>
      <w:r>
        <w:t xml:space="preserve">”</w:t>
      </w:r>
      <w:r>
        <w:t xml:space="preserve"> </w:t>
      </w:r>
      <w:r>
        <w:t xml:space="preserve">The approved wording lives in the Content Book, and everyone touching the accounts has it before Day 1.</w:t>
      </w:r>
    </w:p>
    <w:bookmarkStart w:id="27" w:name="the-3-layer-feature-method"/>
    <w:p>
      <w:pPr>
        <w:pStyle w:val="Heading2"/>
      </w:pPr>
      <w:r>
        <w:t xml:space="preserve">The 3-Layer Feature Method</w:t>
      </w:r>
    </w:p>
    <w:p>
      <w:pPr>
        <w:pStyle w:val="FirstParagraph"/>
      </w:pPr>
      <w:r>
        <w:t xml:space="preserve">Every feature-based post uses this formula, in order, with layer 3 always ending in “so you can ___“:</w:t>
      </w:r>
    </w:p>
    <w:p>
      <w:pPr>
        <w:pStyle w:val="BodyText"/>
      </w:pPr>
      <w:r>
        <w:rPr>
          <w:bCs/>
          <w:b/>
        </w:rPr>
        <w:t xml:space="preserve">Feature</w:t>
      </w:r>
      <w:r>
        <w:t xml:space="preserve"> </w:t>
      </w:r>
      <w:r>
        <w:t xml:space="preserve">(what it is) →</w:t>
      </w:r>
      <w:r>
        <w:t xml:space="preserve"> </w:t>
      </w:r>
      <w:r>
        <w:rPr>
          <w:bCs/>
          <w:b/>
        </w:rPr>
        <w:t xml:space="preserve">Function</w:t>
      </w:r>
      <w:r>
        <w:t xml:space="preserve"> </w:t>
      </w:r>
      <w:r>
        <w:t xml:space="preserve">(what it actually does at the register) →</w:t>
      </w:r>
      <w:r>
        <w:t xml:space="preserve"> </w:t>
      </w:r>
      <w:r>
        <w:rPr>
          <w:bCs/>
          <w:b/>
        </w:rPr>
        <w:t xml:space="preserve">Benefit</w:t>
      </w:r>
      <w:r>
        <w:t xml:space="preserve"> </w:t>
      </w:r>
      <w:r>
        <w:t xml:space="preserve">(so you can ___, the real-world outcome an owner feels)</w:t>
      </w:r>
    </w:p>
    <w:p>
      <w:pPr>
        <w:pStyle w:val="BodyText"/>
      </w:pPr>
      <w:r>
        <w:t xml:space="preserve">Applied to RetailzPOS’s real features: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Function</w:t>
            </w:r>
          </w:p>
        </w:tc>
        <w:tc>
          <w:tcPr/>
          <w:p>
            <w:pPr>
              <w:pStyle w:val="Compact"/>
              <w:jc w:val="left"/>
            </w:pPr>
            <w:r>
              <w:t xml:space="preserve">Benefit</w:t>
            </w:r>
          </w:p>
        </w:tc>
      </w:tr>
      <w:tr>
        <w:tc>
          <w:tcPr/>
          <w:p>
            <w:pPr>
              <w:pStyle w:val="Compact"/>
              <w:jc w:val="left"/>
            </w:pPr>
            <w:r>
              <w:t xml:space="preserve">Hard-block age verification</w:t>
            </w:r>
          </w:p>
        </w:tc>
        <w:tc>
          <w:tcPr/>
          <w:p>
            <w:pPr>
              <w:pStyle w:val="Compact"/>
              <w:jc w:val="left"/>
            </w:pPr>
            <w:r>
              <w:t xml:space="preserve">Transaction physically cannot complete without a passed ID check</w:t>
            </w:r>
          </w:p>
        </w:tc>
        <w:tc>
          <w:tcPr/>
          <w:p>
            <w:pPr>
              <w:pStyle w:val="Compact"/>
              <w:jc w:val="left"/>
            </w:pPr>
            <w:r>
              <w:t xml:space="preserve">So you can staff confidently — even with a brand-new hire on a Friday night — without one missed check becoming a fine or a license review</w:t>
            </w:r>
          </w:p>
        </w:tc>
      </w:tr>
      <w:tr>
        <w:tc>
          <w:tcPr/>
          <w:p>
            <w:pPr>
              <w:pStyle w:val="Compact"/>
              <w:jc w:val="left"/>
            </w:pPr>
            <w:r>
              <w:t xml:space="preserve">Automatic audit logging</w:t>
            </w:r>
          </w:p>
        </w:tc>
        <w:tc>
          <w:tcPr/>
          <w:p>
            <w:pPr>
              <w:pStyle w:val="Compact"/>
              <w:jc w:val="left"/>
            </w:pPr>
            <w:r>
              <w:t xml:space="preserve">Every age-verification check is timestamped and stored without staff having to do anything</w:t>
            </w:r>
          </w:p>
        </w:tc>
        <w:tc>
          <w:tcPr/>
          <w:p>
            <w:pPr>
              <w:pStyle w:val="Compact"/>
              <w:jc w:val="left"/>
            </w:pPr>
            <w:r>
              <w:t xml:space="preserve">So you can hand over a clean record the moment a regulator or auditor asks, instead of scrambling</w:t>
            </w:r>
          </w:p>
        </w:tc>
      </w:tr>
      <w:tr>
        <w:tc>
          <w:tcPr/>
          <w:p>
            <w:pPr>
              <w:pStyle w:val="Compact"/>
              <w:jc w:val="left"/>
            </w:pPr>
            <w:r>
              <w:t xml:space="preserve">Case-break inventory conversion</w:t>
            </w:r>
          </w:p>
        </w:tc>
        <w:tc>
          <w:tcPr/>
          <w:p>
            <w:pPr>
              <w:pStyle w:val="Compact"/>
              <w:jc w:val="left"/>
            </w:pPr>
            <w:r>
              <w:t xml:space="preserve">A case auto-converts to single-unit stock the instant it’s broken</w:t>
            </w:r>
          </w:p>
        </w:tc>
        <w:tc>
          <w:tcPr/>
          <w:p>
            <w:pPr>
              <w:pStyle w:val="Compact"/>
              <w:jc w:val="left"/>
            </w:pPr>
            <w:r>
              <w:t xml:space="preserve">So you can trust the number on the screen instead of recounting the walk-in every week</w:t>
            </w:r>
          </w:p>
        </w:tc>
      </w:tr>
      <w:tr>
        <w:tc>
          <w:tcPr/>
          <w:p>
            <w:pPr>
              <w:pStyle w:val="Compact"/>
              <w:jc w:val="left"/>
            </w:pPr>
            <w:r>
              <w:t xml:space="preserve">AI-driven reorder alerts</w:t>
            </w:r>
          </w:p>
        </w:tc>
        <w:tc>
          <w:tcPr/>
          <w:p>
            <w:pPr>
              <w:pStyle w:val="Compact"/>
              <w:jc w:val="left"/>
            </w:pPr>
            <w:r>
              <w:t xml:space="preserve">Flags what’s about to run out based on real sales velocity, not a fixed par level</w:t>
            </w:r>
          </w:p>
        </w:tc>
        <w:tc>
          <w:tcPr/>
          <w:p>
            <w:pPr>
              <w:pStyle w:val="Compact"/>
              <w:jc w:val="left"/>
            </w:pPr>
            <w:r>
              <w:t xml:space="preserve">So you can reorder before the shelf goes empty, not after a customer asks why you’re out</w:t>
            </w:r>
          </w:p>
        </w:tc>
      </w:tr>
      <w:tr>
        <w:tc>
          <w:tcPr/>
          <w:p>
            <w:pPr>
              <w:pStyle w:val="Compact"/>
              <w:jc w:val="left"/>
            </w:pPr>
            <w:r>
              <w:t xml:space="preserve">Moolah Points win-back automation</w:t>
            </w:r>
          </w:p>
        </w:tc>
        <w:tc>
          <w:tcPr/>
          <w:p>
            <w:pPr>
              <w:pStyle w:val="Compact"/>
              <w:jc w:val="left"/>
            </w:pPr>
            <w:r>
              <w:t xml:space="preserve">Automatically triggers a message once a customer misses their usual visit window</w:t>
            </w:r>
          </w:p>
        </w:tc>
        <w:tc>
          <w:tcPr/>
          <w:p>
            <w:pPr>
              <w:pStyle w:val="Compact"/>
              <w:jc w:val="left"/>
            </w:pPr>
            <w:r>
              <w:t xml:space="preserve">So you can bring back the regular who quietly stopped coming, without personally remembering to</w:t>
            </w:r>
          </w:p>
        </w:tc>
      </w:tr>
      <w:tr>
        <w:tc>
          <w:tcPr/>
          <w:p>
            <w:pPr>
              <w:pStyle w:val="Compact"/>
              <w:jc w:val="left"/>
            </w:pPr>
            <w:r>
              <w:t xml:space="preserve">SHAFT/TCPA-aware campaign templates</w:t>
            </w:r>
          </w:p>
        </w:tc>
        <w:tc>
          <w:tcPr/>
          <w:p>
            <w:pPr>
              <w:pStyle w:val="Compact"/>
              <w:jc w:val="left"/>
            </w:pPr>
            <w:r>
              <w:t xml:space="preserve">Pre-built messaging routes through compliant, category-safe language and consent flows</w:t>
            </w:r>
          </w:p>
        </w:tc>
        <w:tc>
          <w:tcPr/>
          <w:p>
            <w:pPr>
              <w:pStyle w:val="Compact"/>
              <w:jc w:val="left"/>
            </w:pPr>
            <w:r>
              <w:t xml:space="preserve">So you can market to your list without wondering if today’s text is the one that gets you flagged</w:t>
            </w:r>
          </w:p>
        </w:tc>
      </w:tr>
      <w:tr>
        <w:tc>
          <w:tcPr/>
          <w:p>
            <w:pPr>
              <w:pStyle w:val="Compact"/>
              <w:jc w:val="left"/>
            </w:pPr>
            <w:r>
              <w:t xml:space="preserve">Dual cash/card pricing</w:t>
            </w:r>
          </w:p>
        </w:tc>
        <w:tc>
          <w:tcPr/>
          <w:p>
            <w:pPr>
              <w:pStyle w:val="Compact"/>
              <w:jc w:val="left"/>
            </w:pPr>
            <w:r>
              <w:t xml:space="preserve">Displays and charges the correct price automatically depending on tender type</w:t>
            </w:r>
          </w:p>
        </w:tc>
        <w:tc>
          <w:tcPr/>
          <w:p>
            <w:pPr>
              <w:pStyle w:val="Compact"/>
              <w:jc w:val="left"/>
            </w:pPr>
            <w:r>
              <w:t xml:space="preserve">So you can absorb card processing costs fairly, without awkward at-register math</w:t>
            </w:r>
          </w:p>
        </w:tc>
      </w:tr>
      <w:tr>
        <w:tc>
          <w:tcPr/>
          <w:p>
            <w:pPr>
              <w:pStyle w:val="Compact"/>
              <w:jc w:val="left"/>
            </w:pPr>
            <w:r>
              <w:t xml:space="preserve">Multi-location unified reporting</w:t>
            </w:r>
          </w:p>
        </w:tc>
        <w:tc>
          <w:tcPr/>
          <w:p>
            <w:pPr>
              <w:pStyle w:val="Compact"/>
              <w:jc w:val="left"/>
            </w:pPr>
            <w:r>
              <w:t xml:space="preserve">One dashboard shows inventory, sales, and loyalty across every store</w:t>
            </w:r>
          </w:p>
        </w:tc>
        <w:tc>
          <w:tcPr/>
          <w:p>
            <w:pPr>
              <w:pStyle w:val="Compact"/>
              <w:jc w:val="left"/>
            </w:pPr>
            <w:r>
              <w:t xml:space="preserve">So you can open a second or third location without doubling your admin work</w:t>
            </w:r>
          </w:p>
        </w:tc>
      </w:tr>
      <w:tr>
        <w:tc>
          <w:tcPr/>
          <w:p>
            <w:pPr>
              <w:pStyle w:val="Compact"/>
              <w:jc w:val="left"/>
            </w:pPr>
            <w:r>
              <w:t xml:space="preserve">EDI invoicing</w:t>
            </w:r>
          </w:p>
        </w:tc>
        <w:tc>
          <w:tcPr/>
          <w:p>
            <w:pPr>
              <w:pStyle w:val="Compact"/>
              <w:jc w:val="left"/>
            </w:pPr>
            <w:r>
              <w:t xml:space="preserve">Distributor invoices import and reconcile against received stock automatically</w:t>
            </w:r>
          </w:p>
        </w:tc>
        <w:tc>
          <w:tcPr/>
          <w:p>
            <w:pPr>
              <w:pStyle w:val="Compact"/>
              <w:jc w:val="left"/>
            </w:pPr>
            <w:r>
              <w:t xml:space="preserve">So you can catch a shorted case before it becomes a month-end surprise</w:t>
            </w:r>
          </w:p>
        </w:tc>
      </w:tr>
      <w:tr>
        <w:tc>
          <w:tcPr/>
          <w:p>
            <w:pPr>
              <w:pStyle w:val="Compact"/>
              <w:jc w:val="left"/>
            </w:pPr>
            <w:r>
              <w:t xml:space="preserve">Omnichannel/e-commerce sync</w:t>
            </w:r>
          </w:p>
        </w:tc>
        <w:tc>
          <w:tcPr/>
          <w:p>
            <w:pPr>
              <w:pStyle w:val="Compact"/>
              <w:jc w:val="left"/>
            </w:pPr>
            <w:r>
              <w:t xml:space="preserve">Online and in-store inventory stay in sync in real time</w:t>
            </w:r>
          </w:p>
        </w:tc>
        <w:tc>
          <w:tcPr/>
          <w:p>
            <w:pPr>
              <w:pStyle w:val="Compact"/>
              <w:jc w:val="left"/>
            </w:pPr>
            <w:r>
              <w:t xml:space="preserve">So you can sell online without the fear of a phantom stockout</w:t>
            </w:r>
          </w:p>
        </w:tc>
      </w:tr>
    </w:tbl>
    <w:p>
      <w:pPr>
        <w:pStyle w:val="BodyText"/>
      </w:pPr>
      <w:r>
        <w:rPr>
          <w:bCs/>
          <w:b/>
        </w:rPr>
        <w:t xml:space="preserve">Do not market yet:</w:t>
      </w:r>
      <w:r>
        <w:t xml:space="preserve"> </w:t>
      </w:r>
      <w:r>
        <w:t xml:space="preserve">any specific published support response-time/SLA number until Sales/Support confirms and signs off (see Section 23) — commit to nothing we can’t hold. Any blanket</w:t>
      </w:r>
      <w:r>
        <w:t xml:space="preserve"> </w:t>
      </w:r>
      <w:r>
        <w:t xml:space="preserve">“</w:t>
      </w:r>
      <w:r>
        <w:t xml:space="preserve">fully compliant in every state</w:t>
      </w:r>
      <w:r>
        <w:t xml:space="preserve">”</w:t>
      </w:r>
      <w:r>
        <w:t xml:space="preserve"> </w:t>
      </w:r>
      <w:r>
        <w:t xml:space="preserve">CBD claim — CBD legality is a genuine state-by-state patchwork, and every CBD post routes the reader to</w:t>
      </w:r>
      <w:r>
        <w:t xml:space="preserve"> </w:t>
      </w:r>
      <w:r>
        <w:t xml:space="preserve">“</w:t>
      </w:r>
      <w:r>
        <w:t xml:space="preserve">confirm your state’s current rules,</w:t>
      </w:r>
      <w:r>
        <w:t xml:space="preserve">”</w:t>
      </w:r>
      <w:r>
        <w:t xml:space="preserve"> </w:t>
      </w:r>
      <w:r>
        <w:t xml:space="preserve">never a blanket assurance.</w:t>
      </w:r>
    </w:p>
    <w:bookmarkEnd w:id="27"/>
    <w:bookmarkEnd w:id="28"/>
    <w:bookmarkStart w:id="34" w:name="X492585fbe8ba601a6ea49cecf08f78d103240a5"/>
    <w:p>
      <w:pPr>
        <w:pStyle w:val="Heading1"/>
      </w:pPr>
      <w:r>
        <w:t xml:space="preserve">9. Who we’re talking to: five buyers, in priority order</w:t>
      </w:r>
    </w:p>
    <w:p>
      <w:pPr>
        <w:pStyle w:val="FirstParagraph"/>
      </w:pPr>
      <w:r>
        <w:t xml:space="preserve">Every post in the calendar is tagged to one of these five. If a post can’t name who it’s for, it’s aimed at nobody.</w:t>
      </w:r>
    </w:p>
    <w:bookmarkStart w:id="29" w:name="X782111b9cba0d8229e9096700ad3f339a5a2f1d"/>
    <w:p>
      <w:pPr>
        <w:pStyle w:val="Heading2"/>
      </w:pPr>
      <w:r>
        <w:t xml:space="preserve">1. Danny —</w:t>
      </w:r>
      <w:r>
        <w:t xml:space="preserve"> </w:t>
      </w:r>
      <w:r>
        <w:t xml:space="preserve">“</w:t>
      </w:r>
      <w:r>
        <w:t xml:space="preserve">The Compliance-Conscious Independent</w:t>
      </w:r>
      <w:r>
        <w:t xml:space="preserve">”</w:t>
      </w:r>
      <w:r>
        <w:t xml:space="preserve"> </w:t>
      </w:r>
      <w:r>
        <w:t xml:space="preserve">(liquor store owner) — primary</w:t>
      </w:r>
    </w:p>
    <w:p>
      <w:pPr>
        <w:pStyle w:val="FirstParagraph"/>
      </w:pPr>
      <w:r>
        <w:t xml:space="preserve">Single-location or 2–3 location independent liquor/wine/spirits retailer, 40s–50s, works the floor most shifts. His informal</w:t>
      </w:r>
      <w:r>
        <w:t xml:space="preserve"> </w:t>
      </w:r>
      <w:r>
        <w:t xml:space="preserve">“</w:t>
      </w:r>
      <w:r>
        <w:t xml:space="preserve">loyalty program</w:t>
      </w:r>
      <w:r>
        <w:t xml:space="preserve">”</w:t>
      </w:r>
      <w:r>
        <w:t xml:space="preserve"> </w:t>
      </w:r>
      <w:r>
        <w:t xml:space="preserve">is a punch card or nothing — he knows his regulars by name and genuinely believes that</w:t>
      </w:r>
      <w:r>
        <w:t xml:space="preserve"> </w:t>
      </w:r>
      <w:r>
        <w:rPr>
          <w:iCs/>
          <w:i/>
        </w:rPr>
        <w:t xml:space="preserve">is</w:t>
      </w:r>
      <w:r>
        <w:t xml:space="preserve"> </w:t>
      </w:r>
      <w:r>
        <w:t xml:space="preserve">the loyalty program. Compliance anxiety is sharper for him than any other persona: he’s aware, even fuzzily, of DISCUS-aligned marketing norms, state ABC board rules, and platform restrictions (Meta’s 21+ age-gating requirements, TikTok’s ban on retail alcohol-sale ads). He worries a new subscription is one more thing that</w:t>
      </w:r>
      <w:r>
        <w:t xml:space="preserve"> </w:t>
      </w:r>
      <w:r>
        <w:t xml:space="preserve">“</w:t>
      </w:r>
      <w:r>
        <w:t xml:space="preserve">sounded good in the demo</w:t>
      </w:r>
      <w:r>
        <w:t xml:space="preserve">”</w:t>
      </w:r>
      <w:r>
        <w:t xml:space="preserve"> </w:t>
      </w:r>
      <w:r>
        <w:t xml:space="preserve">and gets ignored by month three.</w:t>
      </w:r>
      <w:r>
        <w:t xml:space="preserve"> </w:t>
      </w:r>
      <w:r>
        <w:rPr>
          <w:bCs/>
          <w:b/>
        </w:rPr>
        <w:t xml:space="preserve">Wins on:</w:t>
      </w:r>
      <w:r>
        <w:t xml:space="preserve"> </w:t>
      </w:r>
      <w:r>
        <w:t xml:space="preserve">hard-block age verification with audit logging, compliance-safe-by-design messaging led up front, and win-back campaigns that run themselves.</w:t>
      </w:r>
      <w:r>
        <w:t xml:space="preserve"> </w:t>
      </w:r>
      <w:r>
        <w:rPr>
          <w:bCs/>
          <w:b/>
        </w:rPr>
        <w:t xml:space="preserve">Triggers to evaluate:</w:t>
      </w:r>
      <w:r>
        <w:t xml:space="preserve"> </w:t>
      </w:r>
      <w:r>
        <w:t xml:space="preserve">a nearby competitor visibly running loyalty; a POS refresh moment; a slow season he can point to but can’t explain because he has no visit-frequency data.</w:t>
      </w:r>
    </w:p>
    <w:bookmarkEnd w:id="29"/>
    <w:bookmarkStart w:id="30" w:name="X82d09b13c3256c72a8bb821a238b0caf5cdafb1"/>
    <w:p>
      <w:pPr>
        <w:pStyle w:val="Heading2"/>
      </w:pPr>
      <w:r>
        <w:t xml:space="preserve">2. Farah —</w:t>
      </w:r>
      <w:r>
        <w:t xml:space="preserve"> </w:t>
      </w:r>
      <w:r>
        <w:t xml:space="preserve">“</w:t>
      </w:r>
      <w:r>
        <w:t xml:space="preserve">The Volume Juggler</w:t>
      </w:r>
      <w:r>
        <w:t xml:space="preserve">”</w:t>
      </w:r>
      <w:r>
        <w:t xml:space="preserve"> </w:t>
      </w:r>
      <w:r>
        <w:t xml:space="preserve">(convenience store owner)</w:t>
      </w:r>
    </w:p>
    <w:p>
      <w:pPr>
        <w:pStyle w:val="FirstParagraph"/>
      </w:pPr>
      <w:r>
        <w:t xml:space="preserve">Single-location or small chain (2–10 stores) — most U.S. convenience stores are owned by operators with 10 or fewer locations. Manages multiple shifts and higher staff turnover than the other verticals; thin single-digit-to-low-teens margins across a huge SKU count. Notices foot traffic more than individual customers by name. Least likely of the personas to have any existing loyalty tracking — starting from zero.</w:t>
      </w:r>
      <w:r>
        <w:t xml:space="preserve"> </w:t>
      </w:r>
      <w:r>
        <w:rPr>
          <w:bCs/>
          <w:b/>
        </w:rPr>
        <w:t xml:space="preserve">Wins on:</w:t>
      </w:r>
      <w:r>
        <w:t xml:space="preserve"> </w:t>
      </w:r>
      <w:r>
        <w:t xml:space="preserve">speed and simplicity, frequency-building mechanics, and — if she runs more than one store — a credible multi-location story that works identically at every register.</w:t>
      </w:r>
      <w:r>
        <w:t xml:space="preserve"> </w:t>
      </w:r>
      <w:r>
        <w:rPr>
          <w:bCs/>
          <w:b/>
        </w:rPr>
        <w:t xml:space="preserve">Triggers to evaluate:</w:t>
      </w:r>
      <w:r>
        <w:t xml:space="preserve"> </w:t>
      </w:r>
      <w:r>
        <w:t xml:space="preserve">watching a nearby competitor’s loyalty app show up at checkout; a POS refresh; opening a second or third location and realizing there’s no clean way to see which customers are loyal to the brand versus just the closest store.</w:t>
      </w:r>
    </w:p>
    <w:bookmarkEnd w:id="30"/>
    <w:bookmarkStart w:id="31" w:name="Xd8748f4a14f41b9671a7b8d198433252a90ccff"/>
    <w:p>
      <w:pPr>
        <w:pStyle w:val="Heading2"/>
      </w:pPr>
      <w:r>
        <w:t xml:space="preserve">3. Ray —</w:t>
      </w:r>
      <w:r>
        <w:t xml:space="preserve"> </w:t>
      </w:r>
      <w:r>
        <w:t xml:space="preserve">“</w:t>
      </w:r>
      <w:r>
        <w:t xml:space="preserve">The Scrutinized Specialist</w:t>
      </w:r>
      <w:r>
        <w:t xml:space="preserve">”</w:t>
      </w:r>
      <w:r>
        <w:t xml:space="preserve"> </w:t>
      </w:r>
      <w:r>
        <w:t xml:space="preserve">(smoke/vape shop owner)</w:t>
      </w:r>
    </w:p>
    <w:p>
      <w:pPr>
        <w:pStyle w:val="FirstParagraph"/>
      </w:pPr>
      <w:r>
        <w:t xml:space="preserve">Single-location independent smoke/vape shop, owner-operated or 1–2 staff, high product-knowledge requirement. The most consultative of the retail relationships — helping a customer pick a device, explaining nicotine strength. The regulatory environment is the most acute and fastest-moving of the four verticals: age verification is a hard FDA and PACT Act requirement, and SMS marketing is additionally restricted by SHAFT content rules under CTIA guidelines on top of standard TCPA consent. A majority of his own customer base is trying to quit, which creates real tension — rewarding pure purchase volume can feel tone-deaf or invite regulatory scrutiny.</w:t>
      </w:r>
      <w:r>
        <w:t xml:space="preserve"> </w:t>
      </w:r>
      <w:r>
        <w:rPr>
          <w:bCs/>
          <w:b/>
        </w:rPr>
        <w:t xml:space="preserve">Wins on:</w:t>
      </w:r>
      <w:r>
        <w:t xml:space="preserve"> </w:t>
      </w:r>
      <w:r>
        <w:t xml:space="preserve">reward-variety mechanics (accessories, device upgrades, non-nicotine lines) instead of volume mechanics, and campaigns that route through a landing page rather than naming products directly in text.</w:t>
      </w:r>
      <w:r>
        <w:t xml:space="preserve"> </w:t>
      </w:r>
      <w:r>
        <w:rPr>
          <w:bCs/>
          <w:b/>
        </w:rPr>
        <w:t xml:space="preserve">Triggers to evaluate:</w:t>
      </w:r>
      <w:r>
        <w:t xml:space="preserve"> </w:t>
      </w:r>
      <w:r>
        <w:t xml:space="preserve">a nearby shop visibly running a rewards program built around something other than nicotine volume; a POS refresh; a new state or local flavor/display regulation that forces a full marketing re-evaluation.</w:t>
      </w:r>
    </w:p>
    <w:bookmarkEnd w:id="31"/>
    <w:bookmarkStart w:id="32" w:name="X30f9a0301aa372b667d1c1ab74e8686087f6c41"/>
    <w:p>
      <w:pPr>
        <w:pStyle w:val="Heading2"/>
      </w:pPr>
      <w:r>
        <w:t xml:space="preserve">4. Priya —</w:t>
      </w:r>
      <w:r>
        <w:t xml:space="preserve"> </w:t>
      </w:r>
      <w:r>
        <w:t xml:space="preserve">“</w:t>
      </w:r>
      <w:r>
        <w:t xml:space="preserve">The Growth-Stage Operator</w:t>
      </w:r>
      <w:r>
        <w:t xml:space="preserve">”</w:t>
      </w:r>
      <w:r>
        <w:t xml:space="preserve"> </w:t>
      </w:r>
      <w:r>
        <w:t xml:space="preserve">(3–8 locations, mixed vertical)</w:t>
      </w:r>
    </w:p>
    <w:p>
      <w:pPr>
        <w:pStyle w:val="FirstParagraph"/>
      </w:pPr>
      <w:r>
        <w:t xml:space="preserve">Operates multiple stores across one or more of the above verticals and has outgrown single-store tools without being large enough for an enterprise platform’s price floor or complexity. Spends real time keeping stores consistent with each other rather than running any one register herself. Needs one system that shows inventory, sales, and loyalty identically across every location — and a rollout plan that doesn’t mean re-training every store from scratch.</w:t>
      </w:r>
      <w:r>
        <w:t xml:space="preserve"> </w:t>
      </w:r>
      <w:r>
        <w:rPr>
          <w:bCs/>
          <w:b/>
        </w:rPr>
        <w:t xml:space="preserve">Wins on:</w:t>
      </w:r>
      <w:r>
        <w:t xml:space="preserve"> </w:t>
      </w:r>
      <w:r>
        <w:t xml:space="preserve">unified multi-location reporting, in-tier multi-outlet support, audit logs that satisfy a state inspector at any location, and a white-glove rollout.</w:t>
      </w:r>
      <w:r>
        <w:t xml:space="preserve"> </w:t>
      </w:r>
      <w:r>
        <w:rPr>
          <w:bCs/>
          <w:b/>
        </w:rPr>
        <w:t xml:space="preserve">Triggers to evaluate:</w:t>
      </w:r>
      <w:r>
        <w:t xml:space="preserve"> </w:t>
      </w:r>
      <w:r>
        <w:t xml:space="preserve">opening location #2 or #3 and discovering the current tool doesn’t scale; a corporate/franchise-level compliance requirement a single-store tool can’t satisfy.</w:t>
      </w:r>
    </w:p>
    <w:bookmarkEnd w:id="32"/>
    <w:bookmarkStart w:id="33" w:name="X3abd8217f68fcbdd218a99ef91278bf1a14b37c"/>
    <w:p>
      <w:pPr>
        <w:pStyle w:val="Heading2"/>
      </w:pPr>
      <w:r>
        <w:t xml:space="preserve">5. Sam —</w:t>
      </w:r>
      <w:r>
        <w:t xml:space="preserve"> </w:t>
      </w:r>
      <w:r>
        <w:t xml:space="preserve">“</w:t>
      </w:r>
      <w:r>
        <w:t xml:space="preserve">The CBD Newcomer</w:t>
      </w:r>
      <w:r>
        <w:t xml:space="preserve">”</w:t>
      </w:r>
      <w:r>
        <w:t xml:space="preserve"> </w:t>
      </w:r>
      <w:r>
        <w:t xml:space="preserve">— opportunistic and uncontested</w:t>
      </w:r>
    </w:p>
    <w:p>
      <w:pPr>
        <w:pStyle w:val="FirstParagraph"/>
      </w:pPr>
      <w:r>
        <w:t xml:space="preserve">Newer, independent CBD retailer navigating a genuinely fragmented state-by-state legal landscape, often alongside a liquor, smoke, or general wellness product mix. No major competitor in our research markets to this vertical specifically. Wants a POS partner that won’t pretend the legal landscape is simpler than it is, and won’t leave compliance guidance to guesswork.</w:t>
      </w:r>
      <w:r>
        <w:t xml:space="preserve"> </w:t>
      </w:r>
      <w:r>
        <w:rPr>
          <w:bCs/>
          <w:b/>
        </w:rPr>
        <w:t xml:space="preserve">Wins on:</w:t>
      </w:r>
      <w:r>
        <w:t xml:space="preserve"> </w:t>
      </w:r>
      <w:r>
        <w:t xml:space="preserve">flexible category setup, the same compliance-first posture applied honestly to CBD’s specific patchwork, and the fact that nobody else in this category is bothering to speak to them directly yet.</w:t>
      </w:r>
    </w:p>
    <w:bookmarkEnd w:id="33"/>
    <w:bookmarkEnd w:id="34"/>
    <w:bookmarkStart w:id="35" w:name="the-13-week-map"/>
    <w:p>
      <w:pPr>
        <w:pStyle w:val="Heading1"/>
      </w:pPr>
      <w:r>
        <w:t xml:space="preserve">10. The 13-week map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Wk</w:t>
            </w:r>
          </w:p>
        </w:tc>
        <w:tc>
          <w:tcPr/>
          <w:p>
            <w:pPr>
              <w:pStyle w:val="Compact"/>
              <w:jc w:val="left"/>
            </w:pPr>
            <w:r>
              <w:t xml:space="preserve">Dates</w:t>
            </w:r>
          </w:p>
        </w:tc>
        <w:tc>
          <w:tcPr/>
          <w:p>
            <w:pPr>
              <w:pStyle w:val="Compact"/>
              <w:jc w:val="left"/>
            </w:pPr>
            <w:r>
              <w:t xml:space="preserve">Mindset stage</w:t>
            </w:r>
          </w:p>
        </w:tc>
        <w:tc>
          <w:tcPr/>
          <w:p>
            <w:pPr>
              <w:pStyle w:val="Compact"/>
              <w:jc w:val="left"/>
            </w:pPr>
            <w:r>
              <w:t xml:space="preserve">Weekly theme</w:t>
            </w:r>
          </w:p>
        </w:tc>
        <w:tc>
          <w:tcPr/>
          <w:p>
            <w:pPr>
              <w:pStyle w:val="Compact"/>
              <w:jc w:val="left"/>
            </w:pPr>
            <w:r>
              <w:t xml:space="preserve">Lead persona</w:t>
            </w:r>
          </w:p>
        </w:tc>
      </w:tr>
      <w:tr>
        <w:tc>
          <w:tcPr/>
          <w:p>
            <w:pPr>
              <w:pStyle w:val="Compact"/>
              <w:jc w:val="left"/>
            </w:pPr>
            <w:r>
              <w:t xml:space="preserve">1</w:t>
            </w:r>
          </w:p>
        </w:tc>
        <w:tc>
          <w:tcPr/>
          <w:p>
            <w:pPr>
              <w:pStyle w:val="Compact"/>
              <w:jc w:val="left"/>
            </w:pPr>
            <w:r>
              <w:t xml:space="preserve">Aug 3–9</w:t>
            </w:r>
          </w:p>
        </w:tc>
        <w:tc>
          <w:tcPr/>
          <w:p>
            <w:pPr>
              <w:pStyle w:val="Compact"/>
              <w:jc w:val="left"/>
            </w:pPr>
            <w:r>
              <w:t xml:space="preserve">Unaware</w:t>
            </w:r>
          </w:p>
        </w:tc>
        <w:tc>
          <w:tcPr/>
          <w:p>
            <w:pPr>
              <w:pStyle w:val="Compact"/>
              <w:jc w:val="left"/>
            </w:pPr>
            <w:r>
              <w:t xml:space="preserve">Launch grid — What’s Included, product tour, review profiles live</w:t>
            </w:r>
          </w:p>
        </w:tc>
        <w:tc>
          <w:tcPr/>
          <w:p>
            <w:pPr>
              <w:pStyle w:val="Compact"/>
              <w:jc w:val="left"/>
            </w:pPr>
            <w:r>
              <w:t xml:space="preserve">Danny</w:t>
            </w:r>
          </w:p>
        </w:tc>
      </w:tr>
      <w:tr>
        <w:tc>
          <w:tcPr/>
          <w:p>
            <w:pPr>
              <w:pStyle w:val="Compact"/>
              <w:jc w:val="left"/>
            </w:pPr>
            <w:r>
              <w:t xml:space="preserve">2</w:t>
            </w:r>
          </w:p>
        </w:tc>
        <w:tc>
          <w:tcPr/>
          <w:p>
            <w:pPr>
              <w:pStyle w:val="Compact"/>
              <w:jc w:val="left"/>
            </w:pPr>
            <w:r>
              <w:t xml:space="preserve">Aug 10–16</w:t>
            </w:r>
          </w:p>
        </w:tc>
        <w:tc>
          <w:tcPr/>
          <w:p>
            <w:pPr>
              <w:pStyle w:val="Compact"/>
              <w:jc w:val="left"/>
            </w:pPr>
            <w:r>
              <w:t xml:space="preserve">Unaware → Problem-aware</w:t>
            </w:r>
          </w:p>
        </w:tc>
        <w:tc>
          <w:tcPr/>
          <w:p>
            <w:pPr>
              <w:pStyle w:val="Compact"/>
              <w:jc w:val="left"/>
            </w:pPr>
            <w:r>
              <w:t xml:space="preserve">The 11pm ID check — naming the compliance fear before naming ourselves</w:t>
            </w:r>
          </w:p>
        </w:tc>
        <w:tc>
          <w:tcPr/>
          <w:p>
            <w:pPr>
              <w:pStyle w:val="Compact"/>
              <w:jc w:val="left"/>
            </w:pPr>
            <w:r>
              <w:t xml:space="preserve">Ray</w:t>
            </w:r>
          </w:p>
        </w:tc>
      </w:tr>
      <w:tr>
        <w:tc>
          <w:tcPr/>
          <w:p>
            <w:pPr>
              <w:pStyle w:val="Compact"/>
              <w:jc w:val="left"/>
            </w:pPr>
            <w:r>
              <w:t xml:space="preserve">3</w:t>
            </w:r>
          </w:p>
        </w:tc>
        <w:tc>
          <w:tcPr/>
          <w:p>
            <w:pPr>
              <w:pStyle w:val="Compact"/>
              <w:jc w:val="left"/>
            </w:pPr>
            <w:r>
              <w:t xml:space="preserve">Aug 17–23</w:t>
            </w:r>
          </w:p>
        </w:tc>
        <w:tc>
          <w:tcPr/>
          <w:p>
            <w:pPr>
              <w:pStyle w:val="Compact"/>
              <w:jc w:val="left"/>
            </w:pPr>
            <w:r>
              <w:t xml:space="preserve">Problem-aware</w:t>
            </w:r>
          </w:p>
        </w:tc>
        <w:tc>
          <w:tcPr/>
          <w:p>
            <w:pPr>
              <w:pStyle w:val="Compact"/>
              <w:jc w:val="left"/>
            </w:pPr>
            <w:r>
              <w:t xml:space="preserve">The Sunday case-count — shrinkage and case-break inventory pain</w:t>
            </w:r>
          </w:p>
        </w:tc>
        <w:tc>
          <w:tcPr/>
          <w:p>
            <w:pPr>
              <w:pStyle w:val="Compact"/>
              <w:jc w:val="left"/>
            </w:pPr>
            <w:r>
              <w:t xml:space="preserve">Farah</w:t>
            </w:r>
          </w:p>
        </w:tc>
      </w:tr>
      <w:tr>
        <w:tc>
          <w:tcPr/>
          <w:p>
            <w:pPr>
              <w:pStyle w:val="Compact"/>
              <w:jc w:val="left"/>
            </w:pPr>
            <w:r>
              <w:t xml:space="preserve">4</w:t>
            </w:r>
          </w:p>
        </w:tc>
        <w:tc>
          <w:tcPr/>
          <w:p>
            <w:pPr>
              <w:pStyle w:val="Compact"/>
              <w:jc w:val="left"/>
            </w:pPr>
            <w:r>
              <w:t xml:space="preserve">Aug 24–30</w:t>
            </w:r>
          </w:p>
        </w:tc>
        <w:tc>
          <w:tcPr/>
          <w:p>
            <w:pPr>
              <w:pStyle w:val="Compact"/>
              <w:jc w:val="left"/>
            </w:pPr>
            <w:r>
              <w:t xml:space="preserve">Problem-aware</w:t>
            </w:r>
          </w:p>
        </w:tc>
        <w:tc>
          <w:tcPr/>
          <w:p>
            <w:pPr>
              <w:pStyle w:val="Compact"/>
              <w:jc w:val="left"/>
            </w:pPr>
            <w:r>
              <w:t xml:space="preserve">The regular who stopped coming — silent churn, no data to see it</w:t>
            </w:r>
          </w:p>
        </w:tc>
        <w:tc>
          <w:tcPr/>
          <w:p>
            <w:pPr>
              <w:pStyle w:val="Compact"/>
              <w:jc w:val="left"/>
            </w:pPr>
            <w:r>
              <w:t xml:space="preserve">Danny</w:t>
            </w:r>
          </w:p>
        </w:tc>
      </w:tr>
      <w:tr>
        <w:tc>
          <w:tcPr/>
          <w:p>
            <w:pPr>
              <w:pStyle w:val="Compact"/>
              <w:jc w:val="left"/>
            </w:pPr>
            <w:r>
              <w:t xml:space="preserve">5</w:t>
            </w:r>
          </w:p>
        </w:tc>
        <w:tc>
          <w:tcPr/>
          <w:p>
            <w:pPr>
              <w:pStyle w:val="Compact"/>
              <w:jc w:val="left"/>
            </w:pPr>
            <w:r>
              <w:t xml:space="preserve">Aug 31–Sep 6</w:t>
            </w:r>
          </w:p>
        </w:tc>
        <w:tc>
          <w:tcPr/>
          <w:p>
            <w:pPr>
              <w:pStyle w:val="Compact"/>
              <w:jc w:val="left"/>
            </w:pPr>
            <w:r>
              <w:t xml:space="preserve">Solution-aware (skeptical)</w:t>
            </w:r>
          </w:p>
        </w:tc>
        <w:tc>
          <w:tcPr/>
          <w:p>
            <w:pPr>
              <w:pStyle w:val="Compact"/>
              <w:jc w:val="left"/>
            </w:pPr>
            <w:r>
              <w:t xml:space="preserve">Liquor vertical deep-dive</w:t>
            </w:r>
          </w:p>
        </w:tc>
        <w:tc>
          <w:tcPr/>
          <w:p>
            <w:pPr>
              <w:pStyle w:val="Compact"/>
              <w:jc w:val="left"/>
            </w:pPr>
            <w:r>
              <w:t xml:space="preserve">Danny</w:t>
            </w:r>
          </w:p>
        </w:tc>
      </w:tr>
      <w:tr>
        <w:tc>
          <w:tcPr/>
          <w:p>
            <w:pPr>
              <w:pStyle w:val="Compact"/>
              <w:jc w:val="left"/>
            </w:pPr>
            <w:r>
              <w:t xml:space="preserve">6</w:t>
            </w:r>
          </w:p>
        </w:tc>
        <w:tc>
          <w:tcPr/>
          <w:p>
            <w:pPr>
              <w:pStyle w:val="Compact"/>
              <w:jc w:val="left"/>
            </w:pPr>
            <w:r>
              <w:t xml:space="preserve">Sep 7–13</w:t>
            </w:r>
          </w:p>
        </w:tc>
        <w:tc>
          <w:tcPr/>
          <w:p>
            <w:pPr>
              <w:pStyle w:val="Compact"/>
              <w:jc w:val="left"/>
            </w:pPr>
            <w:r>
              <w:t xml:space="preserve">Solution-aware (skeptical)</w:t>
            </w:r>
          </w:p>
        </w:tc>
        <w:tc>
          <w:tcPr/>
          <w:p>
            <w:pPr>
              <w:pStyle w:val="Compact"/>
              <w:jc w:val="left"/>
            </w:pPr>
            <w:r>
              <w:t xml:space="preserve">Convenience vertical deep-dive — multi-location</w:t>
            </w:r>
          </w:p>
        </w:tc>
        <w:tc>
          <w:tcPr/>
          <w:p>
            <w:pPr>
              <w:pStyle w:val="Compact"/>
              <w:jc w:val="left"/>
            </w:pPr>
            <w:r>
              <w:t xml:space="preserve">Farah</w:t>
            </w:r>
          </w:p>
        </w:tc>
      </w:tr>
      <w:tr>
        <w:tc>
          <w:tcPr/>
          <w:p>
            <w:pPr>
              <w:pStyle w:val="Compact"/>
              <w:jc w:val="left"/>
            </w:pPr>
            <w:r>
              <w:t xml:space="preserve">7</w:t>
            </w:r>
          </w:p>
        </w:tc>
        <w:tc>
          <w:tcPr/>
          <w:p>
            <w:pPr>
              <w:pStyle w:val="Compact"/>
              <w:jc w:val="left"/>
            </w:pPr>
            <w:r>
              <w:t xml:space="preserve">Sep 14–20</w:t>
            </w:r>
          </w:p>
        </w:tc>
        <w:tc>
          <w:tcPr/>
          <w:p>
            <w:pPr>
              <w:pStyle w:val="Compact"/>
              <w:jc w:val="left"/>
            </w:pPr>
            <w:r>
              <w:t xml:space="preserve">Solution-aware (skeptical)</w:t>
            </w:r>
          </w:p>
        </w:tc>
        <w:tc>
          <w:tcPr/>
          <w:p>
            <w:pPr>
              <w:pStyle w:val="Compact"/>
              <w:jc w:val="left"/>
            </w:pPr>
            <w:r>
              <w:t xml:space="preserve">Smoke/vape vertical deep-dive — SHAFT-aware marketing</w:t>
            </w:r>
          </w:p>
        </w:tc>
        <w:tc>
          <w:tcPr/>
          <w:p>
            <w:pPr>
              <w:pStyle w:val="Compact"/>
              <w:jc w:val="left"/>
            </w:pPr>
            <w:r>
              <w:t xml:space="preserve">Ray</w:t>
            </w:r>
          </w:p>
        </w:tc>
      </w:tr>
      <w:tr>
        <w:tc>
          <w:tcPr/>
          <w:p>
            <w:pPr>
              <w:pStyle w:val="Compact"/>
              <w:jc w:val="left"/>
            </w:pPr>
            <w:r>
              <w:t xml:space="preserve">8</w:t>
            </w:r>
          </w:p>
        </w:tc>
        <w:tc>
          <w:tcPr/>
          <w:p>
            <w:pPr>
              <w:pStyle w:val="Compact"/>
              <w:jc w:val="left"/>
            </w:pPr>
            <w:r>
              <w:t xml:space="preserve">Sep 21–27</w:t>
            </w:r>
          </w:p>
        </w:tc>
        <w:tc>
          <w:tcPr/>
          <w:p>
            <w:pPr>
              <w:pStyle w:val="Compact"/>
              <w:jc w:val="left"/>
            </w:pPr>
            <w:r>
              <w:t xml:space="preserve">Solution-aware (skeptical)</w:t>
            </w:r>
          </w:p>
        </w:tc>
        <w:tc>
          <w:tcPr/>
          <w:p>
            <w:pPr>
              <w:pStyle w:val="Compact"/>
              <w:jc w:val="left"/>
            </w:pPr>
            <w:r>
              <w:t xml:space="preserve">CBD vertical deep-dive — the uncontested category</w:t>
            </w:r>
          </w:p>
        </w:tc>
        <w:tc>
          <w:tcPr/>
          <w:p>
            <w:pPr>
              <w:pStyle w:val="Compact"/>
              <w:jc w:val="left"/>
            </w:pPr>
            <w:r>
              <w:t xml:space="preserve">Sam</w:t>
            </w:r>
          </w:p>
        </w:tc>
      </w:tr>
      <w:tr>
        <w:tc>
          <w:tcPr/>
          <w:p>
            <w:pPr>
              <w:pStyle w:val="Compact"/>
              <w:jc w:val="left"/>
            </w:pPr>
            <w:r>
              <w:t xml:space="preserve">9</w:t>
            </w:r>
          </w:p>
        </w:tc>
        <w:tc>
          <w:tcPr/>
          <w:p>
            <w:pPr>
              <w:pStyle w:val="Compact"/>
              <w:jc w:val="left"/>
            </w:pPr>
            <w:r>
              <w:t xml:space="preserve">Sep 28–Oct 4</w:t>
            </w:r>
          </w:p>
        </w:tc>
        <w:tc>
          <w:tcPr/>
          <w:p>
            <w:pPr>
              <w:pStyle w:val="Compact"/>
              <w:jc w:val="left"/>
            </w:pPr>
            <w:r>
              <w:t xml:space="preserve">Solution-aware → Product-aware</w:t>
            </w:r>
          </w:p>
        </w:tc>
        <w:tc>
          <w:tcPr/>
          <w:p>
            <w:pPr>
              <w:pStyle w:val="Compact"/>
              <w:jc w:val="left"/>
            </w:pPr>
            <w:r>
              <w:t xml:space="preserve">First proof week — reference-customer story, multi-location growth</w:t>
            </w:r>
          </w:p>
        </w:tc>
        <w:tc>
          <w:tcPr/>
          <w:p>
            <w:pPr>
              <w:pStyle w:val="Compact"/>
              <w:jc w:val="left"/>
            </w:pPr>
            <w:r>
              <w:t xml:space="preserve">Priya</w:t>
            </w:r>
          </w:p>
        </w:tc>
      </w:tr>
      <w:tr>
        <w:tc>
          <w:tcPr/>
          <w:p>
            <w:pPr>
              <w:pStyle w:val="Compact"/>
              <w:jc w:val="left"/>
            </w:pPr>
            <w:r>
              <w:t xml:space="preserve">10</w:t>
            </w:r>
          </w:p>
        </w:tc>
        <w:tc>
          <w:tcPr/>
          <w:p>
            <w:pPr>
              <w:pStyle w:val="Compact"/>
              <w:jc w:val="left"/>
            </w:pPr>
            <w:r>
              <w:t xml:space="preserve">Oct 5–11</w:t>
            </w:r>
          </w:p>
        </w:tc>
        <w:tc>
          <w:tcPr/>
          <w:p>
            <w:pPr>
              <w:pStyle w:val="Compact"/>
              <w:jc w:val="left"/>
            </w:pPr>
            <w:r>
              <w:t xml:space="preserve">Product-aware</w:t>
            </w:r>
          </w:p>
        </w:tc>
        <w:tc>
          <w:tcPr/>
          <w:p>
            <w:pPr>
              <w:pStyle w:val="Compact"/>
              <w:jc w:val="left"/>
            </w:pPr>
            <w:r>
              <w:t xml:space="preserve">A day in the store — liquor whole-day workflow story</w:t>
            </w:r>
          </w:p>
        </w:tc>
        <w:tc>
          <w:tcPr/>
          <w:p>
            <w:pPr>
              <w:pStyle w:val="Compact"/>
              <w:jc w:val="left"/>
            </w:pPr>
            <w:r>
              <w:t xml:space="preserve">Danny</w:t>
            </w:r>
          </w:p>
        </w:tc>
      </w:tr>
      <w:tr>
        <w:tc>
          <w:tcPr/>
          <w:p>
            <w:pPr>
              <w:pStyle w:val="Compact"/>
              <w:jc w:val="left"/>
            </w:pPr>
            <w:r>
              <w:t xml:space="preserve">11</w:t>
            </w:r>
          </w:p>
        </w:tc>
        <w:tc>
          <w:tcPr/>
          <w:p>
            <w:pPr>
              <w:pStyle w:val="Compact"/>
              <w:jc w:val="left"/>
            </w:pPr>
            <w:r>
              <w:t xml:space="preserve">Oct 12–18</w:t>
            </w:r>
          </w:p>
        </w:tc>
        <w:tc>
          <w:tcPr/>
          <w:p>
            <w:pPr>
              <w:pStyle w:val="Compact"/>
              <w:jc w:val="left"/>
            </w:pPr>
            <w:r>
              <w:t xml:space="preserve">Product-aware</w:t>
            </w:r>
          </w:p>
        </w:tc>
        <w:tc>
          <w:tcPr/>
          <w:p>
            <w:pPr>
              <w:pStyle w:val="Compact"/>
              <w:jc w:val="left"/>
            </w:pPr>
            <w:r>
              <w:t xml:space="preserve">A day in the store — convenience/smoke whole-day workflow story</w:t>
            </w:r>
          </w:p>
        </w:tc>
        <w:tc>
          <w:tcPr/>
          <w:p>
            <w:pPr>
              <w:pStyle w:val="Compact"/>
              <w:jc w:val="left"/>
            </w:pPr>
            <w:r>
              <w:t xml:space="preserve">Farah / Ray</w:t>
            </w:r>
          </w:p>
        </w:tc>
      </w:tr>
      <w:tr>
        <w:tc>
          <w:tcPr/>
          <w:p>
            <w:pPr>
              <w:pStyle w:val="Compact"/>
              <w:jc w:val="left"/>
            </w:pPr>
            <w:r>
              <w:t xml:space="preserve">12</w:t>
            </w:r>
          </w:p>
        </w:tc>
        <w:tc>
          <w:tcPr/>
          <w:p>
            <w:pPr>
              <w:pStyle w:val="Compact"/>
              <w:jc w:val="left"/>
            </w:pPr>
            <w:r>
              <w:t xml:space="preserve">Oct 19–25</w:t>
            </w:r>
          </w:p>
        </w:tc>
        <w:tc>
          <w:tcPr/>
          <w:p>
            <w:pPr>
              <w:pStyle w:val="Compact"/>
              <w:jc w:val="left"/>
            </w:pPr>
            <w:r>
              <w:t xml:space="preserve">Product-aware</w:t>
            </w:r>
          </w:p>
        </w:tc>
        <w:tc>
          <w:tcPr/>
          <w:p>
            <w:pPr>
              <w:pStyle w:val="Compact"/>
              <w:jc w:val="left"/>
            </w:pPr>
            <w:r>
              <w:t xml:space="preserve">Flagship benchmark report launch + trade press push</w:t>
            </w:r>
          </w:p>
        </w:tc>
        <w:tc>
          <w:tcPr/>
          <w:p>
            <w:pPr>
              <w:pStyle w:val="Compact"/>
              <w:jc w:val="left"/>
            </w:pPr>
            <w:r>
              <w:t xml:space="preserve">All</w:t>
            </w:r>
          </w:p>
        </w:tc>
      </w:tr>
      <w:tr>
        <w:tc>
          <w:tcPr/>
          <w:p>
            <w:pPr>
              <w:pStyle w:val="Compact"/>
              <w:jc w:val="left"/>
            </w:pPr>
            <w:r>
              <w:t xml:space="preserve">13</w:t>
            </w:r>
          </w:p>
        </w:tc>
        <w:tc>
          <w:tcPr/>
          <w:p>
            <w:pPr>
              <w:pStyle w:val="Compact"/>
              <w:jc w:val="left"/>
            </w:pPr>
            <w:r>
              <w:t xml:space="preserve">Oct 26–Nov 1</w:t>
            </w:r>
          </w:p>
        </w:tc>
        <w:tc>
          <w:tcPr/>
          <w:p>
            <w:pPr>
              <w:pStyle w:val="Compact"/>
              <w:jc w:val="left"/>
            </w:pPr>
            <w:r>
              <w:t xml:space="preserve">Product-aware</w:t>
            </w:r>
          </w:p>
        </w:tc>
        <w:tc>
          <w:tcPr/>
          <w:p>
            <w:pPr>
              <w:pStyle w:val="Compact"/>
              <w:jc w:val="left"/>
            </w:pPr>
            <w:r>
              <w:t xml:space="preserve">Open live demo week + Q4 readout</w:t>
            </w:r>
          </w:p>
        </w:tc>
        <w:tc>
          <w:tcPr/>
          <w:p>
            <w:pPr>
              <w:pStyle w:val="Compact"/>
              <w:jc w:val="left"/>
            </w:pPr>
            <w:r>
              <w:t xml:space="preserve">All</w:t>
            </w:r>
          </w:p>
        </w:tc>
      </w:tr>
    </w:tbl>
    <w:bookmarkEnd w:id="35"/>
    <w:bookmarkStart w:id="36" w:name="channel-plan"/>
    <w:p>
      <w:pPr>
        <w:pStyle w:val="Heading1"/>
      </w:pPr>
      <w:r>
        <w:t xml:space="preserve">11. Channel plan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Cadence</w:t>
            </w:r>
          </w:p>
        </w:tc>
        <w:tc>
          <w:tcPr/>
          <w:p>
            <w:pPr>
              <w:pStyle w:val="Compact"/>
              <w:jc w:val="left"/>
            </w:pPr>
            <w:r>
              <w:t xml:space="preserve">Role</w:t>
            </w:r>
          </w:p>
        </w:tc>
        <w:tc>
          <w:tcPr/>
          <w:p>
            <w:pPr>
              <w:pStyle w:val="Compact"/>
              <w:jc w:val="left"/>
            </w:pPr>
            <w:r>
              <w:t xml:space="preserve">Why</w:t>
            </w:r>
          </w:p>
        </w:tc>
      </w:tr>
      <w:tr>
        <w:tc>
          <w:tcPr/>
          <w:p>
            <w:pPr>
              <w:pStyle w:val="Compact"/>
              <w:jc w:val="left"/>
            </w:pPr>
            <w:r>
              <w:t xml:space="preserve">Facebook</w:t>
            </w:r>
          </w:p>
        </w:tc>
        <w:tc>
          <w:tcPr/>
          <w:p>
            <w:pPr>
              <w:pStyle w:val="Compact"/>
              <w:jc w:val="left"/>
            </w:pPr>
            <w:r>
              <w:t xml:space="preserve">4–5 / wk</w:t>
            </w:r>
          </w:p>
        </w:tc>
        <w:tc>
          <w:tcPr/>
          <w:p>
            <w:pPr>
              <w:pStyle w:val="Compact"/>
              <w:jc w:val="left"/>
            </w:pPr>
            <w:r>
              <w:t xml:space="preserve">Primary</w:t>
            </w:r>
          </w:p>
        </w:tc>
        <w:tc>
          <w:tcPr/>
          <w:p>
            <w:pPr>
              <w:pStyle w:val="Compact"/>
              <w:jc w:val="left"/>
            </w:pPr>
            <w:r>
              <w:t xml:space="preserve">Independent retail owners skew older and locally-grouped; liquor/c-store/smoke-shop owner communities and local business groups live here.</w:t>
            </w:r>
          </w:p>
        </w:tc>
      </w:tr>
      <w:tr>
        <w:tc>
          <w:tcPr/>
          <w:p>
            <w:pPr>
              <w:pStyle w:val="Compact"/>
              <w:jc w:val="left"/>
            </w:pPr>
            <w:r>
              <w:t xml:space="preserve">Instagram</w:t>
            </w:r>
          </w:p>
        </w:tc>
        <w:tc>
          <w:tcPr/>
          <w:p>
            <w:pPr>
              <w:pStyle w:val="Compact"/>
              <w:jc w:val="left"/>
            </w:pPr>
            <w:r>
              <w:t xml:space="preserve">3–4 / wk</w:t>
            </w:r>
          </w:p>
        </w:tc>
        <w:tc>
          <w:tcPr/>
          <w:p>
            <w:pPr>
              <w:pStyle w:val="Compact"/>
              <w:jc w:val="left"/>
            </w:pPr>
            <w:r>
              <w:t xml:space="preserve">Primary</w:t>
            </w:r>
          </w:p>
        </w:tc>
        <w:tc>
          <w:tcPr/>
          <w:p>
            <w:pPr>
              <w:pStyle w:val="Compact"/>
              <w:jc w:val="left"/>
            </w:pPr>
            <w:r>
              <w:t xml:space="preserve">Visual proof — case-break before/after, shelf transformations, product-tour clips, Reels for discovery.</w:t>
            </w:r>
          </w:p>
        </w:tc>
      </w:tr>
      <w:tr>
        <w:tc>
          <w:tcPr/>
          <w:p>
            <w:pPr>
              <w:pStyle w:val="Compact"/>
              <w:jc w:val="left"/>
            </w:pPr>
            <w:r>
              <w:t xml:space="preserve">LinkedIn</w:t>
            </w:r>
          </w:p>
        </w:tc>
        <w:tc>
          <w:tcPr/>
          <w:p>
            <w:pPr>
              <w:pStyle w:val="Compact"/>
              <w:jc w:val="left"/>
            </w:pPr>
            <w:r>
              <w:t xml:space="preserve">2–3 / wk</w:t>
            </w:r>
          </w:p>
        </w:tc>
        <w:tc>
          <w:tcPr/>
          <w:p>
            <w:pPr>
              <w:pStyle w:val="Compact"/>
              <w:jc w:val="left"/>
            </w:pPr>
            <w:r>
              <w:t xml:space="preserve">Primary</w:t>
            </w:r>
          </w:p>
        </w:tc>
        <w:tc>
          <w:tcPr/>
          <w:p>
            <w:pPr>
              <w:pStyle w:val="Compact"/>
              <w:jc w:val="left"/>
            </w:pPr>
            <w:r>
              <w:t xml:space="preserve">Multi-location and franchise-stage operators (Priya persona) research software here; saves and real comments carry the most reach.</w:t>
            </w:r>
          </w:p>
        </w:tc>
      </w:tr>
      <w:tr>
        <w:tc>
          <w:tcPr/>
          <w:p>
            <w:pPr>
              <w:pStyle w:val="Compact"/>
              <w:jc w:val="left"/>
            </w:pPr>
            <w:r>
              <w:t xml:space="preserve">Blog / SEO</w:t>
            </w:r>
          </w:p>
        </w:tc>
        <w:tc>
          <w:tcPr/>
          <w:p>
            <w:pPr>
              <w:pStyle w:val="Compact"/>
              <w:jc w:val="left"/>
            </w:pPr>
            <w:r>
              <w:t xml:space="preserve">1 / wk</w:t>
            </w:r>
          </w:p>
        </w:tc>
        <w:tc>
          <w:tcPr/>
          <w:p>
            <w:pPr>
              <w:pStyle w:val="Compact"/>
              <w:jc w:val="left"/>
            </w:pPr>
            <w:r>
              <w:t xml:space="preserve">Primary</w:t>
            </w:r>
          </w:p>
        </w:tc>
        <w:tc>
          <w:tcPr/>
          <w:p>
            <w:pPr>
              <w:pStyle w:val="Compact"/>
              <w:jc w:val="left"/>
            </w:pPr>
            <w:r>
              <w:t xml:space="preserve">Catches owners already searching comparisons, and is what AI assistants read when asked to compare POS systems — directly extends the existing AEO/GEO research already built for RetailzPOS.</w:t>
            </w:r>
          </w:p>
        </w:tc>
      </w:tr>
      <w:tr>
        <w:tc>
          <w:tcPr/>
          <w:p>
            <w:pPr>
              <w:pStyle w:val="Compact"/>
              <w:jc w:val="left"/>
            </w:pPr>
            <w:r>
              <w:t xml:space="preserve">Review sites (Capterra, G2, Google Business)</w:t>
            </w:r>
          </w:p>
        </w:tc>
        <w:tc>
          <w:tcPr/>
          <w:p>
            <w:pPr>
              <w:pStyle w:val="Compact"/>
              <w:jc w:val="left"/>
            </w:pPr>
            <w:r>
              <w:t xml:space="preserve">Ongoing, weekly response cadence</w:t>
            </w:r>
          </w:p>
        </w:tc>
        <w:tc>
          <w:tcPr/>
          <w:p>
            <w:pPr>
              <w:pStyle w:val="Compact"/>
              <w:jc w:val="left"/>
            </w:pPr>
            <w:r>
              <w:t xml:space="preserve">Primary channel, not a mirror</w:t>
            </w:r>
          </w:p>
        </w:tc>
        <w:tc>
          <w:tcPr/>
          <w:p>
            <w:pPr>
              <w:pStyle w:val="Compact"/>
              <w:jc w:val="left"/>
            </w:pPr>
            <w:r>
              <w:t xml:space="preserve">Where buyers actually decide, and where AI answer engines source comparison answers — confirmed by the existing RetailzPOS AEO/GEO strategy work.</w:t>
            </w:r>
          </w:p>
        </w:tc>
      </w:tr>
      <w:tr>
        <w:tc>
          <w:tcPr/>
          <w:p>
            <w:pPr>
              <w:pStyle w:val="Compact"/>
              <w:jc w:val="left"/>
            </w:pPr>
            <w:r>
              <w:t xml:space="preserve">TikTok / X / Threads</w:t>
            </w:r>
          </w:p>
        </w:tc>
        <w:tc>
          <w:tcPr/>
          <w:p>
            <w:pPr>
              <w:pStyle w:val="Compact"/>
              <w:jc w:val="left"/>
            </w:pPr>
            <w:r>
              <w:t xml:space="preserve">1–2 / wk</w:t>
            </w:r>
          </w:p>
        </w:tc>
        <w:tc>
          <w:tcPr/>
          <w:p>
            <w:pPr>
              <w:pStyle w:val="Compact"/>
              <w:jc w:val="left"/>
            </w:pPr>
            <w:r>
              <w:t xml:space="preserve">Mirror</w:t>
            </w:r>
          </w:p>
        </w:tc>
        <w:tc>
          <w:tcPr/>
          <w:p>
            <w:pPr>
              <w:pStyle w:val="Compact"/>
              <w:jc w:val="left"/>
            </w:pPr>
            <w:r>
              <w:t xml:space="preserve">Trimmed mirrors of the best-performing posts. Cheap to run; watched for 90 days before further investment.</w:t>
            </w:r>
          </w:p>
        </w:tc>
      </w:tr>
    </w:tbl>
    <w:bookmarkEnd w:id="36"/>
    <w:bookmarkStart w:id="37" w:name="weekly-rhythm"/>
    <w:p>
      <w:pPr>
        <w:pStyle w:val="Heading1"/>
      </w:pPr>
      <w:r>
        <w:t xml:space="preserve">12. Weekly rhythm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Primary channel focus</w:t>
            </w:r>
          </w:p>
        </w:tc>
        <w:tc>
          <w:tcPr/>
          <w:p>
            <w:pPr>
              <w:pStyle w:val="Compact"/>
              <w:jc w:val="left"/>
            </w:pPr>
            <w:r>
              <w:t xml:space="preserve">Content type</w:t>
            </w:r>
          </w:p>
        </w:tc>
      </w:tr>
      <w:tr>
        <w:tc>
          <w:tcPr/>
          <w:p>
            <w:pPr>
              <w:pStyle w:val="Compact"/>
              <w:jc w:val="left"/>
            </w:pPr>
            <w:r>
              <w:t xml:space="preserve">Monday</w:t>
            </w:r>
          </w:p>
        </w:tc>
        <w:tc>
          <w:tcPr/>
          <w:p>
            <w:pPr>
              <w:pStyle w:val="Compact"/>
              <w:jc w:val="left"/>
            </w:pPr>
            <w:r>
              <w:t xml:space="preserve">Blog/SEO + LinkedIn</w:t>
            </w:r>
          </w:p>
        </w:tc>
        <w:tc>
          <w:tcPr/>
          <w:p>
            <w:pPr>
              <w:pStyle w:val="Compact"/>
              <w:jc w:val="left"/>
            </w:pPr>
            <w:r>
              <w:t xml:space="preserve">Weekly theme anchor post — comparison, guide, or vertical deep-dive</w:t>
            </w:r>
          </w:p>
        </w:tc>
      </w:tr>
      <w:tr>
        <w:tc>
          <w:tcPr/>
          <w:p>
            <w:pPr>
              <w:pStyle w:val="Compact"/>
              <w:jc w:val="left"/>
            </w:pPr>
            <w:r>
              <w:t xml:space="preserve">Tuesday</w:t>
            </w:r>
          </w:p>
        </w:tc>
        <w:tc>
          <w:tcPr/>
          <w:p>
            <w:pPr>
              <w:pStyle w:val="Compact"/>
              <w:jc w:val="left"/>
            </w:pPr>
            <w:r>
              <w:t xml:space="preserve">Facebook + Instagram</w:t>
            </w:r>
          </w:p>
        </w:tc>
        <w:tc>
          <w:tcPr/>
          <w:p>
            <w:pPr>
              <w:pStyle w:val="Compact"/>
              <w:jc w:val="left"/>
            </w:pPr>
            <w:r>
              <w:t xml:space="preserve">Feature spotlight, 3-Layer Method carousel or static</w:t>
            </w:r>
          </w:p>
        </w:tc>
      </w:tr>
      <w:tr>
        <w:tc>
          <w:tcPr/>
          <w:p>
            <w:pPr>
              <w:pStyle w:val="Compact"/>
              <w:jc w:val="left"/>
            </w:pPr>
            <w:r>
              <w:t xml:space="preserve">Wednesday</w:t>
            </w:r>
          </w:p>
        </w:tc>
        <w:tc>
          <w:tcPr/>
          <w:p>
            <w:pPr>
              <w:pStyle w:val="Compact"/>
              <w:jc w:val="left"/>
            </w:pPr>
            <w:r>
              <w:t xml:space="preserve">Instagram + TikTok/Reels</w:t>
            </w:r>
          </w:p>
        </w:tc>
        <w:tc>
          <w:tcPr/>
          <w:p>
            <w:pPr>
              <w:pStyle w:val="Compact"/>
              <w:jc w:val="left"/>
            </w:pPr>
            <w:r>
              <w:t xml:space="preserve">Behind-the-counter / day-in-the-life short video</w:t>
            </w:r>
          </w:p>
        </w:tc>
      </w:tr>
      <w:tr>
        <w:tc>
          <w:tcPr/>
          <w:p>
            <w:pPr>
              <w:pStyle w:val="Compact"/>
              <w:jc w:val="left"/>
            </w:pPr>
            <w:r>
              <w:t xml:space="preserve">Thursday</w:t>
            </w:r>
          </w:p>
        </w:tc>
        <w:tc>
          <w:tcPr/>
          <w:p>
            <w:pPr>
              <w:pStyle w:val="Compact"/>
              <w:jc w:val="left"/>
            </w:pPr>
            <w:r>
              <w:t xml:space="preserve">LinkedIn + Facebook</w:t>
            </w:r>
          </w:p>
        </w:tc>
        <w:tc>
          <w:tcPr/>
          <w:p>
            <w:pPr>
              <w:pStyle w:val="Compact"/>
              <w:jc w:val="left"/>
            </w:pPr>
            <w:r>
              <w:t xml:space="preserve">Proof or persona-specific pain post</w:t>
            </w:r>
          </w:p>
        </w:tc>
      </w:tr>
      <w:tr>
        <w:tc>
          <w:tcPr/>
          <w:p>
            <w:pPr>
              <w:pStyle w:val="Compact"/>
              <w:jc w:val="left"/>
            </w:pPr>
            <w:r>
              <w:t xml:space="preserve">Friday</w:t>
            </w:r>
          </w:p>
        </w:tc>
        <w:tc>
          <w:tcPr/>
          <w:p>
            <w:pPr>
              <w:pStyle w:val="Compact"/>
              <w:jc w:val="left"/>
            </w:pPr>
            <w:r>
              <w:t xml:space="preserve">Instagram + X/Threads mirror</w:t>
            </w:r>
          </w:p>
        </w:tc>
        <w:tc>
          <w:tcPr/>
          <w:p>
            <w:pPr>
              <w:pStyle w:val="Compact"/>
              <w:jc w:val="left"/>
            </w:pPr>
            <w:r>
              <w:t xml:space="preserve">Lighter engagement post — poll, quote card, or myth-bust</w:t>
            </w:r>
          </w:p>
        </w:tc>
      </w:tr>
      <w:tr>
        <w:tc>
          <w:tcPr/>
          <w:p>
            <w:pPr>
              <w:pStyle w:val="Compact"/>
              <w:jc w:val="left"/>
            </w:pPr>
            <w:r>
              <w:t xml:space="preserve">Weekend (Sat/Sun, light)</w:t>
            </w:r>
          </w:p>
        </w:tc>
        <w:tc>
          <w:tcPr/>
          <w:p>
            <w:pPr>
              <w:pStyle w:val="Compact"/>
              <w:jc w:val="left"/>
            </w:pPr>
            <w:r>
              <w:t xml:space="preserve">Facebook</w:t>
            </w:r>
          </w:p>
        </w:tc>
        <w:tc>
          <w:tcPr/>
          <w:p>
            <w:pPr>
              <w:pStyle w:val="Compact"/>
              <w:jc w:val="left"/>
            </w:pPr>
            <w:r>
              <w:t xml:space="preserve">Community/local-business engagement, review-site monitoring and response</w:t>
            </w:r>
          </w:p>
        </w:tc>
      </w:tr>
    </w:tbl>
    <w:bookmarkEnd w:id="37"/>
    <w:bookmarkStart w:id="38" w:name="feature-to-hook-map"/>
    <w:p>
      <w:pPr>
        <w:pStyle w:val="Heading1"/>
      </w:pPr>
      <w:r>
        <w:t xml:space="preserve">13. Feature-to-hook map</w:t>
      </w:r>
    </w:p>
    <w:p>
      <w:pPr>
        <w:pStyle w:val="FirstParagraph"/>
      </w:pPr>
      <w:r>
        <w:t xml:space="preserve">See Section 8’s 3-Layer Method table for the full feature/function/benefit set. Each row maps directly to Content Book hooks; no feature ships in content until its function and benefit are both confirmed accurate against current product capability (Section 23).</w:t>
      </w:r>
    </w:p>
    <w:bookmarkEnd w:id="38"/>
    <w:bookmarkStart w:id="39" w:name="blog-seo-plan"/>
    <w:p>
      <w:pPr>
        <w:pStyle w:val="Heading1"/>
      </w:pPr>
      <w:r>
        <w:t xml:space="preserve">14. Blog &amp; SEO plan</w:t>
      </w:r>
    </w:p>
    <w:p>
      <w:pPr>
        <w:pStyle w:val="FirstParagraph"/>
      </w:pPr>
      <w:r>
        <w:t xml:space="preserve">One anchor post per week, directly extending the seven comparison posts already published (</w:t>
      </w:r>
      <w:r>
        <w:rPr>
          <w:rStyle w:val="VerbatimChar"/>
        </w:rPr>
        <w:t xml:space="preserve">retailzpos-blog-01</w:t>
      </w:r>
      <w:r>
        <w:t xml:space="preserve"> </w:t>
      </w:r>
      <w:r>
        <w:t xml:space="preserve">through</w:t>
      </w:r>
      <w:r>
        <w:t xml:space="preserve"> </w:t>
      </w:r>
      <w:r>
        <w:rPr>
          <w:rStyle w:val="VerbatimChar"/>
        </w:rPr>
        <w:t xml:space="preserve">-07</w:t>
      </w:r>
      <w:r>
        <w:t xml:space="preserve">) rather than duplicating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Wk</w:t>
            </w:r>
          </w:p>
        </w:tc>
        <w:tc>
          <w:tcPr/>
          <w:p>
            <w:pPr>
              <w:pStyle w:val="Compact"/>
              <w:jc w:val="left"/>
            </w:pPr>
            <w:r>
              <w:t xml:space="preserve">Topic</w:t>
            </w:r>
          </w:p>
        </w:tc>
        <w:tc>
          <w:tcPr/>
          <w:p>
            <w:pPr>
              <w:pStyle w:val="Compact"/>
              <w:jc w:val="left"/>
            </w:pPr>
            <w:r>
              <w:t xml:space="preserve">Intent</w:t>
            </w:r>
          </w:p>
        </w:tc>
      </w:tr>
      <w:tr>
        <w:tc>
          <w:tcPr/>
          <w:p>
            <w:pPr>
              <w:pStyle w:val="Compact"/>
              <w:jc w:val="left"/>
            </w:pPr>
            <w:r>
              <w:t xml:space="preserve">1</w:t>
            </w:r>
          </w:p>
        </w:tc>
        <w:tc>
          <w:tcPr/>
          <w:p>
            <w:pPr>
              <w:pStyle w:val="Compact"/>
              <w:jc w:val="left"/>
            </w:pPr>
            <w:r>
              <w:t xml:space="preserve">“</w:t>
            </w:r>
            <w:r>
              <w:t xml:space="preserve">What’s actually included with RetailzPOS</w:t>
            </w:r>
            <w:r>
              <w:t xml:space="preserve">”</w:t>
            </w:r>
            <w:r>
              <w:t xml:space="preserve"> </w:t>
            </w:r>
            <w:r>
              <w:t xml:space="preserve">— the What’s Included hub page</w:t>
            </w:r>
          </w:p>
        </w:tc>
        <w:tc>
          <w:tcPr/>
          <w:p>
            <w:pPr>
              <w:pStyle w:val="Compact"/>
              <w:jc w:val="left"/>
            </w:pPr>
            <w:r>
              <w:t xml:space="preserve">Self-serve research, no pricing page needed</w:t>
            </w:r>
          </w:p>
        </w:tc>
      </w:tr>
      <w:tr>
        <w:tc>
          <w:tcPr/>
          <w:p>
            <w:pPr>
              <w:pStyle w:val="Compact"/>
              <w:jc w:val="left"/>
            </w:pPr>
            <w:r>
              <w:t xml:space="preserve">2</w:t>
            </w:r>
          </w:p>
        </w:tc>
        <w:tc>
          <w:tcPr/>
          <w:p>
            <w:pPr>
              <w:pStyle w:val="Compact"/>
              <w:jc w:val="left"/>
            </w:pPr>
            <w:r>
              <w:t xml:space="preserve">Hard-block vs. soft-block age verification: what the difference actually costs you</w:t>
            </w:r>
          </w:p>
        </w:tc>
        <w:tc>
          <w:tcPr/>
          <w:p>
            <w:pPr>
              <w:pStyle w:val="Compact"/>
              <w:jc w:val="left"/>
            </w:pPr>
            <w:r>
              <w:t xml:space="preserve">Compliance-anxious searchers, extends the existing compliance/audit guide</w:t>
            </w:r>
          </w:p>
        </w:tc>
      </w:tr>
      <w:tr>
        <w:tc>
          <w:tcPr/>
          <w:p>
            <w:pPr>
              <w:pStyle w:val="Compact"/>
              <w:jc w:val="left"/>
            </w:pPr>
            <w:r>
              <w:t xml:space="preserve">3</w:t>
            </w:r>
          </w:p>
        </w:tc>
        <w:tc>
          <w:tcPr/>
          <w:p>
            <w:pPr>
              <w:pStyle w:val="Compact"/>
              <w:jc w:val="left"/>
            </w:pPr>
            <w:r>
              <w:t xml:space="preserve">Case-break inventory, explained for owners who hate spreadsheets</w:t>
            </w:r>
          </w:p>
        </w:tc>
        <w:tc>
          <w:tcPr/>
          <w:p>
            <w:pPr>
              <w:pStyle w:val="Compact"/>
              <w:jc w:val="left"/>
            </w:pPr>
            <w:r>
              <w:t xml:space="preserve">Shrinkage/inventory-pain searchers</w:t>
            </w:r>
          </w:p>
        </w:tc>
      </w:tr>
      <w:tr>
        <w:tc>
          <w:tcPr/>
          <w:p>
            <w:pPr>
              <w:pStyle w:val="Compact"/>
              <w:jc w:val="left"/>
            </w:pPr>
            <w:r>
              <w:t xml:space="preserve">4</w:t>
            </w:r>
          </w:p>
        </w:tc>
        <w:tc>
          <w:tcPr/>
          <w:p>
            <w:pPr>
              <w:pStyle w:val="Compact"/>
              <w:jc w:val="left"/>
            </w:pPr>
            <w:r>
              <w:t xml:space="preserve">The real cost of a silent churned customer (and how you’d never know)</w:t>
            </w:r>
          </w:p>
        </w:tc>
        <w:tc>
          <w:tcPr/>
          <w:p>
            <w:pPr>
              <w:pStyle w:val="Compact"/>
              <w:jc w:val="left"/>
            </w:pPr>
            <w:r>
              <w:t xml:space="preserve">Loyalty-curious searchers</w:t>
            </w:r>
          </w:p>
        </w:tc>
      </w:tr>
      <w:tr>
        <w:tc>
          <w:tcPr/>
          <w:p>
            <w:pPr>
              <w:pStyle w:val="Compact"/>
              <w:jc w:val="left"/>
            </w:pPr>
            <w:r>
              <w:t xml:space="preserve">5</w:t>
            </w:r>
          </w:p>
        </w:tc>
        <w:tc>
          <w:tcPr/>
          <w:p>
            <w:pPr>
              <w:pStyle w:val="Compact"/>
              <w:jc w:val="left"/>
            </w:pPr>
            <w:r>
              <w:t xml:space="preserve">Liquor store POS buyer’s guide 2026</w:t>
            </w:r>
          </w:p>
        </w:tc>
        <w:tc>
          <w:tcPr/>
          <w:p>
            <w:pPr>
              <w:pStyle w:val="Compact"/>
              <w:jc w:val="left"/>
            </w:pPr>
            <w:r>
              <w:t xml:space="preserve">Liquor-vertical comparison intent, extends Bottle POS/LMS-POS/NRS posts</w:t>
            </w:r>
          </w:p>
        </w:tc>
      </w:tr>
      <w:tr>
        <w:tc>
          <w:tcPr/>
          <w:p>
            <w:pPr>
              <w:pStyle w:val="Compact"/>
              <w:jc w:val="left"/>
            </w:pPr>
            <w:r>
              <w:t xml:space="preserve">6</w:t>
            </w:r>
          </w:p>
        </w:tc>
        <w:tc>
          <w:tcPr/>
          <w:p>
            <w:pPr>
              <w:pStyle w:val="Compact"/>
              <w:jc w:val="left"/>
            </w:pPr>
            <w:r>
              <w:t xml:space="preserve">Convenience store multi-location POS: what actually breaks at scale</w:t>
            </w:r>
          </w:p>
        </w:tc>
        <w:tc>
          <w:tcPr/>
          <w:p>
            <w:pPr>
              <w:pStyle w:val="Compact"/>
              <w:jc w:val="left"/>
            </w:pPr>
            <w:r>
              <w:t xml:space="preserve">Farah-persona, growth-stage search intent</w:t>
            </w:r>
          </w:p>
        </w:tc>
      </w:tr>
      <w:tr>
        <w:tc>
          <w:tcPr/>
          <w:p>
            <w:pPr>
              <w:pStyle w:val="Compact"/>
              <w:jc w:val="left"/>
            </w:pPr>
            <w:r>
              <w:t xml:space="preserve">7</w:t>
            </w:r>
          </w:p>
        </w:tc>
        <w:tc>
          <w:tcPr/>
          <w:p>
            <w:pPr>
              <w:pStyle w:val="Compact"/>
              <w:jc w:val="left"/>
            </w:pPr>
            <w:r>
              <w:t xml:space="preserve">SHAFT and TCPA for smoke/vape retail marketing: a plain-English guide</w:t>
            </w:r>
          </w:p>
        </w:tc>
        <w:tc>
          <w:tcPr/>
          <w:p>
            <w:pPr>
              <w:pStyle w:val="Compact"/>
              <w:jc w:val="left"/>
            </w:pPr>
            <w:r>
              <w:t xml:space="preserve">Ray-persona, extends existing compliance content</w:t>
            </w:r>
          </w:p>
        </w:tc>
      </w:tr>
      <w:tr>
        <w:tc>
          <w:tcPr/>
          <w:p>
            <w:pPr>
              <w:pStyle w:val="Compact"/>
              <w:jc w:val="left"/>
            </w:pPr>
            <w:r>
              <w:t xml:space="preserve">8</w:t>
            </w:r>
          </w:p>
        </w:tc>
        <w:tc>
          <w:tcPr/>
          <w:p>
            <w:pPr>
              <w:pStyle w:val="Compact"/>
              <w:jc w:val="left"/>
            </w:pPr>
            <w:r>
              <w:t xml:space="preserve">CBD retail compliance and POS: the state-by-state reality</w:t>
            </w:r>
          </w:p>
        </w:tc>
        <w:tc>
          <w:tcPr/>
          <w:p>
            <w:pPr>
              <w:pStyle w:val="Compact"/>
              <w:jc w:val="left"/>
            </w:pPr>
            <w:r>
              <w:t xml:space="preserve">Sam-persona, uncontested search space</w:t>
            </w:r>
          </w:p>
        </w:tc>
      </w:tr>
      <w:tr>
        <w:tc>
          <w:tcPr/>
          <w:p>
            <w:pPr>
              <w:pStyle w:val="Compact"/>
              <w:jc w:val="left"/>
            </w:pPr>
            <w:r>
              <w:t xml:space="preserve">9</w:t>
            </w:r>
          </w:p>
        </w:tc>
        <w:tc>
          <w:tcPr/>
          <w:p>
            <w:pPr>
              <w:pStyle w:val="Compact"/>
              <w:jc w:val="left"/>
            </w:pPr>
            <w:r>
              <w:t xml:space="preserve">Customer story: how [reference merchant] cut shrinkage/recovered lapsed customers</w:t>
            </w:r>
          </w:p>
        </w:tc>
        <w:tc>
          <w:tcPr/>
          <w:p>
            <w:pPr>
              <w:pStyle w:val="Compact"/>
              <w:jc w:val="left"/>
            </w:pPr>
            <w:r>
              <w:t xml:space="preserve">Proof-stage, product-aware searchers</w:t>
            </w:r>
          </w:p>
        </w:tc>
      </w:tr>
      <w:tr>
        <w:tc>
          <w:tcPr/>
          <w:p>
            <w:pPr>
              <w:pStyle w:val="Compact"/>
              <w:jc w:val="left"/>
            </w:pPr>
            <w:r>
              <w:t xml:space="preserve">10</w:t>
            </w:r>
          </w:p>
        </w:tc>
        <w:tc>
          <w:tcPr/>
          <w:p>
            <w:pPr>
              <w:pStyle w:val="Compact"/>
              <w:jc w:val="left"/>
            </w:pPr>
            <w:r>
              <w:t xml:space="preserve">A day in a liquor store running RetailzPOS</w:t>
            </w:r>
          </w:p>
        </w:tc>
        <w:tc>
          <w:tcPr/>
          <w:p>
            <w:pPr>
              <w:pStyle w:val="Compact"/>
              <w:jc w:val="left"/>
            </w:pPr>
            <w:r>
              <w:t xml:space="preserve">Workflow/product-aware searchers</w:t>
            </w:r>
          </w:p>
        </w:tc>
      </w:tr>
      <w:tr>
        <w:tc>
          <w:tcPr/>
          <w:p>
            <w:pPr>
              <w:pStyle w:val="Compact"/>
              <w:jc w:val="left"/>
            </w:pPr>
            <w:r>
              <w:t xml:space="preserve">11</w:t>
            </w:r>
          </w:p>
        </w:tc>
        <w:tc>
          <w:tcPr/>
          <w:p>
            <w:pPr>
              <w:pStyle w:val="Compact"/>
              <w:jc w:val="left"/>
            </w:pPr>
            <w:r>
              <w:t xml:space="preserve">A day in a convenience/smoke shop running RetailzPOS</w:t>
            </w:r>
          </w:p>
        </w:tc>
        <w:tc>
          <w:tcPr/>
          <w:p>
            <w:pPr>
              <w:pStyle w:val="Compact"/>
              <w:jc w:val="left"/>
            </w:pPr>
            <w:r>
              <w:t xml:space="preserve">Workflow/product-aware searchers</w:t>
            </w:r>
          </w:p>
        </w:tc>
      </w:tr>
      <w:tr>
        <w:tc>
          <w:tcPr/>
          <w:p>
            <w:pPr>
              <w:pStyle w:val="Compact"/>
              <w:jc w:val="left"/>
            </w:pPr>
            <w:r>
              <w:t xml:space="preserve">12</w:t>
            </w:r>
          </w:p>
        </w:tc>
        <w:tc>
          <w:tcPr/>
          <w:p>
            <w:pPr>
              <w:pStyle w:val="Compact"/>
              <w:jc w:val="left"/>
            </w:pPr>
            <w:r>
              <w:t xml:space="preserve">The State of Independent Retail POS 2026 — flagship benchmark report</w:t>
            </w:r>
          </w:p>
        </w:tc>
        <w:tc>
          <w:tcPr/>
          <w:p>
            <w:pPr>
              <w:pStyle w:val="Compact"/>
              <w:jc w:val="left"/>
            </w:pPr>
            <w:r>
              <w:t xml:space="preserve">Citation-bait, trade-press pickup, AI-answer-engine sourcing</w:t>
            </w:r>
          </w:p>
        </w:tc>
      </w:tr>
      <w:tr>
        <w:tc>
          <w:tcPr/>
          <w:p>
            <w:pPr>
              <w:pStyle w:val="Compact"/>
              <w:jc w:val="left"/>
            </w:pPr>
            <w:r>
              <w:t xml:space="preserve">13</w:t>
            </w:r>
          </w:p>
        </w:tc>
        <w:tc>
          <w:tcPr/>
          <w:p>
            <w:pPr>
              <w:pStyle w:val="Compact"/>
              <w:jc w:val="left"/>
            </w:pPr>
            <w:r>
              <w:t xml:space="preserve">Q3 in review: what we learned from [X] demos this quarter</w:t>
            </w:r>
          </w:p>
        </w:tc>
        <w:tc>
          <w:tcPr/>
          <w:p>
            <w:pPr>
              <w:pStyle w:val="Compact"/>
              <w:jc w:val="left"/>
            </w:pPr>
            <w:r>
              <w:t xml:space="preserve">Bottom-funnel, sets up Q4</w:t>
            </w:r>
          </w:p>
        </w:tc>
      </w:tr>
    </w:tbl>
    <w:bookmarkEnd w:id="39"/>
    <w:bookmarkStart w:id="40" w:name="email-lifecycle-plan"/>
    <w:p>
      <w:pPr>
        <w:pStyle w:val="Heading1"/>
      </w:pPr>
      <w:r>
        <w:t xml:space="preserve">15. Email &amp; lifecycle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Sequence</w:t>
            </w:r>
          </w:p>
        </w:tc>
        <w:tc>
          <w:tcPr/>
          <w:p>
            <w:pPr>
              <w:pStyle w:val="Compact"/>
              <w:jc w:val="left"/>
            </w:pPr>
            <w:r>
              <w:t xml:space="preserve">Trigger</w:t>
            </w:r>
          </w:p>
        </w:tc>
        <w:tc>
          <w:tcPr/>
          <w:p>
            <w:pPr>
              <w:pStyle w:val="Compact"/>
              <w:jc w:val="left"/>
            </w:pPr>
            <w:r>
              <w:t xml:space="preserve">Goal</w:t>
            </w:r>
          </w:p>
        </w:tc>
      </w:tr>
      <w:tr>
        <w:tc>
          <w:tcPr/>
          <w:p>
            <w:pPr>
              <w:pStyle w:val="Compact"/>
              <w:jc w:val="left"/>
            </w:pPr>
            <w:r>
              <w:t xml:space="preserve">Demo-request nurture</w:t>
            </w:r>
          </w:p>
        </w:tc>
        <w:tc>
          <w:tcPr/>
          <w:p>
            <w:pPr>
              <w:pStyle w:val="Compact"/>
              <w:jc w:val="left"/>
            </w:pPr>
            <w:r>
              <w:t xml:space="preserve">Someone requests a demo</w:t>
            </w:r>
          </w:p>
        </w:tc>
        <w:tc>
          <w:tcPr/>
          <w:p>
            <w:pPr>
              <w:pStyle w:val="Compact"/>
              <w:jc w:val="left"/>
            </w:pPr>
            <w:r>
              <w:t xml:space="preserve">Confirm, set expectations, deliver the recorded product tour as a backup if scheduling slips</w:t>
            </w:r>
          </w:p>
        </w:tc>
      </w:tr>
      <w:tr>
        <w:tc>
          <w:tcPr/>
          <w:p>
            <w:pPr>
              <w:pStyle w:val="Compact"/>
              <w:jc w:val="left"/>
            </w:pPr>
            <w:r>
              <w:t xml:space="preserve">Post-demo follow-up</w:t>
            </w:r>
          </w:p>
        </w:tc>
        <w:tc>
          <w:tcPr/>
          <w:p>
            <w:pPr>
              <w:pStyle w:val="Compact"/>
              <w:jc w:val="left"/>
            </w:pPr>
            <w:r>
              <w:t xml:space="preserve">Demo held, no close yet</w:t>
            </w:r>
          </w:p>
        </w:tc>
        <w:tc>
          <w:tcPr/>
          <w:p>
            <w:pPr>
              <w:pStyle w:val="Compact"/>
              <w:jc w:val="left"/>
            </w:pPr>
            <w:r>
              <w:t xml:space="preserve">Answer objections by persona/vertical, never lead with price, always end in a next-call invitation</w:t>
            </w:r>
          </w:p>
        </w:tc>
      </w:tr>
      <w:tr>
        <w:tc>
          <w:tcPr/>
          <w:p>
            <w:pPr>
              <w:pStyle w:val="Compact"/>
              <w:jc w:val="left"/>
            </w:pPr>
            <w:r>
              <w:t xml:space="preserve">Content digest</w:t>
            </w:r>
          </w:p>
        </w:tc>
        <w:tc>
          <w:tcPr/>
          <w:p>
            <w:pPr>
              <w:pStyle w:val="Compact"/>
              <w:jc w:val="left"/>
            </w:pPr>
            <w:r>
              <w:t xml:space="preserve">Newsletter subscriber</w:t>
            </w:r>
          </w:p>
        </w:tc>
        <w:tc>
          <w:tcPr/>
          <w:p>
            <w:pPr>
              <w:pStyle w:val="Compact"/>
              <w:jc w:val="left"/>
            </w:pPr>
            <w:r>
              <w:t xml:space="preserve">Monthly roundup of the vertical deep-dives and benchmark findings, positioned as</w:t>
            </w:r>
            <w:r>
              <w:t xml:space="preserve"> </w:t>
            </w:r>
            <w:r>
              <w:t xml:space="preserve">“</w:t>
            </w:r>
            <w:r>
              <w:t xml:space="preserve">worth knowing,</w:t>
            </w:r>
            <w:r>
              <w:t xml:space="preserve">”</w:t>
            </w:r>
            <w:r>
              <w:t xml:space="preserve"> </w:t>
            </w:r>
            <w:r>
              <w:t xml:space="preserve">not</w:t>
            </w:r>
            <w:r>
              <w:t xml:space="preserve"> </w:t>
            </w:r>
            <w:r>
              <w:t xml:space="preserve">“</w:t>
            </w:r>
            <w:r>
              <w:t xml:space="preserve">buy now</w:t>
            </w:r>
            <w:r>
              <w:t xml:space="preserve">”</w:t>
            </w:r>
          </w:p>
        </w:tc>
      </w:tr>
      <w:tr>
        <w:tc>
          <w:tcPr/>
          <w:p>
            <w:pPr>
              <w:pStyle w:val="Compact"/>
              <w:jc w:val="left"/>
            </w:pPr>
            <w:r>
              <w:t xml:space="preserve">Reference-customer recruitment</w:t>
            </w:r>
          </w:p>
        </w:tc>
        <w:tc>
          <w:tcPr/>
          <w:p>
            <w:pPr>
              <w:pStyle w:val="Compact"/>
              <w:jc w:val="left"/>
            </w:pPr>
            <w:r>
              <w:t xml:space="preserve">Existing merchant flagged as a strong fit</w:t>
            </w:r>
          </w:p>
        </w:tc>
        <w:tc>
          <w:tcPr/>
          <w:p>
            <w:pPr>
              <w:pStyle w:val="Compact"/>
              <w:jc w:val="left"/>
            </w:pPr>
            <w:r>
              <w:t xml:space="preserve">Recruit the 3–5 reference customers needed for Section 23, with a clear, simple usage-rights ask</w:t>
            </w:r>
          </w:p>
        </w:tc>
      </w:tr>
    </w:tbl>
    <w:bookmarkEnd w:id="40"/>
    <w:bookmarkStart w:id="41" w:name="paid-media"/>
    <w:p>
      <w:pPr>
        <w:pStyle w:val="Heading1"/>
      </w:pPr>
      <w:r>
        <w:t xml:space="preserve">16. Paid media</w:t>
      </w:r>
    </w:p>
    <w:p>
      <w:pPr>
        <w:pStyle w:val="FirstParagraph"/>
      </w:pPr>
      <w:r>
        <w:t xml:space="preserve">Modest spend, held back until Month 2 and only behind content already proven to work organically (per Section 3). Prioritize Facebook and Instagram for vertical-specific carousels/Reels that already have strong organic saves, and LinkedIn for the Priya-persona multi-location content. No paid spend behind anything implying a price, per Section 2 — every paid unit ends in a demo-request CTA only. Alcohol- and tobacco-related ad policies on Meta and TikTok are stricter than general retail; every paid asset is checked against current platform alcohol/tobacco/CBD ad policy before spend, not after a rejection.</w:t>
      </w:r>
    </w:p>
    <w:bookmarkEnd w:id="41"/>
    <w:bookmarkStart w:id="42" w:name="creator-ugc-review-strategy"/>
    <w:p>
      <w:pPr>
        <w:pStyle w:val="Heading1"/>
      </w:pPr>
      <w:r>
        <w:t xml:space="preserve">17. Creator, UGC &amp; review strategy</w:t>
      </w:r>
    </w:p>
    <w:p>
      <w:pPr>
        <w:pStyle w:val="FirstParagraph"/>
      </w:pPr>
      <w:r>
        <w:t xml:space="preserve">Real merchant stories carry more weight in this category than produced ads — a fellow owner talking through their actual counter, their actual case-break process, their actual near-miss with an age check, in their own words. Recruit 3–5 reference customers across verticals (Section 23) for whole-day workflow stories in Month 3. Review-site profiles (Capterra, G2, Google Business) are claimed, fully built out, and actively responded to from Week 1 — treated as a content asset, not an afterthought, because AI answer engines and buyers both source from them directly.</w:t>
      </w:r>
    </w:p>
    <w:bookmarkEnd w:id="42"/>
    <w:bookmarkStart w:id="43" w:name="visual-guidelines"/>
    <w:p>
      <w:pPr>
        <w:pStyle w:val="Heading1"/>
      </w:pPr>
      <w:r>
        <w:t xml:space="preserve">18. Visual guidelines</w:t>
      </w:r>
    </w:p>
    <w:p>
      <w:pPr>
        <w:pStyle w:val="FirstParagraph"/>
      </w:pPr>
      <w:r>
        <w:t xml:space="preserve">RetailzPOS reuses the established Moolah gold/charcoal system already in production use across this brand family.</w:t>
      </w:r>
    </w:p>
    <w:p>
      <w:pPr>
        <w:pStyle w:val="BodyText"/>
      </w:pPr>
      <w:r>
        <w:rPr>
          <w:bCs/>
          <w:b/>
        </w:rPr>
        <w:t xml:space="preserve">Palette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Color</w:t>
            </w:r>
          </w:p>
        </w:tc>
        <w:tc>
          <w:tcPr/>
          <w:p>
            <w:pPr>
              <w:pStyle w:val="Compact"/>
              <w:jc w:val="left"/>
            </w:pPr>
            <w:r>
              <w:t xml:space="preserve">Hex</w:t>
            </w:r>
          </w:p>
        </w:tc>
      </w:tr>
      <w:tr>
        <w:tc>
          <w:tcPr/>
          <w:p>
            <w:pPr>
              <w:pStyle w:val="Compact"/>
              <w:jc w:val="left"/>
            </w:pPr>
            <w:r>
              <w:t xml:space="preserve">Primary accent (CTAs, highlights — capped at ~10% of any layout)</w:t>
            </w:r>
          </w:p>
        </w:tc>
        <w:tc>
          <w:tcPr/>
          <w:p>
            <w:pPr>
              <w:pStyle w:val="Compact"/>
              <w:jc w:val="left"/>
            </w:pPr>
            <w:r>
              <w:t xml:space="preserve">Moolah Gold</w:t>
            </w:r>
          </w:p>
        </w:tc>
        <w:tc>
          <w:tcPr/>
          <w:p>
            <w:pPr>
              <w:pStyle w:val="Compact"/>
              <w:jc w:val="left"/>
            </w:pPr>
            <w:r>
              <w:t xml:space="preserve">#D6A429</w:t>
            </w:r>
          </w:p>
        </w:tc>
      </w:tr>
      <w:tr>
        <w:tc>
          <w:tcPr/>
          <w:p>
            <w:pPr>
              <w:pStyle w:val="Compact"/>
              <w:jc w:val="left"/>
            </w:pPr>
            <w:r>
              <w:t xml:space="preserve">Primary dark / text</w:t>
            </w:r>
          </w:p>
        </w:tc>
        <w:tc>
          <w:tcPr/>
          <w:p>
            <w:pPr>
              <w:pStyle w:val="Compact"/>
              <w:jc w:val="left"/>
            </w:pPr>
            <w:r>
              <w:t xml:space="preserve">Ink Charcoal</w:t>
            </w:r>
          </w:p>
        </w:tc>
        <w:tc>
          <w:tcPr/>
          <w:p>
            <w:pPr>
              <w:pStyle w:val="Compact"/>
              <w:jc w:val="left"/>
            </w:pPr>
            <w:r>
              <w:t xml:space="preserve">#221F1A</w:t>
            </w:r>
          </w:p>
        </w:tc>
      </w:tr>
      <w:tr>
        <w:tc>
          <w:tcPr/>
          <w:p>
            <w:pPr>
              <w:pStyle w:val="Compact"/>
              <w:jc w:val="left"/>
            </w:pPr>
            <w:r>
              <w:t xml:space="preserve">Background / paper</w:t>
            </w:r>
          </w:p>
        </w:tc>
        <w:tc>
          <w:tcPr/>
          <w:p>
            <w:pPr>
              <w:pStyle w:val="Compact"/>
              <w:jc w:val="left"/>
            </w:pPr>
            <w:r>
              <w:t xml:space="preserve">Warm Paper</w:t>
            </w:r>
          </w:p>
        </w:tc>
        <w:tc>
          <w:tcPr/>
          <w:p>
            <w:pPr>
              <w:pStyle w:val="Compact"/>
              <w:jc w:val="left"/>
            </w:pPr>
            <w:r>
              <w:t xml:space="preserve">#F7F3EC</w:t>
            </w:r>
          </w:p>
        </w:tc>
      </w:tr>
      <w:tr>
        <w:tc>
          <w:tcPr/>
          <w:p>
            <w:pPr>
              <w:pStyle w:val="Compact"/>
              <w:jc w:val="left"/>
            </w:pPr>
            <w:r>
              <w:t xml:space="preserve">Contrast dark</w:t>
            </w:r>
          </w:p>
        </w:tc>
        <w:tc>
          <w:tcPr/>
          <w:p>
            <w:pPr>
              <w:pStyle w:val="Compact"/>
              <w:jc w:val="left"/>
            </w:pPr>
            <w:r>
              <w:t xml:space="preserve">Deep Charcoal</w:t>
            </w:r>
          </w:p>
        </w:tc>
        <w:tc>
          <w:tcPr/>
          <w:p>
            <w:pPr>
              <w:pStyle w:val="Compact"/>
              <w:jc w:val="left"/>
            </w:pPr>
            <w:r>
              <w:t xml:space="preserve">#14120F</w:t>
            </w:r>
          </w:p>
        </w:tc>
      </w:tr>
      <w:tr>
        <w:tc>
          <w:tcPr/>
          <w:p>
            <w:pPr>
              <w:pStyle w:val="Compact"/>
              <w:jc w:val="left"/>
            </w:pPr>
            <w:r>
              <w:t xml:space="preserve">Compliance/warning callouts only</w:t>
            </w:r>
          </w:p>
        </w:tc>
        <w:tc>
          <w:tcPr/>
          <w:p>
            <w:pPr>
              <w:pStyle w:val="Compact"/>
              <w:jc w:val="left"/>
            </w:pPr>
            <w:r>
              <w:t xml:space="preserve">Compliance Red</w:t>
            </w:r>
          </w:p>
        </w:tc>
        <w:tc>
          <w:tcPr/>
          <w:p>
            <w:pPr>
              <w:pStyle w:val="Compact"/>
              <w:jc w:val="left"/>
            </w:pPr>
            <w:r>
              <w:t xml:space="preserve">#B23A2E</w:t>
            </w:r>
          </w:p>
        </w:tc>
      </w:tr>
      <w:tr>
        <w:tc>
          <w:tcPr/>
          <w:p>
            <w:pPr>
              <w:pStyle w:val="Compact"/>
              <w:jc w:val="left"/>
            </w:pPr>
            <w:r>
              <w:t xml:space="preserve">Secondary text</w:t>
            </w:r>
          </w:p>
        </w:tc>
        <w:tc>
          <w:tcPr/>
          <w:p>
            <w:pPr>
              <w:pStyle w:val="Compact"/>
              <w:jc w:val="left"/>
            </w:pPr>
            <w:r>
              <w:t xml:space="preserve">Neutral Grey</w:t>
            </w:r>
          </w:p>
        </w:tc>
        <w:tc>
          <w:tcPr/>
          <w:p>
            <w:pPr>
              <w:pStyle w:val="Compact"/>
              <w:jc w:val="left"/>
            </w:pPr>
            <w:r>
              <w:t xml:space="preserve">#6B655C</w:t>
            </w:r>
          </w:p>
        </w:tc>
      </w:tr>
    </w:tbl>
    <w:p>
      <w:pPr>
        <w:pStyle w:val="BodyText"/>
      </w:pPr>
      <w:r>
        <w:rPr>
          <w:bCs/>
          <w:b/>
        </w:rPr>
        <w:t xml:space="preserve">Typography:</w:t>
      </w:r>
      <w:r>
        <w:t xml:space="preserve"> </w:t>
      </w:r>
      <w:r>
        <w:t xml:space="preserve">One type family per surface — a confident slab serif for headlines (e.g., Fraunces or equivalent), a humanist sans for body and UI text (e.g., Inter or equivalent). Defined type scale, generous line-length limits, and a consistent grid across all platforms.</w:t>
      </w:r>
    </w:p>
    <w:p>
      <w:pPr>
        <w:pStyle w:val="BodyText"/>
      </w:pPr>
      <w:r>
        <w:rPr>
          <w:bCs/>
          <w:b/>
        </w:rPr>
        <w:t xml:space="preserve">Accessibility:</w:t>
      </w:r>
      <w:r>
        <w:t xml:space="preserve"> </w:t>
      </w:r>
      <w:r>
        <w:t xml:space="preserve">WCAG AA contrast minimum on every text/background pairing; meaning is never carried by color alone (compliance callouts get an icon and label, not just red).</w:t>
      </w:r>
    </w:p>
    <w:bookmarkEnd w:id="43"/>
    <w:bookmarkStart w:id="44" w:name="content-dos-and-donts"/>
    <w:p>
      <w:pPr>
        <w:pStyle w:val="Heading1"/>
      </w:pPr>
      <w:r>
        <w:t xml:space="preserve">19. Content do’s and don’ts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w:t>
            </w:r>
          </w:p>
        </w:tc>
        <w:tc>
          <w:tcPr/>
          <w:p>
            <w:pPr>
              <w:pStyle w:val="Compact"/>
              <w:jc w:val="left"/>
            </w:pPr>
            <w:r>
              <w:t xml:space="preserve">Don’t</w:t>
            </w:r>
          </w:p>
        </w:tc>
      </w:tr>
      <w:tr>
        <w:tc>
          <w:tcPr/>
          <w:p>
            <w:pPr>
              <w:pStyle w:val="Compact"/>
              <w:jc w:val="left"/>
            </w:pPr>
            <w:r>
              <w:t xml:space="preserve">Name the specific pain (the 11pm ID check, the Sunday case-count) before naming RetailzPOS</w:t>
            </w:r>
          </w:p>
        </w:tc>
        <w:tc>
          <w:tcPr/>
          <w:p>
            <w:pPr>
              <w:pStyle w:val="Compact"/>
              <w:jc w:val="left"/>
            </w:pPr>
            <w:r>
              <w:t xml:space="preserve">Open with a generic</w:t>
            </w:r>
            <w:r>
              <w:t xml:space="preserve"> </w:t>
            </w:r>
            <w:r>
              <w:t xml:space="preserve">“</w:t>
            </w:r>
            <w:r>
              <w:t xml:space="preserve">grow your business</w:t>
            </w:r>
            <w:r>
              <w:t xml:space="preserve">”</w:t>
            </w:r>
            <w:r>
              <w:t xml:space="preserve"> </w:t>
            </w:r>
            <w:r>
              <w:t xml:space="preserve">line that could apply to any POS</w:t>
            </w:r>
          </w:p>
        </w:tc>
      </w:tr>
      <w:tr>
        <w:tc>
          <w:tcPr/>
          <w:p>
            <w:pPr>
              <w:pStyle w:val="Compact"/>
              <w:jc w:val="left"/>
            </w:pPr>
            <w:r>
              <w:t xml:space="preserve">Use real, current feature capability, checked against Section 23’s confirmed matrix</w:t>
            </w:r>
          </w:p>
        </w:tc>
        <w:tc>
          <w:tcPr/>
          <w:p>
            <w:pPr>
              <w:pStyle w:val="Compact"/>
              <w:jc w:val="left"/>
            </w:pPr>
            <w:r>
              <w:t xml:space="preserve">Market a feature that isn’t shipped yet, or an SLA that isn’t confirmed</w:t>
            </w:r>
          </w:p>
        </w:tc>
      </w:tr>
      <w:tr>
        <w:tc>
          <w:tcPr/>
          <w:p>
            <w:pPr>
              <w:pStyle w:val="Compact"/>
              <w:jc w:val="left"/>
            </w:pPr>
            <w:r>
              <w:t xml:space="preserve">Route every</w:t>
            </w:r>
            <w:r>
              <w:t xml:space="preserve"> </w:t>
            </w:r>
            <w:r>
              <w:t xml:space="preserve">“</w:t>
            </w:r>
            <w:r>
              <w:t xml:space="preserve">what’s this cost?</w:t>
            </w:r>
            <w:r>
              <w:t xml:space="preserve">”</w:t>
            </w:r>
            <w:r>
              <w:t xml:space="preserve"> </w:t>
            </w:r>
            <w:r>
              <w:t xml:space="preserve">to a warm answer + demo invite</w:t>
            </w:r>
          </w:p>
        </w:tc>
        <w:tc>
          <w:tcPr/>
          <w:p>
            <w:pPr>
              <w:pStyle w:val="Compact"/>
              <w:jc w:val="left"/>
            </w:pPr>
            <w:r>
              <w:t xml:space="preserve">Ever quote a figure, range, or soft price anchor</w:t>
            </w:r>
          </w:p>
        </w:tc>
      </w:tr>
      <w:tr>
        <w:tc>
          <w:tcPr/>
          <w:p>
            <w:pPr>
              <w:pStyle w:val="Compact"/>
              <w:jc w:val="left"/>
            </w:pPr>
            <w:r>
              <w:t xml:space="preserve">Route every CBD compliance claim to</w:t>
            </w:r>
            <w:r>
              <w:t xml:space="preserve"> </w:t>
            </w:r>
            <w:r>
              <w:t xml:space="preserve">“</w:t>
            </w:r>
            <w:r>
              <w:t xml:space="preserve">confirm your state’s current rules</w:t>
            </w:r>
            <w:r>
              <w:t xml:space="preserve">”</w:t>
            </w:r>
          </w:p>
        </w:tc>
        <w:tc>
          <w:tcPr/>
          <w:p>
            <w:pPr>
              <w:pStyle w:val="Compact"/>
              <w:jc w:val="left"/>
            </w:pPr>
            <w:r>
              <w:t xml:space="preserve">Imply blanket CBD legal compliance in every state</w:t>
            </w:r>
          </w:p>
        </w:tc>
      </w:tr>
      <w:tr>
        <w:tc>
          <w:tcPr/>
          <w:p>
            <w:pPr>
              <w:pStyle w:val="Compact"/>
              <w:jc w:val="left"/>
            </w:pPr>
            <w:r>
              <w:t xml:space="preserve">Use SHAFT/TCPA-safe language in every SMS-related post and campaign</w:t>
            </w:r>
          </w:p>
        </w:tc>
        <w:tc>
          <w:tcPr/>
          <w:p>
            <w:pPr>
              <w:pStyle w:val="Compact"/>
              <w:jc w:val="left"/>
            </w:pPr>
            <w:r>
              <w:t xml:space="preserve">Name specific nicotine/alcohol products directly inside SMS copy</w:t>
            </w:r>
          </w:p>
        </w:tc>
      </w:tr>
      <w:tr>
        <w:tc>
          <w:tcPr/>
          <w:p>
            <w:pPr>
              <w:pStyle w:val="Compact"/>
              <w:jc w:val="left"/>
            </w:pPr>
            <w:r>
              <w:t xml:space="preserve">Tag every post to exactly one of the five named personas</w:t>
            </w:r>
          </w:p>
        </w:tc>
        <w:tc>
          <w:tcPr/>
          <w:p>
            <w:pPr>
              <w:pStyle w:val="Compact"/>
              <w:jc w:val="left"/>
            </w:pPr>
            <w:r>
              <w:t xml:space="preserve">Write a post aimed at</w:t>
            </w:r>
            <w:r>
              <w:t xml:space="preserve"> </w:t>
            </w:r>
            <w:r>
              <w:t xml:space="preserve">“</w:t>
            </w:r>
            <w:r>
              <w:t xml:space="preserve">retailers</w:t>
            </w:r>
            <w:r>
              <w:t xml:space="preserve">”</w:t>
            </w:r>
            <w:r>
              <w:t xml:space="preserve"> </w:t>
            </w:r>
            <w:r>
              <w:t xml:space="preserve">in the abstract</w:t>
            </w:r>
          </w:p>
        </w:tc>
      </w:tr>
      <w:tr>
        <w:tc>
          <w:tcPr/>
          <w:p>
            <w:pPr>
              <w:pStyle w:val="Compact"/>
              <w:jc w:val="left"/>
            </w:pPr>
            <w:r>
              <w:t xml:space="preserve">Use one messaging pillar per post, rotated</w:t>
            </w:r>
          </w:p>
        </w:tc>
        <w:tc>
          <w:tcPr/>
          <w:p>
            <w:pPr>
              <w:pStyle w:val="Compact"/>
              <w:jc w:val="left"/>
            </w:pPr>
            <w:r>
              <w:t xml:space="preserve">Cram multiple pillars into a single post</w:t>
            </w:r>
          </w:p>
        </w:tc>
      </w:tr>
      <w:tr>
        <w:tc>
          <w:tcPr/>
          <w:p>
            <w:pPr>
              <w:pStyle w:val="Compact"/>
              <w:jc w:val="left"/>
            </w:pPr>
            <w:r>
              <w:t xml:space="preserve">Credit and get usage rights cleared before using any reference-customer story</w:t>
            </w:r>
          </w:p>
        </w:tc>
        <w:tc>
          <w:tcPr/>
          <w:p>
            <w:pPr>
              <w:pStyle w:val="Compact"/>
              <w:jc w:val="left"/>
            </w:pPr>
            <w:r>
              <w:t xml:space="preserve">Publish a merchant story without signed usage rights</w:t>
            </w:r>
          </w:p>
        </w:tc>
      </w:tr>
      <w:tr>
        <w:tc>
          <w:tcPr/>
          <w:p>
            <w:pPr>
              <w:pStyle w:val="Compact"/>
              <w:jc w:val="left"/>
            </w:pPr>
            <w:r>
              <w:t xml:space="preserve">Check alcohol/tobacco/CBD ad policy on the specific platform before any paid spend</w:t>
            </w:r>
          </w:p>
        </w:tc>
        <w:tc>
          <w:tcPr/>
          <w:p>
            <w:pPr>
              <w:pStyle w:val="Compact"/>
              <w:jc w:val="left"/>
            </w:pPr>
            <w:r>
              <w:t xml:space="preserve">Assume Meta/TikTok ad policy is the same as general retail</w:t>
            </w:r>
          </w:p>
        </w:tc>
      </w:tr>
      <w:tr>
        <w:tc>
          <w:tcPr/>
          <w:p>
            <w:pPr>
              <w:pStyle w:val="Compact"/>
              <w:jc w:val="left"/>
            </w:pPr>
            <w:r>
              <w:t xml:space="preserve">Keep every claim checkable against real product capability or cited research</w:t>
            </w:r>
          </w:p>
        </w:tc>
        <w:tc>
          <w:tcPr/>
          <w:p>
            <w:pPr>
              <w:pStyle w:val="Compact"/>
              <w:jc w:val="left"/>
            </w:pPr>
            <w:r>
              <w:t xml:space="preserve">State a statistic without a source, internal or external</w:t>
            </w:r>
          </w:p>
        </w:tc>
      </w:tr>
    </w:tbl>
    <w:bookmarkEnd w:id="44"/>
    <w:bookmarkStart w:id="45" w:name="pre-publish-scorecard"/>
    <w:p>
      <w:pPr>
        <w:pStyle w:val="Heading1"/>
      </w:pPr>
      <w:r>
        <w:t xml:space="preserve">20. Pre-publish scorecard</w:t>
      </w:r>
    </w:p>
    <w:p>
      <w:pPr>
        <w:pStyle w:val="FirstParagraph"/>
      </w:pPr>
      <w:r>
        <w:t xml:space="preserve">Weighted out of 100.</w:t>
      </w:r>
      <w:r>
        <w:t xml:space="preserve"> </w:t>
      </w:r>
      <w:r>
        <w:t xml:space="preserve">“</w:t>
      </w:r>
      <w:r>
        <w:t xml:space="preserve">Truth &amp; claims accuracy</w:t>
      </w:r>
      <w:r>
        <w:t xml:space="preserve">”</w:t>
      </w:r>
      <w:r>
        <w:t xml:space="preserve"> </w:t>
      </w:r>
      <w:r>
        <w:t xml:space="preserve">is a gate — a failing score there stops publication regardless of the total.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Weight</w:t>
            </w:r>
          </w:p>
        </w:tc>
      </w:tr>
      <w:tr>
        <w:tc>
          <w:tcPr/>
          <w:p>
            <w:pPr>
              <w:pStyle w:val="Compact"/>
              <w:jc w:val="left"/>
            </w:pPr>
            <w:r>
              <w:t xml:space="preserve">Truth &amp; claims accuracy (gate — automatic stop if failed)</w:t>
            </w:r>
          </w:p>
        </w:tc>
        <w:tc>
          <w:tcPr/>
          <w:p>
            <w:pPr>
              <w:pStyle w:val="Compact"/>
              <w:jc w:val="left"/>
            </w:pPr>
            <w:r>
              <w:t xml:space="preserve">20</w:t>
            </w:r>
          </w:p>
        </w:tc>
      </w:tr>
      <w:tr>
        <w:tc>
          <w:tcPr/>
          <w:p>
            <w:pPr>
              <w:pStyle w:val="Compact"/>
              <w:jc w:val="left"/>
            </w:pPr>
            <w:r>
              <w:t xml:space="preserve">Persona relevance (tagged to exactly one of the five)</w:t>
            </w:r>
          </w:p>
        </w:tc>
        <w:tc>
          <w:tcPr/>
          <w:p>
            <w:pPr>
              <w:pStyle w:val="Compact"/>
              <w:jc w:val="left"/>
            </w:pPr>
            <w:r>
              <w:t xml:space="preserve">12</w:t>
            </w:r>
          </w:p>
        </w:tc>
      </w:tr>
      <w:tr>
        <w:tc>
          <w:tcPr/>
          <w:p>
            <w:pPr>
              <w:pStyle w:val="Compact"/>
              <w:jc w:val="left"/>
            </w:pPr>
            <w:r>
              <w:t xml:space="preserve">Messaging-pillar clarity (one pillar, clearly carried)</w:t>
            </w:r>
          </w:p>
        </w:tc>
        <w:tc>
          <w:tcPr/>
          <w:p>
            <w:pPr>
              <w:pStyle w:val="Compact"/>
              <w:jc w:val="left"/>
            </w:pPr>
            <w:r>
              <w:t xml:space="preserve">12</w:t>
            </w:r>
          </w:p>
        </w:tc>
      </w:tr>
      <w:tr>
        <w:tc>
          <w:tcPr/>
          <w:p>
            <w:pPr>
              <w:pStyle w:val="Compact"/>
              <w:jc w:val="left"/>
            </w:pPr>
            <w:r>
              <w:t xml:space="preserve">Hook strength (stops the scroll in the first line/frame)</w:t>
            </w:r>
          </w:p>
        </w:tc>
        <w:tc>
          <w:tcPr/>
          <w:p>
            <w:pPr>
              <w:pStyle w:val="Compact"/>
              <w:jc w:val="left"/>
            </w:pPr>
            <w:r>
              <w:t xml:space="preserve">12</w:t>
            </w:r>
          </w:p>
        </w:tc>
      </w:tr>
      <w:tr>
        <w:tc>
          <w:tcPr/>
          <w:p>
            <w:pPr>
              <w:pStyle w:val="Compact"/>
              <w:jc w:val="left"/>
            </w:pPr>
            <w:r>
              <w:t xml:space="preserve">3-Layer Method correctly applied (where feature-based)</w:t>
            </w:r>
          </w:p>
        </w:tc>
        <w:tc>
          <w:tcPr/>
          <w:p>
            <w:pPr>
              <w:pStyle w:val="Compact"/>
              <w:jc w:val="left"/>
            </w:pPr>
            <w:r>
              <w:t xml:space="preserve">10</w:t>
            </w:r>
          </w:p>
        </w:tc>
      </w:tr>
      <w:tr>
        <w:tc>
          <w:tcPr/>
          <w:p>
            <w:pPr>
              <w:pStyle w:val="Compact"/>
              <w:jc w:val="left"/>
            </w:pPr>
            <w:r>
              <w:t xml:space="preserve">Compliance-safe language (SHAFT/TCPA/CBD-state caveats as applicable)</w:t>
            </w:r>
          </w:p>
        </w:tc>
        <w:tc>
          <w:tcPr/>
          <w:p>
            <w:pPr>
              <w:pStyle w:val="Compact"/>
              <w:jc w:val="left"/>
            </w:pPr>
            <w:r>
              <w:t xml:space="preserve">10</w:t>
            </w:r>
          </w:p>
        </w:tc>
      </w:tr>
      <w:tr>
        <w:tc>
          <w:tcPr/>
          <w:p>
            <w:pPr>
              <w:pStyle w:val="Compact"/>
              <w:jc w:val="left"/>
            </w:pPr>
            <w:r>
              <w:t xml:space="preserve">No pricing implication anywhere in copy or visual</w:t>
            </w:r>
          </w:p>
        </w:tc>
        <w:tc>
          <w:tcPr/>
          <w:p>
            <w:pPr>
              <w:pStyle w:val="Compact"/>
              <w:jc w:val="left"/>
            </w:pPr>
            <w:r>
              <w:t xml:space="preserve">8</w:t>
            </w:r>
          </w:p>
        </w:tc>
      </w:tr>
      <w:tr>
        <w:tc>
          <w:tcPr/>
          <w:p>
            <w:pPr>
              <w:pStyle w:val="Compact"/>
              <w:jc w:val="left"/>
            </w:pPr>
            <w:r>
              <w:t xml:space="preserve">Visual brand consistency (palette, type, accent cap)</w:t>
            </w:r>
          </w:p>
        </w:tc>
        <w:tc>
          <w:tcPr/>
          <w:p>
            <w:pPr>
              <w:pStyle w:val="Compact"/>
              <w:jc w:val="left"/>
            </w:pPr>
            <w:r>
              <w:t xml:space="preserve">8</w:t>
            </w:r>
          </w:p>
        </w:tc>
      </w:tr>
      <w:tr>
        <w:tc>
          <w:tcPr/>
          <w:p>
            <w:pPr>
              <w:pStyle w:val="Compact"/>
              <w:jc w:val="left"/>
            </w:pPr>
            <w:r>
              <w:t xml:space="preserve">Platform-native formatting</w:t>
            </w:r>
          </w:p>
        </w:tc>
        <w:tc>
          <w:tcPr/>
          <w:p>
            <w:pPr>
              <w:pStyle w:val="Compact"/>
              <w:jc w:val="left"/>
            </w:pPr>
            <w:r>
              <w:t xml:space="preserve">4</w:t>
            </w:r>
          </w:p>
        </w:tc>
      </w:tr>
      <w:tr>
        <w:tc>
          <w:tcPr/>
          <w:p>
            <w:pPr>
              <w:pStyle w:val="Compact"/>
              <w:jc w:val="left"/>
            </w:pPr>
            <w:r>
              <w:t xml:space="preserve">Accessibility (contrast, alt text, no color-only meaning)</w:t>
            </w:r>
          </w:p>
        </w:tc>
        <w:tc>
          <w:tcPr/>
          <w:p>
            <w:pPr>
              <w:pStyle w:val="Compact"/>
              <w:jc w:val="left"/>
            </w:pPr>
            <w:r>
              <w:t xml:space="preserve">4</w:t>
            </w:r>
          </w:p>
        </w:tc>
      </w:tr>
    </w:tbl>
    <w:bookmarkEnd w:id="45"/>
    <w:bookmarkStart w:id="46" w:name="post-publish-grading"/>
    <w:p>
      <w:pPr>
        <w:pStyle w:val="Heading1"/>
      </w:pPr>
      <w:r>
        <w:t xml:space="preserve">21. Post-publish grading</w:t>
      </w:r>
    </w:p>
    <w:p>
      <w:pPr>
        <w:pStyle w:val="FirstParagraph"/>
      </w:pPr>
      <w:r>
        <w:t xml:space="preserve">A/B/C/D grade assigned 48–72 hours after publish, based on the post’s reach relative to the account’s trailing 30-day median for that format/platform.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Grade</w:t>
            </w:r>
          </w:p>
        </w:tc>
        <w:tc>
          <w:tcPr/>
          <w:p>
            <w:pPr>
              <w:pStyle w:val="Compact"/>
              <w:jc w:val="left"/>
            </w:pPr>
            <w:r>
              <w:t xml:space="preserve">Reach vs. 30-day median</w:t>
            </w:r>
          </w:p>
        </w:tc>
      </w:tr>
      <w:tr>
        <w:tc>
          <w:tcPr/>
          <w:p>
            <w:pPr>
              <w:pStyle w:val="Compact"/>
              <w:jc w:val="left"/>
            </w:pPr>
            <w:r>
              <w:t xml:space="preserve">A</w:t>
            </w:r>
          </w:p>
        </w:tc>
        <w:tc>
          <w:tcPr/>
          <w:p>
            <w:pPr>
              <w:pStyle w:val="Compact"/>
              <w:jc w:val="left"/>
            </w:pPr>
            <w:r>
              <w:t xml:space="preserve">2.0x or higher</w:t>
            </w:r>
          </w:p>
        </w:tc>
      </w:tr>
      <w:tr>
        <w:tc>
          <w:tcPr/>
          <w:p>
            <w:pPr>
              <w:pStyle w:val="Compact"/>
              <w:jc w:val="left"/>
            </w:pPr>
            <w:r>
              <w:t xml:space="preserve">B</w:t>
            </w:r>
          </w:p>
        </w:tc>
        <w:tc>
          <w:tcPr/>
          <w:p>
            <w:pPr>
              <w:pStyle w:val="Compact"/>
              <w:jc w:val="left"/>
            </w:pPr>
            <w:r>
              <w:t xml:space="preserve">1.2x – 1.99x</w:t>
            </w:r>
          </w:p>
        </w:tc>
      </w:tr>
      <w:tr>
        <w:tc>
          <w:tcPr/>
          <w:p>
            <w:pPr>
              <w:pStyle w:val="Compact"/>
              <w:jc w:val="left"/>
            </w:pPr>
            <w:r>
              <w:t xml:space="preserve">C</w:t>
            </w:r>
          </w:p>
        </w:tc>
        <w:tc>
          <w:tcPr/>
          <w:p>
            <w:pPr>
              <w:pStyle w:val="Compact"/>
              <w:jc w:val="left"/>
            </w:pPr>
            <w:r>
              <w:t xml:space="preserve">0.6x – 1.19x</w:t>
            </w:r>
          </w:p>
        </w:tc>
      </w:tr>
      <w:tr>
        <w:tc>
          <w:tcPr/>
          <w:p>
            <w:pPr>
              <w:pStyle w:val="Compact"/>
              <w:jc w:val="left"/>
            </w:pPr>
            <w:r>
              <w:t xml:space="preserve">D</w:t>
            </w:r>
          </w:p>
        </w:tc>
        <w:tc>
          <w:tcPr/>
          <w:p>
            <w:pPr>
              <w:pStyle w:val="Compact"/>
              <w:jc w:val="left"/>
            </w:pPr>
            <w:r>
              <w:t xml:space="preserve">Below 0.6x</w:t>
            </w:r>
          </w:p>
        </w:tc>
      </w:tr>
    </w:tbl>
    <w:p>
      <w:pPr>
        <w:pStyle w:val="BodyText"/>
      </w:pPr>
      <w:r>
        <w:t xml:space="preserve">Grades feed the Content Mix Tracker and inform which pillar/format/persona combinations get more or less weight in the following month’s plan.</w:t>
      </w:r>
    </w:p>
    <w:bookmarkEnd w:id="46"/>
    <w:bookmarkStart w:id="47" w:name="workflow-governance-raci"/>
    <w:p>
      <w:pPr>
        <w:pStyle w:val="Heading1"/>
      </w:pPr>
      <w:r>
        <w:t xml:space="preserve">22. Workflow &amp; governance (RACI)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Responsible</w:t>
            </w:r>
          </w:p>
        </w:tc>
        <w:tc>
          <w:tcPr/>
          <w:p>
            <w:pPr>
              <w:pStyle w:val="Compact"/>
              <w:jc w:val="left"/>
            </w:pPr>
            <w:r>
              <w:t xml:space="preserve">Accountable</w:t>
            </w:r>
          </w:p>
        </w:tc>
        <w:tc>
          <w:tcPr/>
          <w:p>
            <w:pPr>
              <w:pStyle w:val="Compact"/>
              <w:jc w:val="left"/>
            </w:pPr>
            <w:r>
              <w:t xml:space="preserve">Consulted</w:t>
            </w:r>
          </w:p>
        </w:tc>
        <w:tc>
          <w:tcPr/>
          <w:p>
            <w:pPr>
              <w:pStyle w:val="Compact"/>
              <w:jc w:val="left"/>
            </w:pPr>
            <w:r>
              <w:t xml:space="preserve">Informed</w:t>
            </w:r>
          </w:p>
        </w:tc>
      </w:tr>
      <w:tr>
        <w:tc>
          <w:tcPr/>
          <w:p>
            <w:pPr>
              <w:pStyle w:val="Compact"/>
              <w:jc w:val="left"/>
            </w:pPr>
            <w:r>
              <w:t xml:space="preserve">Brief</w:t>
            </w:r>
          </w:p>
        </w:tc>
        <w:tc>
          <w:tcPr/>
          <w:p>
            <w:pPr>
              <w:pStyle w:val="Compact"/>
              <w:jc w:val="left"/>
            </w:pPr>
            <w:r>
              <w:t xml:space="preserve">Content Writer</w:t>
            </w:r>
          </w:p>
        </w:tc>
        <w:tc>
          <w:tcPr/>
          <w:p>
            <w:pPr>
              <w:pStyle w:val="Compact"/>
              <w:jc w:val="left"/>
            </w:pPr>
            <w:r>
              <w:t xml:space="preserve">Marketing Lead</w:t>
            </w:r>
          </w:p>
        </w:tc>
        <w:tc>
          <w:tcPr/>
          <w:p>
            <w:pPr>
              <w:pStyle w:val="Compact"/>
              <w:jc w:val="left"/>
            </w:pPr>
            <w:r>
              <w:t xml:space="preserve">Founder/Sales Lead (feature accuracy)</w:t>
            </w:r>
          </w:p>
        </w:tc>
        <w:tc>
          <w:tcPr/>
          <w:p>
            <w:pPr>
              <w:pStyle w:val="Compact"/>
              <w:jc w:val="left"/>
            </w:pPr>
            <w:r>
              <w:t xml:space="preserve">Full team</w:t>
            </w:r>
          </w:p>
        </w:tc>
      </w:tr>
      <w:tr>
        <w:tc>
          <w:tcPr/>
          <w:p>
            <w:pPr>
              <w:pStyle w:val="Compact"/>
              <w:jc w:val="left"/>
            </w:pPr>
            <w:r>
              <w:t xml:space="preserve">Create</w:t>
            </w:r>
          </w:p>
        </w:tc>
        <w:tc>
          <w:tcPr/>
          <w:p>
            <w:pPr>
              <w:pStyle w:val="Compact"/>
              <w:jc w:val="left"/>
            </w:pPr>
            <w:r>
              <w:t xml:space="preserve">Content Writer</w:t>
            </w:r>
          </w:p>
        </w:tc>
        <w:tc>
          <w:tcPr/>
          <w:p>
            <w:pPr>
              <w:pStyle w:val="Compact"/>
              <w:jc w:val="left"/>
            </w:pPr>
            <w:r>
              <w:t xml:space="preserve">Marketing Lead</w:t>
            </w:r>
          </w:p>
        </w:tc>
        <w:tc>
          <w:tcPr/>
          <w:p>
            <w:pPr>
              <w:pStyle w:val="Compact"/>
              <w:jc w:val="left"/>
            </w:pPr>
            <w:r>
              <w:t xml:space="preserve">Brand/Design</w:t>
            </w:r>
          </w:p>
        </w:tc>
        <w:tc>
          <w:tcPr/>
          <w:p>
            <w:pPr>
              <w:pStyle w:val="Compact"/>
              <w:jc w:val="left"/>
            </w:pPr>
            <w:r>
              <w:t xml:space="preserve">—</w:t>
            </w:r>
          </w:p>
        </w:tc>
      </w:tr>
      <w:tr>
        <w:tc>
          <w:tcPr/>
          <w:p>
            <w:pPr>
              <w:pStyle w:val="Compact"/>
              <w:jc w:val="left"/>
            </w:pPr>
            <w:r>
              <w:t xml:space="preserve">Review</w:t>
            </w:r>
          </w:p>
        </w:tc>
        <w:tc>
          <w:tcPr/>
          <w:p>
            <w:pPr>
              <w:pStyle w:val="Compact"/>
              <w:jc w:val="left"/>
            </w:pPr>
            <w:r>
              <w:t xml:space="preserve">Marketing Lead</w:t>
            </w:r>
          </w:p>
        </w:tc>
        <w:tc>
          <w:tcPr/>
          <w:p>
            <w:pPr>
              <w:pStyle w:val="Compact"/>
              <w:jc w:val="left"/>
            </w:pPr>
            <w:r>
              <w:t xml:space="preserve">Marketing Lead</w:t>
            </w:r>
          </w:p>
        </w:tc>
        <w:tc>
          <w:tcPr/>
          <w:p>
            <w:pPr>
              <w:pStyle w:val="Compact"/>
              <w:jc w:val="left"/>
            </w:pPr>
            <w:r>
              <w:t xml:space="preserve">Compliance/Legal Reviewer, Founder/Sales Lead</w:t>
            </w:r>
          </w:p>
        </w:tc>
        <w:tc>
          <w:tcPr/>
          <w:p>
            <w:pPr>
              <w:pStyle w:val="Compact"/>
              <w:jc w:val="left"/>
            </w:pPr>
            <w:r>
              <w:t xml:space="preserve">—</w:t>
            </w:r>
          </w:p>
        </w:tc>
      </w:tr>
      <w:tr>
        <w:tc>
          <w:tcPr/>
          <w:p>
            <w:pPr>
              <w:pStyle w:val="Compact"/>
              <w:jc w:val="left"/>
            </w:pPr>
            <w:r>
              <w:t xml:space="preserve">Approve</w:t>
            </w:r>
          </w:p>
        </w:tc>
        <w:tc>
          <w:tcPr/>
          <w:p>
            <w:pPr>
              <w:pStyle w:val="Compact"/>
              <w:jc w:val="left"/>
            </w:pPr>
            <w:r>
              <w:t xml:space="preserve">Marketing Lead</w:t>
            </w:r>
          </w:p>
        </w:tc>
        <w:tc>
          <w:tcPr/>
          <w:p>
            <w:pPr>
              <w:pStyle w:val="Compact"/>
              <w:jc w:val="left"/>
            </w:pPr>
            <w:r>
              <w:t xml:space="preserve">Founder/Sales Lead</w:t>
            </w:r>
          </w:p>
        </w:tc>
        <w:tc>
          <w:tcPr/>
          <w:p>
            <w:pPr>
              <w:pStyle w:val="Compact"/>
              <w:jc w:val="left"/>
            </w:pPr>
            <w:r>
              <w:t xml:space="preserve">—</w:t>
            </w:r>
          </w:p>
        </w:tc>
        <w:tc>
          <w:tcPr/>
          <w:p>
            <w:pPr>
              <w:pStyle w:val="Compact"/>
              <w:jc w:val="left"/>
            </w:pPr>
            <w:r>
              <w:t xml:space="preserve">Content Writer</w:t>
            </w:r>
          </w:p>
        </w:tc>
      </w:tr>
      <w:tr>
        <w:tc>
          <w:tcPr/>
          <w:p>
            <w:pPr>
              <w:pStyle w:val="Compact"/>
              <w:jc w:val="left"/>
            </w:pPr>
            <w:r>
              <w:t xml:space="preserve">Publish</w:t>
            </w:r>
          </w:p>
        </w:tc>
        <w:tc>
          <w:tcPr/>
          <w:p>
            <w:pPr>
              <w:pStyle w:val="Compact"/>
              <w:jc w:val="left"/>
            </w:pPr>
            <w:r>
              <w:t xml:space="preserve">Content Writer</w:t>
            </w:r>
          </w:p>
        </w:tc>
        <w:tc>
          <w:tcPr/>
          <w:p>
            <w:pPr>
              <w:pStyle w:val="Compact"/>
              <w:jc w:val="left"/>
            </w:pPr>
            <w:r>
              <w:t xml:space="preserve">Marketing Lead</w:t>
            </w:r>
          </w:p>
        </w:tc>
        <w:tc>
          <w:tcPr/>
          <w:p>
            <w:pPr>
              <w:pStyle w:val="Compact"/>
              <w:jc w:val="left"/>
            </w:pPr>
            <w:r>
              <w:t xml:space="preserve">—</w:t>
            </w:r>
          </w:p>
        </w:tc>
        <w:tc>
          <w:tcPr/>
          <w:p>
            <w:pPr>
              <w:pStyle w:val="Compact"/>
              <w:jc w:val="left"/>
            </w:pPr>
            <w:r>
              <w:t xml:space="preserve">Full team</w:t>
            </w:r>
          </w:p>
        </w:tc>
      </w:tr>
      <w:tr>
        <w:tc>
          <w:tcPr/>
          <w:p>
            <w:pPr>
              <w:pStyle w:val="Compact"/>
              <w:jc w:val="left"/>
            </w:pPr>
            <w:r>
              <w:t xml:space="preserve">Measure</w:t>
            </w:r>
          </w:p>
        </w:tc>
        <w:tc>
          <w:tcPr/>
          <w:p>
            <w:pPr>
              <w:pStyle w:val="Compact"/>
              <w:jc w:val="left"/>
            </w:pPr>
            <w:r>
              <w:t xml:space="preserve">Analytics Owner</w:t>
            </w:r>
          </w:p>
        </w:tc>
        <w:tc>
          <w:tcPr/>
          <w:p>
            <w:pPr>
              <w:pStyle w:val="Compact"/>
              <w:jc w:val="left"/>
            </w:pPr>
            <w:r>
              <w:t xml:space="preserve">Marketing Lead</w:t>
            </w:r>
          </w:p>
        </w:tc>
        <w:tc>
          <w:tcPr/>
          <w:p>
            <w:pPr>
              <w:pStyle w:val="Compact"/>
              <w:jc w:val="left"/>
            </w:pPr>
            <w:r>
              <w:t xml:space="preserve">—</w:t>
            </w:r>
          </w:p>
        </w:tc>
        <w:tc>
          <w:tcPr/>
          <w:p>
            <w:pPr>
              <w:pStyle w:val="Compact"/>
              <w:jc w:val="left"/>
            </w:pPr>
            <w:r>
              <w:t xml:space="preserve">Full team</w:t>
            </w:r>
          </w:p>
        </w:tc>
      </w:tr>
    </w:tbl>
    <w:bookmarkEnd w:id="47"/>
    <w:bookmarkStart w:id="48" w:name="what-we-need-from-retailzpos"/>
    <w:p>
      <w:pPr>
        <w:pStyle w:val="Heading1"/>
      </w:pPr>
      <w:r>
        <w:t xml:space="preserve">23. What we need from RetailzPOS</w:t>
      </w:r>
    </w:p>
    <w:p>
      <w:pPr>
        <w:numPr>
          <w:ilvl w:val="0"/>
          <w:numId w:val="1003"/>
        </w:numPr>
        <w:pStyle w:val="Compact"/>
      </w:pPr>
      <w:r>
        <w:t xml:space="preserve">The confirmed per-vertical feature matrix — features only, no prices attached. Gates the What’s Included page and every</w:t>
      </w:r>
      <w:r>
        <w:t xml:space="preserve"> </w:t>
      </w:r>
      <w:r>
        <w:t xml:space="preserve">“</w:t>
      </w:r>
      <w:r>
        <w:t xml:space="preserve">what’s included</w:t>
      </w:r>
      <w:r>
        <w:t xml:space="preserve">”</w:t>
      </w:r>
      <w:r>
        <w:t xml:space="preserve"> </w:t>
      </w:r>
      <w:r>
        <w:t xml:space="preserve">claim.</w:t>
      </w:r>
    </w:p>
    <w:p>
      <w:pPr>
        <w:numPr>
          <w:ilvl w:val="0"/>
          <w:numId w:val="1003"/>
        </w:numPr>
        <w:pStyle w:val="Compact"/>
      </w:pPr>
      <w:r>
        <w:t xml:space="preserve">The approved answer to</w:t>
      </w:r>
      <w:r>
        <w:t xml:space="preserve"> </w:t>
      </w:r>
      <w:r>
        <w:t xml:space="preserve">“</w:t>
      </w:r>
      <w:r>
        <w:t xml:space="preserve">what does it cost?</w:t>
      </w:r>
      <w:r>
        <w:t xml:space="preserve">”</w:t>
      </w:r>
      <w:r>
        <w:t xml:space="preserve">, signed off by leadership and Sales, before Day 1 — someone will ask in a public comment in Week 1.</w:t>
      </w:r>
    </w:p>
    <w:p>
      <w:pPr>
        <w:numPr>
          <w:ilvl w:val="0"/>
          <w:numId w:val="1003"/>
        </w:numPr>
        <w:pStyle w:val="Compact"/>
      </w:pPr>
      <w:r>
        <w:t xml:space="preserve">Three to five reference customers cleared for marketing use, ideally covering liquor, convenience, smoke/vape, and at least one multi-location operator.</w:t>
      </w:r>
    </w:p>
    <w:p>
      <w:pPr>
        <w:numPr>
          <w:ilvl w:val="0"/>
          <w:numId w:val="1003"/>
        </w:numPr>
        <w:pStyle w:val="Compact"/>
      </w:pPr>
      <w:r>
        <w:t xml:space="preserve">A support response target we can publish and actually hold — turns</w:t>
      </w:r>
      <w:r>
        <w:t xml:space="preserve"> </w:t>
      </w:r>
      <w:r>
        <w:t xml:space="preserve">“</w:t>
      </w:r>
      <w:r>
        <w:t xml:space="preserve">a human answers</w:t>
      </w:r>
      <w:r>
        <w:t xml:space="preserve">”</w:t>
      </w:r>
      <w:r>
        <w:t xml:space="preserve"> </w:t>
      </w:r>
      <w:r>
        <w:t xml:space="preserve">from a claim into a commitment.</w:t>
      </w:r>
    </w:p>
    <w:p>
      <w:pPr>
        <w:numPr>
          <w:ilvl w:val="0"/>
          <w:numId w:val="1003"/>
        </w:numPr>
        <w:pStyle w:val="Compact"/>
      </w:pPr>
      <w:r>
        <w:t xml:space="preserve">The recorded product tour. With no pricing page, it carries the entire self-serve research load this quarter.</w:t>
      </w:r>
    </w:p>
    <w:p>
      <w:pPr>
        <w:numPr>
          <w:ilvl w:val="0"/>
          <w:numId w:val="1003"/>
        </w:numPr>
        <w:pStyle w:val="Compact"/>
      </w:pPr>
      <w:r>
        <w:t xml:space="preserve">Logo vectors, product screenshots, and screen recordings for explainer content.</w:t>
      </w:r>
    </w:p>
    <w:p>
      <w:pPr>
        <w:numPr>
          <w:ilvl w:val="0"/>
          <w:numId w:val="1003"/>
        </w:numPr>
        <w:pStyle w:val="Compact"/>
      </w:pPr>
      <w:r>
        <w:t xml:space="preserve">The monthly paid media figure, and who signs off on published content.</w:t>
      </w:r>
    </w:p>
    <w:p>
      <w:pPr>
        <w:numPr>
          <w:ilvl w:val="0"/>
          <w:numId w:val="1003"/>
        </w:numPr>
        <w:pStyle w:val="Compact"/>
      </w:pPr>
      <w:r>
        <w:t xml:space="preserve">Timeline and access plan for pulling anonymized, aggregate install-base data for the flagship benchmark report (Section 14, Week 12).</w:t>
      </w:r>
    </w:p>
    <w:p>
      <w:pPr>
        <w:numPr>
          <w:ilvl w:val="0"/>
          <w:numId w:val="1003"/>
        </w:numPr>
        <w:pStyle w:val="Compact"/>
      </w:pPr>
      <w:r>
        <w:t xml:space="preserve">Counsel-reviewed, state-by-state CBD marketing guidance — gates every CBD-vertical claim (Section 8’s</w:t>
      </w:r>
      <w:r>
        <w:t xml:space="preserve"> </w:t>
      </w:r>
      <w:r>
        <w:t xml:space="preserve">“</w:t>
      </w:r>
      <w:r>
        <w:t xml:space="preserve">do not market yet</w:t>
      </w:r>
      <w:r>
        <w:t xml:space="preserve">”</w:t>
      </w:r>
      <w:r>
        <w:t xml:space="preserve"> </w:t>
      </w:r>
      <w:r>
        <w:t xml:space="preserve">note).</w:t>
      </w:r>
    </w:p>
    <w:bookmarkEnd w:id="48"/>
    <w:bookmarkStart w:id="49" w:name="risks-and-mitigations"/>
    <w:p>
      <w:pPr>
        <w:pStyle w:val="Heading1"/>
      </w:pPr>
      <w:r>
        <w:t xml:space="preserve">24. Risks and mitigations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Alcohol/tobacco/CBD platform ad policy violation halts a paid campaign or flags the account</w:t>
            </w:r>
          </w:p>
        </w:tc>
        <w:tc>
          <w:tcPr/>
          <w:p>
            <w:pPr>
              <w:pStyle w:val="Compact"/>
              <w:jc w:val="left"/>
            </w:pPr>
            <w:r>
              <w:t xml:space="preserve">Check current platform policy before every paid spend, not after rejection; keep an internal policy reference sheet updated monthly</w:t>
            </w:r>
          </w:p>
        </w:tc>
      </w:tr>
      <w:tr>
        <w:tc>
          <w:tcPr/>
          <w:p>
            <w:pPr>
              <w:pStyle w:val="Compact"/>
              <w:jc w:val="left"/>
            </w:pPr>
            <w:r>
              <w:t xml:space="preserve">2</w:t>
            </w:r>
          </w:p>
        </w:tc>
        <w:tc>
          <w:tcPr/>
          <w:p>
            <w:pPr>
              <w:pStyle w:val="Compact"/>
              <w:jc w:val="left"/>
            </w:pPr>
            <w:r>
              <w:t xml:space="preserve">A compliance claim overstates actual product capability</w:t>
            </w:r>
          </w:p>
        </w:tc>
        <w:tc>
          <w:tcPr/>
          <w:p>
            <w:pPr>
              <w:pStyle w:val="Compact"/>
              <w:jc w:val="left"/>
            </w:pPr>
            <w:r>
              <w:t xml:space="preserve">Every compliance-related claim checked against Section 23’s confirmed feature matrix before publish</w:t>
            </w:r>
          </w:p>
        </w:tc>
      </w:tr>
      <w:tr>
        <w:tc>
          <w:tcPr/>
          <w:p>
            <w:pPr>
              <w:pStyle w:val="Compact"/>
              <w:jc w:val="left"/>
            </w:pPr>
            <w:r>
              <w:t xml:space="preserve">3</w:t>
            </w:r>
          </w:p>
        </w:tc>
        <w:tc>
          <w:tcPr/>
          <w:p>
            <w:pPr>
              <w:pStyle w:val="Compact"/>
              <w:jc w:val="left"/>
            </w:pPr>
            <w:r>
              <w:t xml:space="preserve">A competitor fills the</w:t>
            </w:r>
            <w:r>
              <w:t xml:space="preserve"> </w:t>
            </w:r>
            <w:r>
              <w:t xml:space="preserve">“</w:t>
            </w:r>
            <w:r>
              <w:t xml:space="preserve">confirm with vendor</w:t>
            </w:r>
            <w:r>
              <w:t xml:space="preserve">”</w:t>
            </w:r>
            <w:r>
              <w:t xml:space="preserve"> </w:t>
            </w:r>
            <w:r>
              <w:t xml:space="preserve">gaps in our own research before we can capitalize on them</w:t>
            </w:r>
          </w:p>
        </w:tc>
        <w:tc>
          <w:tcPr/>
          <w:p>
            <w:pPr>
              <w:pStyle w:val="Compact"/>
              <w:jc w:val="left"/>
            </w:pPr>
            <w:r>
              <w:t xml:space="preserve">Revisit the competitor teardown (Section 5) each month; update claims as competitor capability changes</w:t>
            </w:r>
          </w:p>
        </w:tc>
      </w:tr>
      <w:tr>
        <w:tc>
          <w:tcPr/>
          <w:p>
            <w:pPr>
              <w:pStyle w:val="Compact"/>
              <w:jc w:val="left"/>
            </w:pPr>
            <w:r>
              <w:t xml:space="preserve">4</w:t>
            </w:r>
          </w:p>
        </w:tc>
        <w:tc>
          <w:tcPr/>
          <w:p>
            <w:pPr>
              <w:pStyle w:val="Compact"/>
              <w:jc w:val="left"/>
            </w:pPr>
            <w:r>
              <w:t xml:space="preserve">Install-base data volume is too small for a statistically meaningful benchmark report</w:t>
            </w:r>
          </w:p>
        </w:tc>
        <w:tc>
          <w:tcPr/>
          <w:p>
            <w:pPr>
              <w:pStyle w:val="Compact"/>
              <w:jc w:val="left"/>
            </w:pPr>
            <w:r>
              <w:t xml:space="preserve">Confirm sample size with data owner before Week 8; fall back to a 3–5 headline-stat</w:t>
            </w:r>
            <w:r>
              <w:t xml:space="preserve"> </w:t>
            </w:r>
            <w:r>
              <w:t xml:space="preserve">“</w:t>
            </w:r>
            <w:r>
              <w:t xml:space="preserve">early look</w:t>
            </w:r>
            <w:r>
              <w:t xml:space="preserve">”</w:t>
            </w:r>
            <w:r>
              <w:t xml:space="preserve"> </w:t>
            </w:r>
            <w:r>
              <w:t xml:space="preserve">if full report isn’t supportable</w:t>
            </w:r>
          </w:p>
        </w:tc>
      </w:tr>
      <w:tr>
        <w:tc>
          <w:tcPr/>
          <w:p>
            <w:pPr>
              <w:pStyle w:val="Compact"/>
              <w:jc w:val="left"/>
            </w:pPr>
            <w:r>
              <w:t xml:space="preserve">5</w:t>
            </w:r>
          </w:p>
        </w:tc>
        <w:tc>
          <w:tcPr/>
          <w:p>
            <w:pPr>
              <w:pStyle w:val="Compact"/>
              <w:jc w:val="left"/>
            </w:pPr>
            <w:r>
              <w:t xml:space="preserve">CBD state-legality patchwork causes a platform ad rejection or a public compliance callout</w:t>
            </w:r>
          </w:p>
        </w:tc>
        <w:tc>
          <w:tcPr/>
          <w:p>
            <w:pPr>
              <w:pStyle w:val="Compact"/>
              <w:jc w:val="left"/>
            </w:pPr>
            <w:r>
              <w:t xml:space="preserve">Route every CBD claim through counsel-reviewed guidance (Section 23); never state blanket compliance</w:t>
            </w:r>
          </w:p>
        </w:tc>
      </w:tr>
      <w:tr>
        <w:tc>
          <w:tcPr/>
          <w:p>
            <w:pPr>
              <w:pStyle w:val="Compact"/>
              <w:jc w:val="left"/>
            </w:pPr>
            <w:r>
              <w:t xml:space="preserve">6</w:t>
            </w:r>
          </w:p>
        </w:tc>
        <w:tc>
          <w:tcPr/>
          <w:p>
            <w:pPr>
              <w:pStyle w:val="Compact"/>
              <w:jc w:val="left"/>
            </w:pPr>
            <w:r>
              <w:t xml:space="preserve">Multi-location messaging outpaces what the product can currently deliver identically across stores</w:t>
            </w:r>
          </w:p>
        </w:tc>
        <w:tc>
          <w:tcPr/>
          <w:p>
            <w:pPr>
              <w:pStyle w:val="Compact"/>
              <w:jc w:val="left"/>
            </w:pPr>
            <w:r>
              <w:t xml:space="preserve">Confirm current multi-location capability with product before any Priya-persona claim ships</w:t>
            </w:r>
          </w:p>
        </w:tc>
      </w:tr>
      <w:tr>
        <w:tc>
          <w:tcPr/>
          <w:p>
            <w:pPr>
              <w:pStyle w:val="Compact"/>
              <w:jc w:val="left"/>
            </w:pPr>
            <w:r>
              <w:t xml:space="preserve">7</w:t>
            </w:r>
          </w:p>
        </w:tc>
        <w:tc>
          <w:tcPr/>
          <w:p>
            <w:pPr>
              <w:pStyle w:val="Compact"/>
              <w:jc w:val="left"/>
            </w:pPr>
            <w:r>
              <w:t xml:space="preserve">A support SLA is published before it’s actually confirmed and staffable</w:t>
            </w:r>
          </w:p>
        </w:tc>
        <w:tc>
          <w:tcPr/>
          <w:p>
            <w:pPr>
              <w:pStyle w:val="Compact"/>
              <w:jc w:val="left"/>
            </w:pPr>
            <w:r>
              <w:t xml:space="preserve">No support-response-time claim ships without Section 23, item 4, signed off</w:t>
            </w:r>
          </w:p>
        </w:tc>
      </w:tr>
      <w:tr>
        <w:tc>
          <w:tcPr/>
          <w:p>
            <w:pPr>
              <w:pStyle w:val="Compact"/>
              <w:jc w:val="left"/>
            </w:pPr>
            <w:r>
              <w:t xml:space="preserve">8</w:t>
            </w:r>
          </w:p>
        </w:tc>
        <w:tc>
          <w:tcPr/>
          <w:p>
            <w:pPr>
              <w:pStyle w:val="Compact"/>
              <w:jc w:val="left"/>
            </w:pPr>
            <w:r>
              <w:t xml:space="preserve">Pricing leaks in a public comment reply from someone not briefed on the policy</w:t>
            </w:r>
          </w:p>
        </w:tc>
        <w:tc>
          <w:tcPr/>
          <w:p>
            <w:pPr>
              <w:pStyle w:val="Compact"/>
              <w:jc w:val="left"/>
            </w:pPr>
            <w:r>
              <w:t xml:space="preserve">Every account manager has the approved pricing-question answer (Section 23, item 2) before Day 1</w:t>
            </w:r>
          </w:p>
        </w:tc>
      </w:tr>
      <w:tr>
        <w:tc>
          <w:tcPr/>
          <w:p>
            <w:pPr>
              <w:pStyle w:val="Compact"/>
              <w:jc w:val="left"/>
            </w:pPr>
            <w:r>
              <w:t xml:space="preserve">9</w:t>
            </w:r>
          </w:p>
        </w:tc>
        <w:tc>
          <w:tcPr/>
          <w:p>
            <w:pPr>
              <w:pStyle w:val="Compact"/>
              <w:jc w:val="left"/>
            </w:pPr>
            <w:r>
              <w:t xml:space="preserve">Review-site profiles go unclaimed or unmonitored, ceding the AI-answer-engine and buyer-decision channel to competitors</w:t>
            </w:r>
          </w:p>
        </w:tc>
        <w:tc>
          <w:tcPr/>
          <w:p>
            <w:pPr>
              <w:pStyle w:val="Compact"/>
              <w:jc w:val="left"/>
            </w:pPr>
            <w:r>
              <w:t xml:space="preserve">Claim and fully build out all profiles in Week 1; weekly response cadence from Day 1 (Section 11)</w:t>
            </w:r>
          </w:p>
        </w:tc>
      </w:tr>
      <w:tr>
        <w:tc>
          <w:tcPr/>
          <w:p>
            <w:pPr>
              <w:pStyle w:val="Compact"/>
              <w:jc w:val="left"/>
            </w:pPr>
            <w:r>
              <w:t xml:space="preserve">10</w:t>
            </w:r>
          </w:p>
        </w:tc>
        <w:tc>
          <w:tcPr/>
          <w:p>
            <w:pPr>
              <w:pStyle w:val="Compact"/>
              <w:jc w:val="left"/>
            </w:pPr>
            <w:r>
              <w:t xml:space="preserve">Reference-customer story published without proper usage-rights clearance</w:t>
            </w:r>
          </w:p>
        </w:tc>
        <w:tc>
          <w:tcPr/>
          <w:p>
            <w:pPr>
              <w:pStyle w:val="Compact"/>
              <w:jc w:val="left"/>
            </w:pPr>
            <w:r>
              <w:t xml:space="preserve">No merchant story ships without signed usage rights (Section 19)</w:t>
            </w:r>
          </w:p>
        </w:tc>
      </w:tr>
      <w:tr>
        <w:tc>
          <w:tcPr/>
          <w:p>
            <w:pPr>
              <w:pStyle w:val="Compact"/>
              <w:jc w:val="left"/>
            </w:pPr>
            <w:r>
              <w:t xml:space="preserve">11</w:t>
            </w:r>
          </w:p>
        </w:tc>
        <w:tc>
          <w:tcPr/>
          <w:p>
            <w:pPr>
              <w:pStyle w:val="Compact"/>
              <w:jc w:val="left"/>
            </w:pPr>
            <w:r>
              <w:t xml:space="preserve">Content velocity outpaces compliance review capacity, creating a bottleneck or a skipped review</w:t>
            </w:r>
          </w:p>
        </w:tc>
        <w:tc>
          <w:tcPr/>
          <w:p>
            <w:pPr>
              <w:pStyle w:val="Compact"/>
              <w:jc w:val="left"/>
            </w:pPr>
            <w:r>
              <w:t xml:space="preserve">Build compliance review into the RACI stage gate (Section 22), not as an optional add-on step</w:t>
            </w:r>
          </w:p>
        </w:tc>
      </w:tr>
      <w:tr>
        <w:tc>
          <w:tcPr/>
          <w:p>
            <w:pPr>
              <w:pStyle w:val="Compact"/>
              <w:jc w:val="left"/>
            </w:pPr>
            <w:r>
              <w:t xml:space="preserve">12</w:t>
            </w:r>
          </w:p>
        </w:tc>
        <w:tc>
          <w:tcPr/>
          <w:p>
            <w:pPr>
              <w:pStyle w:val="Compact"/>
              <w:jc w:val="left"/>
            </w:pPr>
            <w:r>
              <w:t xml:space="preserve">Numeric KPI targets set before Month 1 baseline data exists, becoming wishes instead of goals</w:t>
            </w:r>
          </w:p>
        </w:tc>
        <w:tc>
          <w:tcPr/>
          <w:p>
            <w:pPr>
              <w:pStyle w:val="Compact"/>
              <w:jc w:val="left"/>
            </w:pPr>
            <w:r>
              <w:t xml:space="preserve">No numeric targets set before Week 5, consistent with the measurement philosophy in the companion Brief</w:t>
            </w:r>
          </w:p>
        </w:tc>
      </w:tr>
    </w:tbl>
    <w:bookmarkEnd w:id="49"/>
    <w:bookmarkStart w:id="50" w:name="companion-documents"/>
    <w:p>
      <w:pPr>
        <w:pStyle w:val="Heading1"/>
      </w:pPr>
      <w:r>
        <w:t xml:space="preserve">25. Companion documents</w:t>
      </w:r>
    </w:p>
    <w:p>
      <w:pPr>
        <w:pStyle w:val="FirstParagraph"/>
      </w:pPr>
      <w:r>
        <w:t xml:space="preserve">This plan is one of four: the 90-Day Marketing Brief (the one-page executive summary), the 90-Day Content Book (full written copy for every scheduled post), and the 90-Day Content Calendar &amp; Tracker workbook (schedule, production status, and performance tracking).</w:t>
      </w:r>
    </w:p>
    <w:bookmarkEnd w:id="50"/>
    <w:sectPr>
      <w:pgMar w:bottom="1152" w:left="1296" w:right="1296"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21F1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221F1A"/>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RetailzPOS — 90-Day Marketing Plan</dc:title>
  <dc:creator/>
  <cp:keywords/>
  <dcterms:created xsi:type="dcterms:W3CDTF">2026-08-03T20:28:45Z</dcterms:created>
  <dcterms:modified xsi:type="dcterms:W3CDTF">2026-08-03T20:28:45Z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Launch quarter · 3 August – 1 November 2026 · United States · v1.0</vt:lpwstr>
  </property>
  <property fmtid="{D5CDD505-2E9C-101B-9397-08002B2CF9AE}" pid="3" name="toc-title">
    <vt:lpwstr>Contents</vt:lpwstr>
  </property>
</Properties>
</file>