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0.10 | 21 September 2026</w:t>
      </w:r>
    </w:p>
    <w:p>
      <w:pPr>
        <w:pStyle w:val="CoverMeta"/>
        <w:widowControl/>
      </w:pPr>
      <w:r>
        <w:t>Living design | Storage authoring, orientation and canonical item pose promoted; fixed-ladder proof is the active gate</w:t>
      </w:r>
    </w:p>
    <w:p>
      <w:pPr>
        <w:pStyle w:val="CoverSummary"/>
        <w:widowControl/>
      </w:pPr>
      <w:r>
        <w:t>Consolidates the accepted whole-wing geometry and continuing gameplay composition with promoted review-scene supply reuse, reusable functional ModularRack authoring, Storage Unit Orientation &amp; Zoning Basis, Canonical Item Storage Pose &amp; Shelf-Front Alignment, and the completed human review of all 40 eligible ItemDefinitions. The single-rack fixed-ladder proof is the active gate; no ladder or Receiving implementation is promoted by this edition.</w:t>
      </w:r>
    </w:p>
    <w:p>
      <w:pPr>
        <w:pStyle w:val="CoverSummary"/>
        <w:widowControl/>
      </w:pPr>
      <w:r>
        <w:t>Companion documents: Prototype Findings v0.10; Visual Design and World Building Direction v0.7; Receiving and Elevator MVP Architecture Design (12 September 2026).</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v0.10 authority and evidence boundary</w:t>
      </w:r>
    </w:p>
    <w:p>
      <w:pPr>
        <w:widowControl/>
      </w:pPr>
      <w:r>
        <w:t>This GDD remains the overall design authority. Prototype Findings v0.10 records implementation and validation evidence; Visual Design and World Building Direction v0.7 supplies environmental and storage-installation direction. The accepted in-engine wing remains the working spatial baseline. The 12 September Receiving specification retains subsystem detail, while the fixed-ladder proof and human ladder decision precede physical Receiving. Explicit supersessions are recorded in Appendices C, D and E.</w:t>
      </w:r>
    </w:p>
    <w:p>
      <w:pPr>
        <w:widowControl/>
      </w:pPr>
      <w:r>
        <w:t>This update preserves established mechanics and historical checkpoints while bringing the current record through 21 September. It promotes the storage authoring foundations, unit-owned semantic Front, canonical item-facing and packing separation, and catalogue-wide pose/Footprint review. It does not promote ladder implementation, Receiving, gallery furnishing, camera or ceiling changes, crouch, four-way display rotation, or player-adjustable shelves.</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w:t>
            </w:r>
          </w:p>
        </w:tc>
        <w:tc>
          <w:tcPr>
            <w:tcW w:type="dxa" w:w="6869"/>
            <w:vAlign w:val="top"/>
            <w:shd w:fill="F6F8F9"/>
          </w:tcPr>
          <w:p>
            <w:pPr>
              <w:pStyle w:val="TableText"/>
              <w:keepNext w:val="0"/>
              <w:widowControl/>
            </w:pPr>
            <w:r>
              <w:rPr>
                <w:rFonts w:ascii="Lato" w:hAnsi="Lato"/>
                <w:b w:val="0"/>
                <w:color w:val="25323A"/>
                <w:sz w:val="18"/>
              </w:rPr>
              <w:t>Intentionally outside the first-release target unless later reassessed.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r>
        <w:tc>
          <w:tcPr>
            <w:tcW w:type="dxa" w:w="1728"/>
            <w:vAlign w:val="center"/>
          </w:tcPr>
          <w:p>
            <w:r>
              <w:t>Appendix E</w:t>
            </w:r>
          </w:p>
        </w:tc>
        <w:tc>
          <w:tcPr>
            <w:tcW w:type="dxa" w:w="8136"/>
            <w:vAlign w:val="center"/>
          </w:tcPr>
          <w:p>
            <w:r>
              <w:t>v0.10 Storage Authoring, Orientation and Item-Pose Closure</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pile,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now exist in a complete neutral greybox. Human review after round three and the Medical-only tuning promotes this as the working spatial baseline. The accepted builder, saved geometry and final overview govern subsequent dimensional work; they are not production-art or furnished-gameplay approval.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is committed upstream, prepared in an isolated hidden environment and frozen into ordinary WorldItems before reveal. The shutter controls visibility and interaction availability, while the permanent barrier controls player access. Section 11 defines the preparation, deposit, presentation and recovery contracts.</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an ordinary loot batch but at a dedicated safe marker rather than literally inside the pile.</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now the working dimensional authority, subordinate to later explicit decisions. Detailed Topology V3 and Basic Structural Schematic V2 remain unchanged historical intent references; do not revert approved in-engine refinements to match their pixels. Visual Direction v0.5 recorded the service spaces, Kitchen-from-B routing, Medical alignment and abandoned-stub deferral at that checkpoint; Visual Direction v0.7 is the current visual authority. [V05,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r>
        <w:t>Future save/load must persist each committed item's placed orientation state. Loading must restore that state and must not recompute item orientation from the storage unit's current Front. Any later four-way display rotation must also be saved explicitly.</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center"/>
          </w:tcPr>
          <w:p>
            <w:r>
              <w:t>Storage Footprint</w:t>
            </w:r>
          </w:p>
        </w:tc>
        <w:tc>
          <w:tcPr>
            <w:tcW w:type="dxa" w:w="6869"/>
            <w:vAlign w:val="center"/>
          </w:tcPr>
          <w:p>
            <w:r>
              <w:t>Item-authored canonical width/depth occupancy for the approved +Z-front pose. The physical reservation follows storage-unit orientation plus the separate packing turn. It remains separate from Bulk and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r>
        <w:trPr>
          <w:cantSplit/>
        </w:trPr>
        <w:tc>
          <w:tcPr>
            <w:tcW w:type="dxa" w:w="2995"/>
            <w:vAlign w:val="center"/>
            <w:shd w:fill="F6F8F9"/>
          </w:tcPr>
          <w:p>
            <w:r>
              <w:t>Canonical Storage Pose</w:t>
            </w:r>
          </w:p>
        </w:tc>
        <w:tc>
          <w:tcPr>
            <w:tcW w:type="dxa" w:w="6869"/>
            <w:vAlign w:val="center"/>
            <w:shd w:fill="F6F8F9"/>
          </w:tcPr>
          <w:p>
            <w:r>
              <w:t>Full pitch/yaw/roll correction stored on ItemDefinition. In the canonical stance the intended item Front faces +Z; runtime aligns that pose to unit Front before applying optional 90-degree packing.</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p>
      <w:pPr/>
      <w:r>
        <w:t>Every storage unit owns one semantic Front/Right/Back/Left state shared by all of its surfaces. State 0 is Front +Z, Back -Z, Right +X and Left -X; states 1-3 quarter-turn that basis. The physical grid remains authoritative and unrotated. New canonical placements align item Front to unit Front, while packing_rotated adds one separate +90-degree turn.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Frozen generated pile; items may be cherry-picked if visible. The player cannot add objects.</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final physical Footprint of the item directly below it after unit orientation and the optional packing turn are combined. Stack dimensions therefore do not widen upward unless automatic base promotion first installs a larger compatible new base.</w:t>
      </w:r>
    </w:p>
    <w:p>
      <w:pPr>
        <w:pStyle w:val="ListBullet"/>
        <w:widowControl/>
      </w:pPr>
      <w:r>
        <w:t>Automatic placement is stack-first within each valid zone tier. It tries canonical/front-facing placement first and the packing alternative second. It may smart-insert a compatible item at the highest valid position and may automatically promote a larger compatible incoming item to the base if the expanded reservation remains valid. Existing members keep their relative order and their committed placed orientation.</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pPr>
      <w:r>
        <w:t>Reusable ModularRack is a shelf-empty authoring scaffold. The developer adds, duplicates, moves or deletes parent-scene-local shelf wrappers under its editable Levels container; one root controller derives dimensions, insets, collision, preview and runtime surfaces. The current three-level starter is a review reference, not a universal storage standard.</w:t>
      </w:r>
    </w:p>
    <w:p>
      <w:pPr>
        <w:pStyle w:val="ListBullet"/>
      </w:pPr>
      <w:r>
        <w:t>The developer owns physical installation authoring: model, placement, dimensions, level count/distribution, unit Front and ladder availability/placement. The player owns zones, labels and day-to-day organization. No player-facing free-build follows from the authoring workflow.</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pStyle w:val="ListBullet"/>
      </w:pPr>
      <w:r>
        <w:t>The zoning editor always presents a surface from its authored unit Front: Back is at the top, Front at the bottom, and the semantic aspect rotates with the unit state. Player viewpoint does not alter the view.</w:t>
      </w:r>
    </w:p>
    <w:p>
      <w:pPr>
        <w:pStyle w:val="ListBullet"/>
      </w:pPr>
      <w:r>
        <w:t>Semantic paint maps to the existing physical cell array. F6 and the physical grid remain diagnostics of physical truth. Changing orientation metadata reinterprets existing zone cells; it does not migrate, rotate or reorder them.</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pPr>
      <w:r>
        <w:t>Default new storage placement should present an item's human-authored canonical Front toward the storage unit's Front. A 90-degree packing choice may intentionally turn that presentation sideways.</w:t>
      </w:r>
    </w:p>
    <w:p>
      <w:pPr>
        <w:pStyle w:val="ListBullet"/>
      </w:pPr>
      <w:r>
        <w:t>A committed item's orientation is stable. Later changes to shelf Front affect new placements only; they do not rotate stored items already in place.</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preferred elevator pile allows visual cherry-picking, but a more structured pile is acceptable if technical cost threatens reliability.</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Intentionally ladder-served installations may exceed that limit only after a bounded fixed-ladder proof. General climbing, jumping, movable or sliding ladders, fall systems, visible-hand animation and player-adjustable shelf levels are not approved. Crouch remains separate deferred work, not a repair for poorly composed shelving. Final furniture depth, openings, level count and usable-area insets are tested with actual catalogue items and installation geometry rather than treated as universal percentages.</w:t>
      </w:r>
    </w:p>
    <w:p>
      <w:pPr/>
      <w:r>
        <w:t>Functional storage authoring may reuse one furniture grammar across installations, but each instance retains its own dimensions, edge insets, level distribution and semantic Front. Mesh appearance must not be used to infer Front, and no per-item shelf-family rotation hack may compensate for installation authoring.</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frozen loot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the bay is TAKE-only and is not a StorageSurface.</w:t>
      </w:r>
    </w:p>
    <w:p>
      <w:pPr>
        <w:widowControl/>
      </w:pPr>
      <w:r>
        <w:t>The platform and bay walls are static. A signal, transit delay, cable/motor/impact cues, lock release and shutter animation imply movement. The active batch is reconstructed behind the closed shutter, with pickup disabled until OPEN. No visible rigid-body settling or pop-in is part of delivery.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pile.</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Warning lights and arrival audio sequence.</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available behind the closed shutter; pickup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and short delay, pickup disabled and shutter closes.</w:t>
            </w:r>
          </w:p>
        </w:tc>
      </w:tr>
    </w:tbl>
    <w:p>
      <w:pPr>
        <w:spacing w:after="60" w:before="0" w:line="40" w:lineRule="exact"/>
      </w:pPr>
      <w:r>
        <w:rPr>
          <w:sz w:val="4"/>
        </w:rPr>
      </w:r>
    </w:p>
    <w:p>
      <w:pPr>
        <w:widowControl/>
      </w:pPr>
      <w:r>
        <w:t>Only after full shutter closure does Receiving retire the drained active batch and promote the FIFO head. Each next batch receives its own arrival/reveal sequence. ReceivingManager owns occupancy and promotion; FreightBayPresenter owns cues, shutter state and materialization. Neither owns upstream loot policy. [R12 §§8-10, 17-18]</w:t>
      </w:r>
    </w:p>
    <w:p>
      <w:pPr>
        <w:pStyle w:val="Heading2"/>
        <w:widowControl/>
      </w:pPr>
      <w:r>
        <w:t>11.2 Committed content, identity and preparation</w:t>
      </w:r>
    </w:p>
    <w:p>
      <w:pPr>
        <w:widowControl/>
      </w:pPr>
      <w:r>
        <w:t>LootBatch owns content and accepted arrangement, not queue position. CONTENT_COMMITTED fixes batch ID, one entry per item, durable item IDs, definition IDs, Bulk totals and content/presentation seeds. An accepted arrangement atomically records presentation-local frozen transforms plus profile ID/revision and advances to PREPARED. Transient ARRANGING work is disposable.</w:t>
      </w:r>
    </w:p>
    <w:p>
      <w:pPr>
        <w:widowControl/>
      </w:pPr>
      <w:r>
        <w:t>Repeating content seed, pool revision/configuration and Bulk budget reproduces ordered definitions and content, not a globally reusable batch identity. A newly committed batch gets unique batch/item IDs; reconstructing an existing commitment preserves its IDs. Representation changes and retries never mint replacement identities.</w:t>
      </w:r>
    </w:p>
    <w:p>
      <w:pPr>
        <w:widowControl/>
      </w:pPr>
      <w:r>
        <w:t>ItemDefinition remains gameplay truth; the authoring manifest is evidence truth. The prototype generator uses an explicit 40-ID approved Receiving pool rather than runtime manifest inspection. Fuel (loot_000015) is reconciled and remains in that pool; Gloves and Pants remain excluded. Prototype Bulk sampling is a test producer, not final expedition reward balance. [R12 §§4-7; D12A, D13B]</w:t>
      </w:r>
    </w:p>
    <w:p>
      <w:pPr>
        <w:pStyle w:val="Heading2"/>
        <w:widowControl/>
      </w:pPr>
      <w:r>
        <w:t>11.3 Preferred hidden-settle route</w:t>
      </w:r>
    </w:p>
    <w:p>
      <w:pPr>
        <w:pStyle w:val="Callout"/>
        <w:keepLines/>
        <w:shd w:fill="F0F4F5"/>
        <w:ind w:left="140" w:right="140"/>
      </w:pPr>
      <w:r>
        <w:rPr>
          <w:b/>
          <w:color w:val="96712D"/>
        </w:rPr>
        <w:t xml:space="preserve">CONFIRMED APPROACH / VALIDATE RESULT  </w:t>
      </w:r>
      <w:r>
        <w:t>Use seeded initial scatter, temporary simplified rigid bodies in an isolated staging environment, stability detection, bounded retries, and a conservative deterministic fallback. This implementation direction is approved; physical pile quality and performance are not yet validated.</w:t>
      </w:r>
    </w:p>
    <w:p>
      <w:pPr>
        <w:widowControl/>
      </w:pPr>
      <w:r>
        <w:t>Preparation is separate from the live freight-bay scene so it may run while another batch is visible. Async means work may be spread across time/frames before delivery; multithreaded physics is not required. Accepted transforms, not the physics trajectory, are authority.</w:t>
      </w:r>
    </w:p>
    <w:p>
      <w:pPr>
        <w:widowControl/>
      </w:pPr>
      <w:r>
        <w:t>Freeze means replacing proxies with ordinary deterministic WorldItems. Destroy every temporary physics body; no sleeping/dormant body, velocity or live contact remains. Preserve accepted local position and orientation rather than snapping the pile into shelf poses. Taking an item leaves every other frozen pile member in place; there is no re-settle or pile compression. [R12 §§11-16]</w:t>
      </w:r>
    </w:p>
    <w:p>
      <w:pPr>
        <w:pStyle w:val="Heading2"/>
        <w:widowControl/>
      </w:pPr>
      <w:r>
        <w:t>11.4 Pile acceptance, targeting and fallback</w:t>
      </w:r>
    </w:p>
    <w:p>
      <w:pPr>
        <w:pStyle w:val="ListBullet"/>
        <w:widowControl/>
      </w:pPr>
      <w:r>
        <w:t>Validate containment, tolerable penetration/support, finite valid transforms and exactly one result per committed remaining entry.</w:t>
      </w:r>
    </w:p>
    <w:p>
      <w:pPr>
        <w:pStyle w:val="ListBullet"/>
        <w:widowControl/>
      </w:pPr>
      <w:r>
        <w:t>Allow disorder and temporary layered occlusion, but require every entry to become visible/targetable through successive normal TAKE operations from reachable apron-side viewpoints.</w:t>
      </w:r>
    </w:p>
    <w:p>
      <w:pPr>
        <w:pStyle w:val="ListBullet"/>
        <w:widowControl/>
      </w:pPr>
      <w:r>
        <w:t>Start with conservative iterative targeting simulation: find targetable entries, virtually remove them, repeat; reject if entries remain with no progress. Do not build a general accessibility solver without failure evidence.</w:t>
      </w:r>
    </w:p>
    <w:p>
      <w:pPr>
        <w:pStyle w:val="ListBullet"/>
        <w:widowControl/>
      </w:pPr>
      <w:r>
        <w:t>Use the existing WorldItem targeting grammar. A bay/profile-specific reach is permitted; it must not extend storage reach globally or allow interaction through closed/revealing shutters.</w:t>
      </w:r>
    </w:p>
    <w:p>
      <w:pPr>
        <w:pStyle w:val="ListBullet"/>
        <w:widowControl/>
      </w:pPr>
      <w:r>
        <w:t>Fallback preserves all content and identities and must meet the same containment/drainability guarantees. A failed fallback is a reported development error, not permission to omit or reroll items.</w:t>
      </w:r>
    </w:p>
    <w:p>
      <w:pPr>
        <w:widowControl/>
      </w:pPr>
      <w:r>
        <w:t>Record seeds, Bulk/item count, attempts, preparation duration, rejection reasons, fallback use, drain iterations and profile revision. Review aggregate fallback rate, mean attempts and p95 preparation time; no arbitrary acceptance-rate target is locked yet. Separate backend cost from player-visible delivery delay. [R12 §§14-20]</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its arrival/reveal/closing lifecycle; at most one pile is visible.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arrangement commit, recovery preserves CONTENT_COMMITTED and discards incomplete settling. After commit, reconstruct exactly from saved local transforms and remaining-entry ownership. Profile mismatch fails closed pending an explicit migration or allowed unrevealed re-preparation; never reinterpret transforms against incompatible geometry or reroll a revealed pile.</w:t>
      </w:r>
    </w:p>
    <w:p>
      <w:pPr>
        <w:widowControl/>
      </w:pPr>
      <w:r>
        <w:t>TAKE transfers the exact existing ItemInstance into the carried bundle and releases its active batch entry as one ownership transaction. Failure leaves or restores prior ownership; duplicate/stale interaction cannot duplicate or lose an item. The last release notifies presentation to close. These are subsystem contracts, not evidence that full durable save/journal integration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Phased delivery boundary</w:t>
      </w:r>
    </w:p>
    <w:p>
      <w:pPr>
        <w:widowControl/>
      </w:pPr>
      <w:r>
        <w:t>Stage A proves data/identity/lifecycle contracts. Stage B validates one physically presented batch using manually/debug-triggered, reproducible deliveries. Stage C enables the full three-slot deposited flow and synthetic arrival-pressure tests. Neither Stage B nor C requires expedition simulation. The updated roadmap and actual milestone status appear in Section 20.</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settling, lock, and door sounds create anticipation and reveal weight.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Visual Design &amp; World-Building Direction v0.5 governs environment production and the current service-space/topology interpretation. Use low-complexity realism, readable silhouettes and layered materials rather than literal photorealistic concept-image detail.</w:t>
      </w:r>
    </w:p>
    <w:p>
      <w:pPr>
        <w:pStyle w:val="ListBullet"/>
        <w:widowControl/>
      </w:pPr>
      <w:r>
        <w:t>The shell is concrete/cement/masonry dominant, with localized old tile/paint and repairs. Metal principally belongs to equipment, shutters, barriers, pipes, gratings and other services.</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wear, localized moisture, sparse legacy signage, quiet surfaces and restrained dry humor. Serious abandonment is confined to peripheral dead spaces; occupied areas remain dependable.</w:t>
      </w:r>
    </w:p>
    <w:p>
      <w:pPr>
        <w:widowControl/>
      </w:pPr>
      <w:r>
        <w:t>Structural Shell and Applied Finish remain separate human production-art gates before services, furniture or atmosphere carry a finished composition. Neutral spatial proxies and a later bounded functional Receiving test are not production-art promotion and need not await finished materials. [D16P]</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arrangement are committed separately; temporary isolated preparation proxies are destroyed before frozen WorldItems are presented. No live or dormant rigid-body loot survives in the playable bay.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r>
        <w:t>The retained canonical workbench is res://gameplay/dev/item_storage_pose/item_storage_pose_authoring.tscn. It edits actual ItemDefinition pose metadata, exposes authored and suggested canonical Footprints plus warning and packing-preview states, and writes a suggestion only through an explicit action that preserves Footprint z and pose. All 40 eligible definitions have been human-reviewed: 21 default and 19 custom pose approvals; 27 geometry and 13 deliberate override Footprint approvals. Gloves and Pants remain blocked.</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r>
        <w:t>Placed-item records must preserve the orientation chosen at commit time. Load reconstruction must restore each placed item's saved orientation and never derive it again from the current shelf Front. Optional future 0/90/180/270 display rotation expands the saved placement state rather than the ItemDefinition's canonical pose.</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Simple structural walls, slabs, ceilings, beams, pillars, trims and openings may use selected coherent meshes, Godot primitives for validation, or a repeatable Blender-generated modular kit.</w:t>
      </w:r>
    </w:p>
    <w:p>
      <w:pPr>
        <w:pStyle w:val="ListBullet"/>
        <w:widowControl/>
      </w:pPr>
      <w:r>
        <w:t>Ready PBR maps provide a potential common material layer for generated geometry. The inspected KitBash sample includes Base Color, Roughness, Metallic and Normal PNGs plus Height EXRs, USD material definitions and Substance sources/dependencies. Those files make the route plausible; a finished Blender -&gt; GLB -&gt; Godot structural-material workflow has not yet been validated.</w:t>
      </w:r>
    </w:p>
    <w:p>
      <w:pPr>
        <w:pStyle w:val="ListBullet"/>
        <w:widowControl/>
      </w:pPr>
      <w:r>
        <w:t>Check map conventions, texture scale, UV repetition and final Godot appearance in a focused pipeline proof. Optional height/displacement and arbitrary Blender/Substance shader graphs are not assumed to transfer automatically. Substance processing is not required for the proposed ready-map route.</w:t>
      </w:r>
    </w:p>
    <w:p>
      <w:pPr>
        <w:pStyle w:val="ListBullet"/>
        <w:widowControl/>
      </w:pPr>
      <w:r>
        <w:t>The collection of prefab architecture may be insufficient for the diversity of coherent concrete/paint/tile/repair finishes required by the visual direction. Inspect it against the Foundation Gate; do not force mismatched modules, buy more content blindly, or commit to a generation pipeline before the small proof.</w:t>
      </w:r>
    </w:p>
    <w:p>
      <w:pPr>
        <w:pStyle w:val="Heading2"/>
        <w:widowControl/>
      </w:pPr>
      <w:r>
        <w:t>18.7 Foundation Gate and evidence-driven production</w:t>
      </w:r>
    </w:p>
    <w:p>
      <w:pPr>
        <w:widowControl/>
      </w:pPr>
      <w:r>
        <w:t>The early ugly-room gate has established the representative no-drop storage/content premise. The September Receiving shell showed why technical fit is insufficient for environment approval. Each major space now passes two independent human reviews before later visual layers: [D13B, V03 §10]</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Applied Finish</w:t>
            </w:r>
          </w:p>
        </w:tc>
        <w:tc>
          <w:tcPr>
            <w:tcW w:type="dxa" w:w="4896"/>
            <w:vAlign w:val="top"/>
            <w:shd w:fill="F6F8F9"/>
          </w:tcPr>
          <w:p>
            <w:pPr>
              <w:pStyle w:val="TableText"/>
              <w:keepNext w:val="0"/>
              <w:widowControl/>
            </w:pPr>
            <w:r>
              <w:rPr>
                <w:rFonts w:ascii="Lato" w:hAnsi="Lato"/>
                <w:b w:val="0"/>
                <w:color w:val="25323A"/>
                <w:sz w:val="18"/>
              </w:rPr>
              <w:t>Coherent material families, scale/repetition, appropriate roughness, localized paint/tile/repair and maintained wear under reasonably neutral review light.</w:t>
            </w:r>
          </w:p>
        </w:tc>
        <w:tc>
          <w:tcPr>
            <w:tcW w:type="dxa" w:w="2880"/>
            <w:vAlign w:val="top"/>
            <w:shd w:fill="F6F8F9"/>
          </w:tcPr>
          <w:p>
            <w:pPr>
              <w:pStyle w:val="TableText"/>
              <w:keepNext w:val="0"/>
              <w:widowControl/>
            </w:pPr>
            <w:r>
              <w:rPr>
                <w:rFonts w:ascii="Lato" w:hAnsi="Lato"/>
                <w:b w:val="0"/>
                <w:color w:val="25323A"/>
                <w:sz w:val="18"/>
              </w:rPr>
              <w:t>Warm lighting used to hide gloss, pristine surfaces or mismatched textures.</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infrastructure and functional lighting; occupation/furniture;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Stage-B Receiving shell remains visually rejected and preserved separately; it predates the mature visual brief. The full-wing greybox has since converged through three correction rounds and a Medical-only tuning pass, followed by explicit human acceptance. Preserve the approved spatial arrangement and the original test-room fixture. This promotion does not approve production Structural Shell/Applied Finish, furnishings or physical Receiving. [W17, H17, A17]</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representative storage/content gate does not establish a functional Receiving source or broader Systems MVP. The accepted wing now supplies the continuing gameplay composition, functional storage surfaces, saved editor-authored palette and default project entry. Review-scene supply reuse, reusable functional ModularRack authoring, Storage Unit Orientation &amp; Zoning Basis, and Canonical Item Storage Pose &amp; Shelf-Front Alignment are promoted foundations. All 40 eligible ItemDefinitions have completed human pose/Footprint review; Gloves and Pants remain blocked. The active sequence is the single-rack fixed-ladder proof, human ladder decision, then Receiving unless a concrete storage blocker appears. Full requests, saves/journals and economy remain later work.</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Promoted storage/content + promoted whole-wing spatial baseline + continuing gameplay/default entry + review-scene supply reuse + reusable functional ModularRack authoring + Storage Unit Orientation &amp; Zoning Basis + Canonical Item Storage Pose &amp; Shelf-Front Alignment -&gt; single-rack fixed-ladder proof -&gt; human ladder decision -&gt; functional Receiving unless a concrete storage blocker appears -&gt; first real timed request/system slice -&gt; expedition-produced batches -&gt; broader Systems MVP.</w:t>
      </w:r>
    </w:p>
    <w:p>
      <w:pPr/>
      <w:r>
        <w:t>Greybox geometry, the continuing wing, default project entry, editor-authored eligible palette and Fuel maintenance are accepted. Repository and documentation close-out is complete and synchronized. Preserve history and ignored asset/import state; later bounded gates must not delete local evidence or silently waive known diagnostics. [A17, D17B]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reviewed, merged and technically verified. No physical-pile or full-save claim.</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Representative bay geometry, barrier/shutter boundary, isolated settle/validation/fallback, WorldItem materialization, contextual TAKE, reproducible deliveries and human pile tests. Production-art gates remain separate.</w:t>
            </w:r>
          </w:p>
        </w:tc>
        <w:tc>
          <w:tcPr>
            <w:tcW w:type="dxa" w:w="2664"/>
            <w:vAlign w:val="top"/>
            <w:shd w:fill="F6F8F9"/>
          </w:tcPr>
          <w:p>
            <w:r>
              <w:rPr>
                <w:sz w:val="18"/>
              </w:rPr>
              <w:t>Physical piles remain unvalidated. Whole-wing spatial geometry, continuing gameplay integration and default entry are PROMOTED after human review. Review-scene supply reuse, reusable rack authoring and the bounded fixed-ladder decision precede physical Receiving. Art approval remains separate. [A17, D17B]</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Enable three deposited slots, FIFO advancement after closure, rejected fourth deposit and repeated synthetic delivery/throughput tests.</w:t>
            </w:r>
          </w:p>
        </w:tc>
        <w:tc>
          <w:tcPr>
            <w:tcW w:type="dxa" w:w="2664"/>
            <w:vAlign w:val="top"/>
          </w:tcPr>
          <w:p>
            <w:pPr>
              <w:pStyle w:val="TableText"/>
              <w:keepNext w:val="0"/>
              <w:widowControl/>
            </w:pPr>
            <w:r>
              <w:rPr>
                <w:rFonts w:ascii="Lato" w:hAnsi="Lato"/>
                <w:b w:val="0"/>
                <w:color w:val="25323A"/>
                <w:sz w:val="18"/>
              </w:rPr>
              <w:t>Not started. Requires Stage B human promotion.</w:t>
            </w:r>
          </w:p>
        </w:tc>
      </w:tr>
    </w:tbl>
    <w:p>
      <w:pPr>
        <w:spacing w:after="60" w:before="0" w:line="40" w:lineRule="exact"/>
      </w:pPr>
      <w:r>
        <w:rPr>
          <w:sz w:val="4"/>
        </w:rPr>
      </w:r>
    </w:p>
    <w:p>
      <w:pPr>
        <w:widowControl/>
      </w:pPr>
      <w:r>
        <w:t>Seeded storage integration, the continuing gameplay composition, default launch, review-scene supply reuse, reusable functional ModularRack authoring, unit orientation/zoning and canonical item pose are complete and promoted. The next bounded gate is the single-rack fixed-ladder proof, followed by the human ladder decision and then Receiving unless a concrete storage blocker appears. Preserve the old main test scene as an explicit legacy mechanics fixture and keep the neutral and shelf-ergonomics review scenes available.</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wing's broad handling and editor-authorship review, including the saved item arrangement, carrying and storage behavior, and the three focused F6 checks. That acceptance establishes the completed integration bridge; it does not validate requests, live Receiving piles or full-game saves.</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shd w:fill="F6F8F9"/>
          </w:tcPr>
          <w:p>
            <w:pPr>
              <w:pStyle w:val="TableText"/>
              <w:keepNext w:val="0"/>
              <w:widowControl/>
            </w:pPr>
            <w:r>
              <w:rPr>
                <w:rFonts w:ascii="Lato" w:hAnsi="Lato"/>
                <w:b/>
                <w:color w:val="25323A"/>
                <w:sz w:val="18"/>
              </w:rPr>
              <w:t>Frozen piles remain readable and performant</w:t>
            </w:r>
          </w:p>
        </w:tc>
        <w:tc>
          <w:tcPr>
            <w:tcW w:type="dxa" w:w="6869"/>
            <w:vAlign w:val="top"/>
            <w:shd w:fill="F6F8F9"/>
          </w:tcPr>
          <w:p>
            <w:pPr>
              <w:pStyle w:val="TableText"/>
              <w:keepNext w:val="0"/>
              <w:widowControl/>
            </w:pPr>
            <w:r>
              <w:rPr>
                <w:rFonts w:ascii="Lato" w:hAnsi="Lato"/>
                <w:b w:val="0"/>
                <w:color w:val="25323A"/>
                <w:sz w:val="18"/>
              </w:rPr>
              <w:t>Hybrid isolated settling and deterministic fallback must prove full progressive drainability from the apron, stable reconstruction, readability and tolerable cost; Stage A data tests are not this evidence.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Architectural/material coherence</w:t>
            </w:r>
          </w:p>
        </w:tc>
        <w:tc>
          <w:tcPr>
            <w:tcW w:type="dxa" w:w="6869"/>
            <w:vAlign w:val="top"/>
          </w:tcPr>
          <w:p>
            <w:pPr>
              <w:pStyle w:val="TableText"/>
              <w:keepNext w:val="0"/>
              <w:widowControl/>
            </w:pPr>
            <w:r>
              <w:rPr>
                <w:rFonts w:ascii="Lato" w:hAnsi="Lato"/>
                <w:b w:val="0"/>
                <w:color w:val="25323A"/>
                <w:sz w:val="18"/>
              </w:rPr>
              <w:t>Independent human Structural Shell and Applied Finish approval. A technically passing Godot scene can still be visually NO-GO.</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shd w:fill="F6F8F9"/>
          </w:tcPr>
          <w:p>
            <w:pPr>
              <w:pStyle w:val="TableText"/>
              <w:keepNext w:val="0"/>
              <w:widowControl/>
            </w:pPr>
            <w:r>
              <w:rPr>
                <w:rFonts w:ascii="Lato" w:hAnsi="Lato"/>
                <w:b/>
                <w:color w:val="25323A"/>
                <w:sz w:val="18"/>
              </w:rPr>
              <w:t>Generated pile implementation</w:t>
            </w:r>
          </w:p>
        </w:tc>
        <w:tc>
          <w:tcPr>
            <w:tcW w:type="dxa" w:w="6869"/>
            <w:vAlign w:val="top"/>
            <w:shd w:fill="F6F8F9"/>
          </w:tcPr>
          <w:p>
            <w:pPr>
              <w:pStyle w:val="TableText"/>
              <w:keepNext w:val="0"/>
              <w:widowControl/>
            </w:pPr>
            <w:r>
              <w:rPr>
                <w:rFonts w:ascii="Lato" w:hAnsi="Lato"/>
                <w:b w:val="0"/>
                <w:color w:val="25323A"/>
                <w:sz w:val="18"/>
              </w:rPr>
              <w:t>Approved direction: isolated hybrid hidden settling, conservative drainability validation, bounded retries, deterministic fallback, replacement with WorldItems. Actual quality/performance still Validate.</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builder/saved geometry and final overview are the working spatial baseline. Future furniture, bay lining, actual item visibility/reach and request travel may motivate specific revisions; they do not reopen the completed greybox by default. Current storage-authoring gates precede Receiving in the order stated in §21.3.</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keepNext w:val="0"/>
              <w:widowControl/>
            </w:pPr>
            <w:r>
              <w:rPr>
                <w:rFonts w:ascii="Lato" w:hAnsi="Lato"/>
                <w:b/>
                <w:color w:val="25323A"/>
                <w:sz w:val="18"/>
              </w:rPr>
              <w:t>Material-kit route</w:t>
            </w:r>
          </w:p>
        </w:tc>
        <w:tc>
          <w:tcPr>
            <w:tcW w:type="dxa" w:w="6869"/>
            <w:vAlign w:val="top"/>
          </w:tcPr>
          <w:p>
            <w:pPr>
              <w:pStyle w:val="TableText"/>
              <w:keepNext w:val="0"/>
              <w:widowControl/>
            </w:pPr>
            <w:r>
              <w:rPr>
                <w:rFonts w:ascii="Lato" w:hAnsi="Lato"/>
                <w:b w:val="0"/>
                <w:color w:val="25323A"/>
                <w:sz w:val="18"/>
              </w:rPr>
              <w:t>Ready PBR maps inspected; generated structural-kit pipeline and in-game finish quality still require proof. No subscription purchase implied.</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r>
        <w:trPr>
          <w:cantSplit/>
        </w:trPr>
        <w:tc>
          <w:tcPr>
            <w:tcW w:type="dxa" w:w="2995"/>
            <w:vAlign w:val="center"/>
          </w:tcPr>
          <w:p>
            <w:r>
              <w:t>Fixed-ladder proof tuning</w:t>
            </w:r>
          </w:p>
        </w:tc>
        <w:tc>
          <w:tcPr>
            <w:tcW w:type="dxa" w:w="6869"/>
            <w:vAlign w:val="center"/>
          </w:tcPr>
          <w:p>
            <w:r>
              <w:t>Validate exact yaw clamp, climb speed, selected installation geometry and human acceptability. The proof serves selected taller racks only and does not establish general traversal or universal reach.</w:t>
            </w:r>
          </w:p>
        </w:tc>
      </w:tr>
    </w:tbl>
    <w:p>
      <w:pPr>
        <w:spacing w:after="60" w:before="0" w:line="40" w:lineRule="exact"/>
      </w:pPr>
      <w:r>
        <w:rPr>
          <w:sz w:val="4"/>
        </w:rPr>
      </w:r>
    </w:p>
    <w:p>
      <w:pPr>
        <w:pStyle w:val="Heading2"/>
        <w:widowControl/>
      </w:pPr>
      <w:r>
        <w:t>21.3 Current next artifacts and bounded follow-ups</w:t>
      </w:r>
    </w:p>
    <w:p>
      <w:pPr>
        <w:widowControl/>
      </w:pPr>
      <w:r>
        <w:t>Current documents are GDD v0.10, Prototype Findings v0.10 and Visual Direction v0.7. Review-scene supply reuse, reusable functional ModularRack authoring, Storage Unit Orientation &amp; Zoning Basis, Canonical Item Storage Pose &amp; Shelf-Front Alignment, and the 40-item human catalogue pass are complete and promoted. The current gate order is single-rack fixed-ladder proof -&gt; human ladder decision -&gt; Receiving unless a concrete storage blocker appears.</w:t>
      </w:r>
    </w:p>
    <w:p>
      <w:pPr>
        <w:pStyle w:val="ListBullet"/>
        <w:widowControl/>
      </w:pPr>
      <w:r>
        <w:t>Review-scene supply reuse is complete and promoted; preserve the composed DevelopmentSetup authority and retained review-scene behavior.</w:t>
      </w:r>
    </w:p>
    <w:p>
      <w:pPr>
        <w:pStyle w:val="ListBullet"/>
        <w:widowControl/>
      </w:pPr>
      <w:r>
        <w:t>Reusable functional ModularRack authoring, unit orientation/zoning and canonical item pose are complete and promoted. Preserve their authored contracts; do not reopen them as ladder implementation work.</w:t>
      </w:r>
    </w:p>
    <w:p>
      <w:pPr>
        <w:pStyle w:val="ListBullet"/>
        <w:widowControl/>
      </w:pPr>
      <w:r>
        <w:t>Test one fixed shelf-serving ladder on one rack, then obtain the human decision. The proof does not authorize general climbing, movable ladders, animation, fall systems or adjustable shelves.</w:t>
      </w:r>
    </w:p>
    <w:p>
      <w:pPr>
        <w:pStyle w:val="ListBullet"/>
        <w:widowControl/>
      </w:pPr>
      <w:r>
        <w:t>After the human ladder decision, resume Receiving unless storage work reveals another blocker. Fuel is reconciled; Gloves and Pants remain excluded from the Receiving pool.</w:t>
      </w:r>
    </w:p>
    <w:p>
      <w:pPr>
        <w:pStyle w:val="ListBullet"/>
        <w:widowControl/>
      </w:pPr>
      <w:r>
        <w:t>Keep the architectural and material proof separate. Later validate Stage B piles, Stage C queue pressure and the first timed obligation; economy, simulation and save/crash work remain later.</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Separate human production-art approval of Structural Shell and Applied Finish. Neutral gameplay fixtures and seeded-storage tests do not require finished art and do not promote it.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r>
        <w:trPr>
          <w:cantSplit/>
        </w:trPr>
        <w:tc>
          <w:tcPr>
            <w:tcW w:type="dxa" w:w="2995"/>
            <w:vAlign w:val="center"/>
            <w:shd w:fill="F6F8F9"/>
          </w:tcPr>
          <w:p>
            <w:r>
              <w:t>Storage unit Front</w:t>
            </w:r>
          </w:p>
        </w:tc>
        <w:tc>
          <w:tcPr>
            <w:tcW w:type="dxa" w:w="6869"/>
            <w:vAlign w:val="center"/>
            <w:shd w:fill="F6F8F9"/>
          </w:tcPr>
          <w:p>
            <w:r>
              <w:t>Developer-authored semantic direction shared by every surface in one storage unit. It controls zoning presentation and new canonical item alignment without rotating the physical grid.</w:t>
            </w:r>
          </w:p>
        </w:tc>
      </w:tr>
      <w:tr>
        <w:trPr>
          <w:cantSplit/>
        </w:trPr>
        <w:tc>
          <w:tcPr>
            <w:tcW w:type="dxa" w:w="2995"/>
            <w:vAlign w:val="center"/>
            <w:shd w:fill="F6F8F9"/>
          </w:tcPr>
          <w:p>
            <w:r>
              <w:t>Canonical item storage pose</w:t>
            </w:r>
          </w:p>
        </w:tc>
        <w:tc>
          <w:tcPr>
            <w:tcW w:type="dxa" w:w="6869"/>
            <w:vAlign w:val="center"/>
            <w:shd w:fill="F6F8F9"/>
          </w:tcPr>
          <w:p>
            <w:r>
              <w:t>ItemDefinition-authored full pitch/yaw/roll correction whose intended item Front faces +Z before runtime unit alignment and optional packing rotation.</w:t>
            </w:r>
          </w:p>
        </w:tc>
      </w:tr>
      <w:tr>
        <w:trPr>
          <w:cantSplit/>
        </w:trPr>
        <w:tc>
          <w:tcPr>
            <w:tcW w:type="dxa" w:w="2995"/>
            <w:vAlign w:val="center"/>
            <w:shd w:fill="F6F8F9"/>
          </w:tcPr>
          <w:p>
            <w:r>
              <w:t>Packing rotation</w:t>
            </w:r>
          </w:p>
        </w:tc>
        <w:tc>
          <w:tcPr>
            <w:tcW w:type="dxa" w:w="6869"/>
            <w:vAlign w:val="center"/>
            <w:shd w:fill="F6F8F9"/>
          </w:tcPr>
          <w:p>
            <w:r>
              <w:t>Per-placement optional +90-degree turn kept separate from unit Front and the canonical item pose.</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animated shutter; TAKE-only; no live/dormant rigid-body loot.</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r>
        <w:trPr>
          <w:cantSplit/>
        </w:trPr>
        <w:tc>
          <w:tcPr>
            <w:tcW w:type="dxa" w:w="2995"/>
            <w:vAlign w:val="center"/>
          </w:tcPr>
          <w:p>
            <w:r>
              <w:t>Storage orientation state 0</w:t>
            </w:r>
          </w:p>
        </w:tc>
        <w:tc>
          <w:tcPr>
            <w:tcW w:type="dxa" w:w="6869"/>
            <w:vAlign w:val="center"/>
          </w:tcPr>
          <w:p>
            <w:r>
              <w:t>Front +Z, Back -Z, Right +X, Left -X; states 1/2/3 quarter-turn this basis.</w:t>
            </w:r>
          </w:p>
        </w:tc>
      </w:tr>
      <w:tr>
        <w:trPr>
          <w:cantSplit/>
        </w:trPr>
        <w:tc>
          <w:tcPr>
            <w:tcW w:type="dxa" w:w="2995"/>
            <w:vAlign w:val="center"/>
          </w:tcPr>
          <w:p>
            <w:r>
              <w:t>Zoning view</w:t>
            </w:r>
          </w:p>
        </w:tc>
        <w:tc>
          <w:tcPr>
            <w:tcW w:type="dxa" w:w="6869"/>
            <w:vAlign w:val="center"/>
          </w:tcPr>
          <w:p>
            <w:r>
              <w:t>Always viewed from authored Front: Back at top, Front at bottom; physical F6/grid state remains unchanged.</w:t>
            </w:r>
          </w:p>
        </w:tc>
      </w:tr>
      <w:tr>
        <w:trPr>
          <w:cantSplit/>
        </w:trPr>
        <w:tc>
          <w:tcPr>
            <w:tcW w:type="dxa" w:w="2995"/>
            <w:vAlign w:val="center"/>
          </w:tcPr>
          <w:p>
            <w:r>
              <w:t>Canonical item Front</w:t>
            </w:r>
          </w:p>
        </w:tc>
        <w:tc>
          <w:tcPr>
            <w:tcW w:type="dxa" w:w="6869"/>
            <w:vAlign w:val="center"/>
          </w:tcPr>
          <w:p>
            <w:r>
              <w:t>+Z in the ItemDefinition authoring reference; default new placement aligns it to unit Front.</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SourceNote"/>
      </w:pPr>
      <w:r>
        <w:t>HISTORICAL CHECKPOINT. Appendix D retains the 20 September v0.9 state and its then-pending gates. Appendix E supersedes its current-status claims after the promoted 20-21 September foundation milestones.</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developer retains final authority over functional storage installation authoring: model selection, installation placement, unit dimensions, level count and distribution, and ladder availability and placement. Codex may assist with tooling, validation, decoration and later synthetic checks. This is a development-authoring responsibility, not a player-facing furniture-construction permission. The in-game player retains ownership of storage taxonomy, zoning, labels and day-to-day organization within the authored installations.</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p>
      <w:pPr>
        <w:pStyle w:val="Heading1"/>
      </w:pPr>
      <w:r>
        <w:t>APPENDIX E  v0.10 STORAGE AUTHORING, ORIENTATION AND ITEM-POSE CLOSURE</w:t>
      </w:r>
    </w:p>
    <w:p>
      <w:pPr>
        <w:pStyle w:val="Heading2"/>
      </w:pPr>
      <w:r>
        <w:t>E.1 Reusable installation authoring</w:t>
      </w:r>
    </w:p>
    <w:p>
      <w:r>
        <w:t>Review-scene supply reuse and reusable functional ModularRack authoring are promoted. The retained shelf ergonomics review reuses the composed DevelopmentSetup from wing_gameplay.tscn and no longer activates the cabinet-only sample fixture.</w:t>
      </w:r>
    </w:p>
    <w:p>
      <w:r>
        <w:t>ModularRack is a shelf-empty reusable scaffold with an editable Levels container. Parent-scene-local shelf wrappers support normal add, duplicate, move and delete operations. One root @tool controller owns dimensions, per-edge usable-area insets, calibrated visuals, collision, preview and runtime surfaces. Rack02 deck calibration and F6 alignment are promoted; the three-level starter remains a review reference rather than a universal standard.</w:t>
      </w:r>
    </w:p>
    <w:p>
      <w:r>
        <w:t>The developer owns model, installation placement, dimensions, level count/distribution, unit Front and ladder availability/placement. The player owns zones, labels and daily organization. No player-facing free-build is approved.</w:t>
      </w:r>
    </w:p>
    <w:p>
      <w:pPr>
        <w:pStyle w:val="Heading2"/>
      </w:pPr>
      <w:r>
        <w:t>E.2 Unit Front and semantic zoning</w:t>
      </w:r>
    </w:p>
    <w:p>
      <w:r>
        <w:t>Semantic orientation belongs to the storage unit. Every surface in one unit shares its state, and the developer authors Front manually. Mesh appearance, wall location and player approach do not infer it.</w:t>
      </w:r>
    </w:p>
    <w:tbl>
      <w:tblPr>
        <w:tblW w:type="auto" w:w="0"/>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Pr>
          <w:p>
            <w:r>
              <w:t>State</w:t>
            </w:r>
          </w:p>
        </w:tc>
        <w:tc>
          <w:tcPr>
            <w:tcW w:type="dxa" w:w="1973"/>
            <w:vAlign w:val="center"/>
          </w:tcPr>
          <w:p>
            <w:r>
              <w:t>Front</w:t>
            </w:r>
          </w:p>
        </w:tc>
        <w:tc>
          <w:tcPr>
            <w:tcW w:type="dxa" w:w="1973"/>
            <w:vAlign w:val="center"/>
          </w:tcPr>
          <w:p>
            <w:r>
              <w:t>Back</w:t>
            </w:r>
          </w:p>
        </w:tc>
        <w:tc>
          <w:tcPr>
            <w:tcW w:type="dxa" w:w="1973"/>
            <w:vAlign w:val="center"/>
          </w:tcPr>
          <w:p>
            <w:r>
              <w:t>Right</w:t>
            </w:r>
          </w:p>
        </w:tc>
        <w:tc>
          <w:tcPr>
            <w:tcW w:type="dxa" w:w="1973"/>
            <w:vAlign w:val="center"/>
          </w:tcPr>
          <w:p>
            <w:r>
              <w:t>Left</w:t>
            </w:r>
          </w:p>
        </w:tc>
      </w:tr>
      <w:tr>
        <w:tc>
          <w:tcPr>
            <w:tcW w:type="dxa" w:w="1973"/>
            <w:vAlign w:val="center"/>
          </w:tcPr>
          <w:p>
            <w:r>
              <w:t>0</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1</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r>
        <w:tc>
          <w:tcPr>
            <w:tcW w:type="dxa" w:w="1973"/>
            <w:vAlign w:val="center"/>
          </w:tcPr>
          <w:p>
            <w:r>
              <w:t>2</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3</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bl>
    <w:p>
      <w:r>
        <w:t>Zoning always presents the surface from authored Front, with Back at the top and Front at the bottom. Semantic coordinates map reversibly to the unchanged physical cell array. F6 and the physical grid remain diagnostics; changing orientation metadata does not migrate existing physical zone cells.</w:t>
      </w:r>
    </w:p>
    <w:p>
      <w:pPr>
        <w:pStyle w:val="Heading2"/>
      </w:pPr>
      <w:r>
        <w:t>E.3 Canonical item pose and packing</w:t>
      </w:r>
    </w:p>
    <w:p>
      <w:r>
        <w:t>ItemDefinition.storage_rotation_degrees remains the full pitch/yaw/roll correction from untouched imported visual to canonical stored presentation. Canonical item Front is authored against +Z. A new default placement aligns that Front to storage-unit Front; packing_rotated remains separate and adds +90 degrees.</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Canonical placement</w:t>
            </w:r>
          </w:p>
        </w:tc>
        <w:tc>
          <w:tcPr>
            <w:tcW w:type="dxa" w:w="2466"/>
            <w:vAlign w:val="center"/>
          </w:tcPr>
          <w:p>
            <w:r>
              <w:t>Packing placement</w:t>
            </w:r>
          </w:p>
        </w:tc>
      </w:tr>
      <w:tr>
        <w:tc>
          <w:tcPr>
            <w:tcW w:type="dxa" w:w="2466"/>
            <w:vAlign w:val="center"/>
          </w:tcPr>
          <w:p>
            <w:r>
              <w:t>0</w:t>
            </w:r>
          </w:p>
        </w:tc>
        <w:tc>
          <w:tcPr>
            <w:tcW w:type="dxa" w:w="2466"/>
            <w:vAlign w:val="center"/>
          </w:tcPr>
          <w:p>
            <w:r>
              <w:t>+Z</w:t>
            </w:r>
          </w:p>
        </w:tc>
        <w:tc>
          <w:tcPr>
            <w:tcW w:type="dxa" w:w="2466"/>
            <w:vAlign w:val="center"/>
          </w:tcPr>
          <w:p>
            <w:r>
              <w:t>0 degrees / width x depth</w:t>
            </w:r>
          </w:p>
        </w:tc>
        <w:tc>
          <w:tcPr>
            <w:tcW w:type="dxa" w:w="2466"/>
            <w:vAlign w:val="center"/>
          </w:tcPr>
          <w:p>
            <w:r>
              <w:t>90 degrees / depth x width</w:t>
            </w:r>
          </w:p>
        </w:tc>
      </w:tr>
      <w:tr>
        <w:tc>
          <w:tcPr>
            <w:tcW w:type="dxa" w:w="2466"/>
            <w:vAlign w:val="center"/>
          </w:tcPr>
          <w:p>
            <w:r>
              <w:t>1</w:t>
            </w:r>
          </w:p>
        </w:tc>
        <w:tc>
          <w:tcPr>
            <w:tcW w:type="dxa" w:w="2466"/>
            <w:vAlign w:val="center"/>
          </w:tcPr>
          <w:p>
            <w:r>
              <w:t>+X</w:t>
            </w:r>
          </w:p>
        </w:tc>
        <w:tc>
          <w:tcPr>
            <w:tcW w:type="dxa" w:w="2466"/>
            <w:vAlign w:val="center"/>
          </w:tcPr>
          <w:p>
            <w:r>
              <w:t>90 degrees / depth x width</w:t>
            </w:r>
          </w:p>
        </w:tc>
        <w:tc>
          <w:tcPr>
            <w:tcW w:type="dxa" w:w="2466"/>
            <w:vAlign w:val="center"/>
          </w:tcPr>
          <w:p>
            <w:r>
              <w:t>180 degrees / width x depth</w:t>
            </w:r>
          </w:p>
        </w:tc>
      </w:tr>
      <w:tr>
        <w:tc>
          <w:tcPr>
            <w:tcW w:type="dxa" w:w="2466"/>
            <w:vAlign w:val="center"/>
          </w:tcPr>
          <w:p>
            <w:r>
              <w:t>2</w:t>
            </w:r>
          </w:p>
        </w:tc>
        <w:tc>
          <w:tcPr>
            <w:tcW w:type="dxa" w:w="2466"/>
            <w:vAlign w:val="center"/>
          </w:tcPr>
          <w:p>
            <w:r>
              <w:t>-Z</w:t>
            </w:r>
          </w:p>
        </w:tc>
        <w:tc>
          <w:tcPr>
            <w:tcW w:type="dxa" w:w="2466"/>
            <w:vAlign w:val="center"/>
          </w:tcPr>
          <w:p>
            <w:r>
              <w:t>180 degrees / width x depth</w:t>
            </w:r>
          </w:p>
        </w:tc>
        <w:tc>
          <w:tcPr>
            <w:tcW w:type="dxa" w:w="2466"/>
            <w:vAlign w:val="center"/>
          </w:tcPr>
          <w:p>
            <w:r>
              <w:t>270 degrees / depth x width</w:t>
            </w:r>
          </w:p>
        </w:tc>
      </w:tr>
      <w:tr>
        <w:tc>
          <w:tcPr>
            <w:tcW w:type="dxa" w:w="2466"/>
            <w:vAlign w:val="center"/>
          </w:tcPr>
          <w:p>
            <w:r>
              <w:t>3</w:t>
            </w:r>
          </w:p>
        </w:tc>
        <w:tc>
          <w:tcPr>
            <w:tcW w:type="dxa" w:w="2466"/>
            <w:vAlign w:val="center"/>
          </w:tcPr>
          <w:p>
            <w:r>
              <w:t>-X</w:t>
            </w:r>
          </w:p>
        </w:tc>
        <w:tc>
          <w:tcPr>
            <w:tcW w:type="dxa" w:w="2466"/>
            <w:vAlign w:val="center"/>
          </w:tcPr>
          <w:p>
            <w:r>
              <w:t>270 degrees / depth x width</w:t>
            </w:r>
          </w:p>
        </w:tc>
        <w:tc>
          <w:tcPr>
            <w:tcW w:type="dxa" w:w="2466"/>
            <w:vAlign w:val="center"/>
          </w:tcPr>
          <w:p>
            <w:r>
              <w:t>0 degrees / width x depth</w:t>
            </w:r>
          </w:p>
        </w:tc>
      </w:tr>
    </w:tbl>
    <w:p>
      <w:r>
        <w:t>Automatic placement remains canonical/front-facing first and packing alternative second. Reservation Footprint follows the combined unit-plus-packing parity. Committed items retain their placed orientation when shelf Front later changes. Future save/load must restore that placed orientation rather than recomputing it; optional 0/90/180/270 display rotation remains deferred UX debt.</w:t>
      </w:r>
    </w:p>
    <w:p>
      <w:pPr>
        <w:pStyle w:val="Heading2"/>
      </w:pPr>
      <w:r>
        <w:t>E.4 Catalogue authoring workflow and status</w:t>
      </w:r>
    </w:p>
    <w:p>
      <w:r>
        <w:t>The retained fixture res://gameplay/dev/item_storage_pose/item_storage_pose_authoring.tscn edits actual ItemDefinition pose metadata and refreshes live after the bounded correction. It exposes Authored Footprint, Suggested Canonical Footprint, warning state and preview packing Footprint. Apply Suggested Footprint writes x/y only while preserving z and pose. Suggestions use canonical posed bounds and the 0.10 m cell convention; authored Footprint remains explicit gameplay metadata rather than a silent mesh-derived value. Source GLB/FBX transforms remain untouched.</w:t>
      </w:r>
    </w:p>
    <w:p>
      <w:r>
        <w:t>The catalogue contains 42 definitions. Forty are eligible and fully human-reviewed; Gloves loot_000034 and Pants loot_000036 remain blocked. Current approvals are 21 default and 19 custom poses, with 27 geometry and 13 deliberate override Footprints. Twenty-six ItemDefinition resources changed during the human pass. The workbench reduced the full eligible-catalogue pose/Footprint review to roughly 10 minutes versus roughly two hours under the prior in-game review and handoff process.</w:t>
      </w:r>
    </w:p>
    <w:p>
      <w:pPr>
        <w:pStyle w:val="Heading2"/>
      </w:pPr>
      <w:r>
        <w:t>E.5 Single-rack fixed-ladder proof boundary and current gate order</w:t>
      </w:r>
    </w:p>
    <w:p>
      <w:r>
        <w:t>The single-rack fixed-ladder proof is the active gate. No ladder implementation is promoted. The target is a fixed floor-position ladder serving selected taller racks, not universal ladder coverage or a general reach solution.</w:t>
      </w:r>
    </w:p>
    <w:p>
      <w:pPr>
        <w:pStyle w:val="ListBullet"/>
      </w:pPr>
      <w:r>
        <w:t>Frontal approach plus forward input begins attach/climb; side-walking through the trigger must not capture.</w:t>
      </w:r>
    </w:p>
    <w:p>
      <w:pPr>
        <w:pStyle w:val="ListBullet"/>
      </w:pPr>
      <w:r>
        <w:t>W/S climbs up/down independent of camera pitch; releasing movement holds current height; A/D does not move laterally while attached.</w:t>
      </w:r>
    </w:p>
    <w:p>
      <w:pPr>
        <w:pStyle w:val="ListBullet"/>
      </w:pPr>
      <w:r>
        <w:t>Mouse look remains available for shelf inspection, with yaw clamped relative to the ladder. Exact clamp is Validate/provisional.</w:t>
      </w:r>
    </w:p>
    <w:p>
      <w:pPr>
        <w:pStyle w:val="ListBullet"/>
      </w:pPr>
      <w:r>
        <w:t>A top stop prevents ceiling/camera clipping and does not imply rack-top dismount. 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 is included.</w:t>
      </w:r>
    </w:p>
    <w:p>
      <w:pPr>
        <w:pStyle w:val="ListBullet"/>
      </w:pPr>
      <w:r>
        <w:t>The purpose is reliable vertical access to additional storage. The ladder does not solve shelf depth, brace/rung occlusion, rear reach or every low/high shelf ergonomics problem.</w:t>
      </w:r>
    </w:p>
    <w:p>
      <w:r>
        <w:t>Gate order: 1) single-rack fixed-ladder proof; 2) human ladder decision; 3) Receiving unless a concrete storage blocker appears.</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v0.10  |  21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v0.10</dc:title>
  <dc:subject>Promoted storage authoring, orientation, canonical item pose, and fixed-ladder proof gate</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2026-09-21T12:00:00Z</dcterms:modified>
  <cp:category/>
  <cp:version>0.7</cp:version>
</cp:coreProperties>
</file>