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SORTING APOCALYPSE</w:t>
      </w:r>
    </w:p>
    <w:p>
      <w:pPr>
        <w:pStyle w:val="Title"/>
      </w:pPr>
      <w:r>
        <w:t>SYSTEMS MVP</w:t>
        <w:br/>
        <w:t>FOUNDATION DESIGN</w:t>
        <w:br/>
        <w:t>&amp; PROGRESS</w:t>
      </w:r>
    </w:p>
    <w:p>
      <w:pPr>
        <w:pStyle w:val="Subtitle"/>
      </w:pPr>
      <w:r>
        <w:t>Persistent supplies. Competing obligations.</w:t>
        <w:br/>
        <w:t>One continuing storeroom.</w:t>
      </w:r>
    </w:p>
    <w:p>
      <w:pPr>
        <w:pStyle w:val="Small"/>
      </w:pPr>
      <w:r>
        <w:t>Version 0.2  |  16 October 2026  |  Incorporates approved M1 design refinements</w:t>
      </w:r>
    </w:p>
    <w:p>
      <w:pPr>
        <w:pStyle w:val="Callout"/>
        <w:shd w:fill="EDF3F3"/>
        <w:spacing w:before="120" w:after="200"/>
        <w:ind w:left="144" w:right="144"/>
      </w:pPr>
      <w:r>
        <w:rPr>
          <w:b/>
        </w:rPr>
        <w:t>FIRST INTEGRATED TARGET</w:t>
      </w:r>
      <w:r>
        <w:br/>
        <w:t>Medical → Kitchen → Expedition Loadout, sharing physical supplies, request accounting and one persistent run. Meaningful allocation testing begins with the combined three-consumer loop.</w:t>
      </w:r>
    </w:p>
    <w:p>
      <w:r>
        <w:t>This is the MVP-phase counterpart to Prototype Findings: a living foundation-design, implementation-progress and evidence record. It belongs alongside the GDD and Visual Design Direction as an active project master. Prototype Findings v0.14 is retired from active progress tracking, not discarded as evidence.</w:t>
      </w:r>
    </w:p>
    <w:tbl>
      <w:tblPr>
        <w:tblW w:type="auto" w:w="0"/>
        <w:jc w:val="center"/>
        <w:tblLayout w:type="fixed"/>
        <w:tblLook w:firstColumn="1" w:firstRow="1" w:lastColumn="0" w:lastRow="0" w:noHBand="0" w:noVBand="1" w:val="04A0"/>
      </w:tblPr>
      <w:tblGrid>
        <w:gridCol w:w="2549"/>
        <w:gridCol w:w="7110"/>
      </w:tblGrid>
      <w:tr>
        <w:trPr>
          <w:cantSplit/>
          <w:tblHeader/>
        </w:trPr>
        <w:tc>
          <w:tcPr>
            <w:tcW w:type="dxa" w:w="2549"/>
            <w:vAlign w:val="top"/>
            <w:shd w:fill="243944"/>
            <w:tcMar>
              <w:top w:w="90" w:type="dxa"/>
              <w:left w:w="90" w:type="dxa"/>
              <w:bottom w:w="90" w:type="dxa"/>
              <w:right w:w="90" w:type="dxa"/>
            </w:tcMar>
          </w:tcPr>
          <w:p>
            <w:pPr>
              <w:pStyle w:val="TableHead"/>
            </w:pPr>
            <w:r>
              <w:t>Authority</w:t>
            </w:r>
          </w:p>
        </w:tc>
        <w:tc>
          <w:tcPr>
            <w:tcW w:type="dxa" w:w="7110"/>
            <w:vAlign w:val="top"/>
            <w:shd w:fill="243944"/>
            <w:tcMar>
              <w:top w:w="90" w:type="dxa"/>
              <w:left w:w="90" w:type="dxa"/>
              <w:bottom w:w="90" w:type="dxa"/>
              <w:right w:w="90" w:type="dxa"/>
            </w:tcMar>
          </w:tcPr>
          <w:p>
            <w:pPr>
              <w:pStyle w:val="TableHead"/>
            </w:pPr>
            <w:r>
              <w:t>Role</w:t>
            </w:r>
          </w:p>
        </w:tc>
      </w:tr>
      <w:tr>
        <w:trPr>
          <w:cantSplit/>
        </w:trPr>
        <w:tc>
          <w:tcPr>
            <w:tcW w:type="dxa" w:w="2549"/>
            <w:vAlign w:val="top"/>
            <w:shd w:fill="F0F5F5"/>
            <w:tcMar>
              <w:top w:w="90" w:type="dxa"/>
              <w:left w:w="90" w:type="dxa"/>
              <w:bottom w:w="90" w:type="dxa"/>
              <w:right w:w="90" w:type="dxa"/>
            </w:tcMar>
          </w:tcPr>
          <w:p>
            <w:pPr>
              <w:pStyle w:val="TableText"/>
            </w:pPr>
            <w:r>
              <w:t>GDD v0.14</w:t>
            </w:r>
          </w:p>
        </w:tc>
        <w:tc>
          <w:tcPr>
            <w:tcW w:type="dxa" w:w="7110"/>
            <w:vAlign w:val="top"/>
            <w:shd w:fill="F0F5F5"/>
            <w:tcMar>
              <w:top w:w="90" w:type="dxa"/>
              <w:left w:w="90" w:type="dxa"/>
              <w:bottom w:w="90" w:type="dxa"/>
              <w:right w:w="90" w:type="dxa"/>
            </w:tcMar>
          </w:tcPr>
          <w:p>
            <w:pPr>
              <w:pStyle w:val="TableText"/>
            </w:pPr>
            <w:r>
              <w:t>Overall game design, intended rules and full-game scope.</w:t>
            </w:r>
          </w:p>
        </w:tc>
      </w:tr>
      <w:tr>
        <w:trPr>
          <w:cantSplit/>
        </w:trPr>
        <w:tc>
          <w:tcPr>
            <w:tcW w:type="dxa" w:w="2549"/>
            <w:vAlign w:val="top"/>
            <w:shd w:fill="FAFBFC"/>
            <w:tcMar>
              <w:top w:w="90" w:type="dxa"/>
              <w:left w:w="90" w:type="dxa"/>
              <w:bottom w:w="90" w:type="dxa"/>
              <w:right w:w="90" w:type="dxa"/>
            </w:tcMar>
          </w:tcPr>
          <w:p>
            <w:pPr>
              <w:pStyle w:val="TableText"/>
            </w:pPr>
            <w:r>
              <w:t>VDD v0.11</w:t>
            </w:r>
          </w:p>
        </w:tc>
        <w:tc>
          <w:tcPr>
            <w:tcW w:type="dxa" w:w="7110"/>
            <w:vAlign w:val="top"/>
            <w:shd w:fill="FAFBFC"/>
            <w:tcMar>
              <w:top w:w="90" w:type="dxa"/>
              <w:left w:w="90" w:type="dxa"/>
              <w:bottom w:w="90" w:type="dxa"/>
              <w:right w:w="90" w:type="dxa"/>
            </w:tcMar>
          </w:tcPr>
          <w:p>
            <w:pPr>
              <w:pStyle w:val="TableText"/>
            </w:pPr>
            <w:r>
              <w:t>World, visual, spatial, material and environment-authoring direction.</w:t>
            </w:r>
          </w:p>
        </w:tc>
      </w:tr>
      <w:tr>
        <w:trPr>
          <w:cantSplit/>
        </w:trPr>
        <w:tc>
          <w:tcPr>
            <w:tcW w:type="dxa" w:w="2549"/>
            <w:vAlign w:val="top"/>
            <w:shd w:fill="F0F5F5"/>
            <w:tcMar>
              <w:top w:w="90" w:type="dxa"/>
              <w:left w:w="90" w:type="dxa"/>
              <w:bottom w:w="90" w:type="dxa"/>
              <w:right w:w="90" w:type="dxa"/>
            </w:tcMar>
          </w:tcPr>
          <w:p>
            <w:pPr>
              <w:pStyle w:val="TableText"/>
            </w:pPr>
            <w:r>
              <w:t>This master v0.2</w:t>
            </w:r>
          </w:p>
        </w:tc>
        <w:tc>
          <w:tcPr>
            <w:tcW w:type="dxa" w:w="7110"/>
            <w:vAlign w:val="top"/>
            <w:shd w:fill="F0F5F5"/>
            <w:tcMar>
              <w:top w:w="90" w:type="dxa"/>
              <w:left w:w="90" w:type="dxa"/>
              <w:bottom w:w="90" w:type="dxa"/>
              <w:right w:w="90" w:type="dxa"/>
            </w:tcMar>
          </w:tcPr>
          <w:p>
            <w:pPr>
              <w:pStyle w:val="TableText"/>
            </w:pPr>
            <w:r>
              <w:t>MVP foundation contracts, staged delivery, current progress and carried-forward work.</w:t>
            </w:r>
          </w:p>
        </w:tc>
      </w:tr>
      <w:tr>
        <w:trPr>
          <w:cantSplit/>
        </w:trPr>
        <w:tc>
          <w:tcPr>
            <w:tcW w:type="dxa" w:w="2549"/>
            <w:vAlign w:val="top"/>
            <w:shd w:fill="FAFBFC"/>
            <w:tcMar>
              <w:top w:w="90" w:type="dxa"/>
              <w:left w:w="90" w:type="dxa"/>
              <w:bottom w:w="90" w:type="dxa"/>
              <w:right w:w="90" w:type="dxa"/>
            </w:tcMar>
          </w:tcPr>
          <w:p>
            <w:pPr>
              <w:pStyle w:val="TableText"/>
            </w:pPr>
            <w:r>
              <w:t>Prototype Findings v0.14</w:t>
            </w:r>
          </w:p>
        </w:tc>
        <w:tc>
          <w:tcPr>
            <w:tcW w:type="dxa" w:w="7110"/>
            <w:vAlign w:val="top"/>
            <w:shd w:fill="FAFBFC"/>
            <w:tcMar>
              <w:top w:w="90" w:type="dxa"/>
              <w:left w:w="90" w:type="dxa"/>
              <w:bottom w:w="90" w:type="dxa"/>
              <w:right w:w="90" w:type="dxa"/>
            </w:tcMar>
          </w:tcPr>
          <w:p>
            <w:pPr>
              <w:pStyle w:val="TableText"/>
            </w:pPr>
            <w:r>
              <w:t>Preserved historical prototype record; unresolved obligations remain live here.</w:t>
            </w:r>
          </w:p>
        </w:tc>
      </w:tr>
    </w:tbl>
    <w:p>
      <w:pPr>
        <w:pStyle w:val="Small"/>
        <w:spacing w:after="0"/>
      </w:pPr>
    </w:p>
    <w:p>
      <w:pPr>
        <w:pStyle w:val="Kicker"/>
      </w:pPr>
      <w:r>
        <w:t>DESIGN CONFIRMED IN CONVERSATION ≠ IMPLEMENTED ≠ HUMAN-PROMOTED</w:t>
      </w:r>
    </w:p>
    <w:p>
      <w:pPr>
        <w:pStyle w:val="Small"/>
      </w:pPr>
      <w:r>
        <w:t>The v0.1 foundation was reviewed and approved by the developer. This v0.2 incorporates later approved M1 behavior and identifies recommendations that remain provisional. Pre-MVP corrections are promoted/published; no Systems MVP gameplay feature has been implemented or playtested by this document update.</w:t>
      </w:r>
    </w:p>
    <w:p>
      <w:r>
        <w:br w:type="page"/>
      </w:r>
    </w:p>
    <w:p>
      <w:pPr>
        <w:pStyle w:val="Kicker"/>
      </w:pPr>
      <w:r>
        <w:t>ORIENTATION</w:t>
      </w:r>
    </w:p>
    <w:p>
      <w:bookmarkStart w:id="1" w:name="mvp_1"/>
      <w:pPr>
        <w:pStyle w:val="Heading1"/>
      </w:pPr>
      <w:r>
        <w:t>Reader’s guide &amp; current position</w:t>
      </w:r>
      <w:bookmarkEnd w:id="1"/>
    </w:p>
    <w:p>
      <w:pPr>
        <w:pStyle w:val="Callout"/>
        <w:shd w:fill="EDF3F3"/>
        <w:spacing w:before="120" w:after="200"/>
        <w:ind w:left="144" w:right="144"/>
      </w:pPr>
      <w:r>
        <w:rPr>
          <w:b/>
        </w:rPr>
        <w:t>Current position:</w:t>
      </w:r>
      <w:r>
        <w:t xml:space="preserve"> the prototype foundation phase and bounded engineering checkpoint are complete. The next build is the persistent Medical foundation; automatic day progression follows it. There is no new Systems MVP implementation evidence in this edition.</w:t>
      </w:r>
    </w:p>
    <w:p>
      <w:pPr>
        <w:pStyle w:val="Heading2"/>
      </w:pPr>
      <w:r>
        <w:t>How to use this master</w:t>
      </w:r>
    </w:p>
    <w:p>
      <w:r>
        <w:t>Read §§1–3 for authority, inherited baseline and the validation target; §§4–12 for the agreed contracts; §13 for delivery order; §§14–15 for evidence and active progress. The carry-forward register in §16 preserves unresolved work without turning it all into prerequisites. Section 17 identifies decisions still needed before executable slice briefs.</w:t>
      </w:r>
    </w:p>
    <w:tbl>
      <w:tblPr>
        <w:tblW w:type="auto" w:w="0"/>
        <w:jc w:val="center"/>
        <w:tblLayout w:type="fixed"/>
        <w:tblLook w:firstColumn="1" w:firstRow="1" w:lastColumn="0" w:lastRow="0" w:noHBand="0" w:noVBand="1" w:val="04A0"/>
      </w:tblPr>
      <w:tblGrid>
        <w:gridCol w:w="1397"/>
        <w:gridCol w:w="7398"/>
        <w:gridCol w:w="864"/>
      </w:tblGrid>
      <w:tr>
        <w:trPr>
          <w:cantSplit/>
          <w:tblHeader/>
        </w:trPr>
        <w:tc>
          <w:tcPr>
            <w:tcW w:type="dxa" w:w="1397"/>
            <w:vAlign w:val="top"/>
            <w:shd w:fill="243944"/>
            <w:tcMar>
              <w:top w:w="90" w:type="dxa"/>
              <w:left w:w="90" w:type="dxa"/>
              <w:bottom w:w="90" w:type="dxa"/>
              <w:right w:w="90" w:type="dxa"/>
            </w:tcMar>
          </w:tcPr>
          <w:p>
            <w:pPr>
              <w:pStyle w:val="TableHead"/>
            </w:pPr>
            <w:r>
              <w:t>Section</w:t>
            </w:r>
          </w:p>
        </w:tc>
        <w:tc>
          <w:tcPr>
            <w:tcW w:type="dxa" w:w="7398"/>
            <w:vAlign w:val="top"/>
            <w:shd w:fill="243944"/>
            <w:tcMar>
              <w:top w:w="90" w:type="dxa"/>
              <w:left w:w="90" w:type="dxa"/>
              <w:bottom w:w="90" w:type="dxa"/>
              <w:right w:w="90" w:type="dxa"/>
            </w:tcMar>
          </w:tcPr>
          <w:p>
            <w:pPr>
              <w:pStyle w:val="TableHead"/>
            </w:pPr>
            <w:r>
              <w:t>Contents</w:t>
            </w:r>
          </w:p>
        </w:tc>
        <w:tc>
          <w:tcPr>
            <w:tcW w:type="dxa" w:w="864"/>
            <w:vAlign w:val="top"/>
            <w:shd w:fill="243944"/>
            <w:tcMar>
              <w:top w:w="90" w:type="dxa"/>
              <w:left w:w="90" w:type="dxa"/>
              <w:bottom w:w="90" w:type="dxa"/>
              <w:right w:w="90" w:type="dxa"/>
            </w:tcMar>
          </w:tcPr>
          <w:p>
            <w:pPr>
              <w:pStyle w:val="TableHead"/>
            </w:pPr>
            <w:r>
              <w:t>Pages</w:t>
            </w:r>
          </w:p>
        </w:tc>
      </w:tr>
      <w:tr>
        <w:trPr>
          <w:cantSplit/>
        </w:trPr>
        <w:tc>
          <w:tcPr>
            <w:tcW w:type="dxa" w:w="1397"/>
            <w:vAlign w:val="top"/>
            <w:shd w:fill="F0F5F5"/>
            <w:tcMar>
              <w:top w:w="90" w:type="dxa"/>
              <w:left w:w="90" w:type="dxa"/>
              <w:bottom w:w="90" w:type="dxa"/>
              <w:right w:w="90" w:type="dxa"/>
            </w:tcMar>
          </w:tcPr>
          <w:p>
            <w:pPr>
              <w:pStyle w:val="TableText"/>
            </w:pPr>
            <w:r>
              <w:t>1–3</w:t>
            </w:r>
          </w:p>
        </w:tc>
        <w:tc>
          <w:tcPr>
            <w:tcW w:type="dxa" w:w="7398"/>
            <w:vAlign w:val="top"/>
            <w:shd w:fill="F0F5F5"/>
            <w:tcMar>
              <w:top w:w="90" w:type="dxa"/>
              <w:left w:w="90" w:type="dxa"/>
              <w:bottom w:w="90" w:type="dxa"/>
              <w:right w:w="90" w:type="dxa"/>
            </w:tcMar>
          </w:tcPr>
          <w:p>
            <w:pPr>
              <w:pStyle w:val="TableText"/>
            </w:pPr>
            <w:r>
              <w:t>Authority and prototype retirement; verified baseline; first integrated scope.</w:t>
            </w:r>
          </w:p>
        </w:tc>
        <w:tc>
          <w:tcPr>
            <w:tcW w:type="dxa" w:w="864"/>
            <w:vAlign w:val="top"/>
            <w:shd w:fill="F0F5F5"/>
            <w:tcMar>
              <w:top w:w="90" w:type="dxa"/>
              <w:left w:w="90" w:type="dxa"/>
              <w:bottom w:w="90" w:type="dxa"/>
              <w:right w:w="90" w:type="dxa"/>
            </w:tcMar>
          </w:tcPr>
          <w:p>
            <w:pPr>
              <w:pStyle w:val="TableText"/>
            </w:pPr>
            <w:r>
              <w:t>3–5</w:t>
            </w:r>
          </w:p>
        </w:tc>
      </w:tr>
      <w:tr>
        <w:trPr>
          <w:cantSplit/>
        </w:trPr>
        <w:tc>
          <w:tcPr>
            <w:tcW w:type="dxa" w:w="1397"/>
            <w:vAlign w:val="top"/>
            <w:shd w:fill="FAFBFC"/>
            <w:tcMar>
              <w:top w:w="90" w:type="dxa"/>
              <w:left w:w="90" w:type="dxa"/>
              <w:bottom w:w="90" w:type="dxa"/>
              <w:right w:w="90" w:type="dxa"/>
            </w:tcMar>
          </w:tcPr>
          <w:p>
            <w:pPr>
              <w:pStyle w:val="TableText"/>
            </w:pPr>
            <w:r>
              <w:t>4–5</w:t>
            </w:r>
          </w:p>
        </w:tc>
        <w:tc>
          <w:tcPr>
            <w:tcW w:type="dxa" w:w="7398"/>
            <w:vAlign w:val="top"/>
            <w:shd w:fill="FAFBFC"/>
            <w:tcMar>
              <w:top w:w="90" w:type="dxa"/>
              <w:left w:w="90" w:type="dxa"/>
              <w:bottom w:w="90" w:type="dxa"/>
              <w:right w:w="90" w:type="dxa"/>
            </w:tcMar>
          </w:tcPr>
          <w:p>
            <w:pPr>
              <w:pStyle w:val="TableText"/>
            </w:pPr>
            <w:r>
              <w:t>Shared request ownership and irreversible physical submission.</w:t>
            </w:r>
          </w:p>
        </w:tc>
        <w:tc>
          <w:tcPr>
            <w:tcW w:type="dxa" w:w="864"/>
            <w:vAlign w:val="top"/>
            <w:shd w:fill="FAFBFC"/>
            <w:tcMar>
              <w:top w:w="90" w:type="dxa"/>
              <w:left w:w="90" w:type="dxa"/>
              <w:bottom w:w="90" w:type="dxa"/>
              <w:right w:w="90" w:type="dxa"/>
            </w:tcMar>
          </w:tcPr>
          <w:p>
            <w:pPr>
              <w:pStyle w:val="TableText"/>
            </w:pPr>
            <w:r>
              <w:t>6–7</w:t>
            </w:r>
          </w:p>
        </w:tc>
      </w:tr>
      <w:tr>
        <w:trPr>
          <w:cantSplit/>
        </w:trPr>
        <w:tc>
          <w:tcPr>
            <w:tcW w:type="dxa" w:w="1397"/>
            <w:vAlign w:val="top"/>
            <w:shd w:fill="F0F5F5"/>
            <w:tcMar>
              <w:top w:w="90" w:type="dxa"/>
              <w:left w:w="90" w:type="dxa"/>
              <w:bottom w:w="90" w:type="dxa"/>
              <w:right w:w="90" w:type="dxa"/>
            </w:tcMar>
          </w:tcPr>
          <w:p>
            <w:pPr>
              <w:pStyle w:val="TableText"/>
            </w:pPr>
            <w:r>
              <w:t>6</w:t>
            </w:r>
          </w:p>
        </w:tc>
        <w:tc>
          <w:tcPr>
            <w:tcW w:type="dxa" w:w="7398"/>
            <w:vAlign w:val="top"/>
            <w:shd w:fill="F0F5F5"/>
            <w:tcMar>
              <w:top w:w="90" w:type="dxa"/>
              <w:left w:w="90" w:type="dxa"/>
              <w:bottom w:w="90" w:type="dxa"/>
              <w:right w:w="90" w:type="dxa"/>
            </w:tcMar>
          </w:tcPr>
          <w:p>
            <w:pPr>
              <w:pStyle w:val="TableText"/>
            </w:pPr>
            <w:r>
              <w:t>Single-slot persistence, preserved state and reconstruction.</w:t>
            </w:r>
          </w:p>
        </w:tc>
        <w:tc>
          <w:tcPr>
            <w:tcW w:type="dxa" w:w="864"/>
            <w:vAlign w:val="top"/>
            <w:shd w:fill="F0F5F5"/>
            <w:tcMar>
              <w:top w:w="90" w:type="dxa"/>
              <w:left w:w="90" w:type="dxa"/>
              <w:bottom w:w="90" w:type="dxa"/>
              <w:right w:w="90" w:type="dxa"/>
            </w:tcMar>
          </w:tcPr>
          <w:p>
            <w:pPr>
              <w:pStyle w:val="TableText"/>
            </w:pPr>
            <w:r>
              <w:t>8–10</w:t>
            </w:r>
          </w:p>
        </w:tc>
      </w:tr>
      <w:tr>
        <w:trPr>
          <w:cantSplit/>
        </w:trPr>
        <w:tc>
          <w:tcPr>
            <w:tcW w:type="dxa" w:w="1397"/>
            <w:vAlign w:val="top"/>
            <w:shd w:fill="FAFBFC"/>
            <w:tcMar>
              <w:top w:w="90" w:type="dxa"/>
              <w:left w:w="90" w:type="dxa"/>
              <w:bottom w:w="90" w:type="dxa"/>
              <w:right w:w="90" w:type="dxa"/>
            </w:tcMar>
          </w:tcPr>
          <w:p>
            <w:pPr>
              <w:pStyle w:val="TableText"/>
            </w:pPr>
            <w:r>
              <w:t>7–9</w:t>
            </w:r>
          </w:p>
        </w:tc>
        <w:tc>
          <w:tcPr>
            <w:tcW w:type="dxa" w:w="7398"/>
            <w:vAlign w:val="top"/>
            <w:shd w:fill="FAFBFC"/>
            <w:tcMar>
              <w:top w:w="90" w:type="dxa"/>
              <w:left w:w="90" w:type="dxa"/>
              <w:bottom w:w="90" w:type="dxa"/>
              <w:right w:w="90" w:type="dxa"/>
            </w:tcMar>
          </w:tcPr>
          <w:p>
            <w:pPr>
              <w:pStyle w:val="TableText"/>
            </w:pPr>
            <w:r>
              <w:t>Authoritative gameplay time, presentation synchronization, midnight, menu and HUD.</w:t>
            </w:r>
          </w:p>
        </w:tc>
        <w:tc>
          <w:tcPr>
            <w:tcW w:type="dxa" w:w="864"/>
            <w:vAlign w:val="top"/>
            <w:shd w:fill="FAFBFC"/>
            <w:tcMar>
              <w:top w:w="90" w:type="dxa"/>
              <w:left w:w="90" w:type="dxa"/>
              <w:bottom w:w="90" w:type="dxa"/>
              <w:right w:w="90" w:type="dxa"/>
            </w:tcMar>
          </w:tcPr>
          <w:p>
            <w:pPr>
              <w:pStyle w:val="TableText"/>
            </w:pPr>
            <w:r>
              <w:t>11–14</w:t>
            </w:r>
          </w:p>
        </w:tc>
      </w:tr>
      <w:tr>
        <w:trPr>
          <w:cantSplit/>
        </w:trPr>
        <w:tc>
          <w:tcPr>
            <w:tcW w:type="dxa" w:w="1397"/>
            <w:vAlign w:val="top"/>
            <w:shd w:fill="F0F5F5"/>
            <w:tcMar>
              <w:top w:w="90" w:type="dxa"/>
              <w:left w:w="90" w:type="dxa"/>
              <w:bottom w:w="90" w:type="dxa"/>
              <w:right w:w="90" w:type="dxa"/>
            </w:tcMar>
          </w:tcPr>
          <w:p>
            <w:pPr>
              <w:pStyle w:val="TableText"/>
            </w:pPr>
            <w:r>
              <w:t>10–12</w:t>
            </w:r>
          </w:p>
        </w:tc>
        <w:tc>
          <w:tcPr>
            <w:tcW w:type="dxa" w:w="7398"/>
            <w:vAlign w:val="top"/>
            <w:shd w:fill="F0F5F5"/>
            <w:tcMar>
              <w:top w:w="90" w:type="dxa"/>
              <w:left w:w="90" w:type="dxa"/>
              <w:bottom w:w="90" w:type="dxa"/>
              <w:right w:w="90" w:type="dxa"/>
            </w:tcMar>
          </w:tcPr>
          <w:p>
            <w:pPr>
              <w:pStyle w:val="TableText"/>
            </w:pPr>
            <w:r>
              <w:t>Authored scenarios; Medical/Kitchen; Expedition Loadout.</w:t>
            </w:r>
          </w:p>
        </w:tc>
        <w:tc>
          <w:tcPr>
            <w:tcW w:type="dxa" w:w="864"/>
            <w:vAlign w:val="top"/>
            <w:shd w:fill="F0F5F5"/>
            <w:tcMar>
              <w:top w:w="90" w:type="dxa"/>
              <w:left w:w="90" w:type="dxa"/>
              <w:bottom w:w="90" w:type="dxa"/>
              <w:right w:w="90" w:type="dxa"/>
            </w:tcMar>
          </w:tcPr>
          <w:p>
            <w:pPr>
              <w:pStyle w:val="TableText"/>
            </w:pPr>
            <w:r>
              <w:t>15–17</w:t>
            </w:r>
          </w:p>
        </w:tc>
      </w:tr>
      <w:tr>
        <w:trPr>
          <w:cantSplit/>
        </w:trPr>
        <w:tc>
          <w:tcPr>
            <w:tcW w:type="dxa" w:w="1397"/>
            <w:vAlign w:val="top"/>
            <w:shd w:fill="FAFBFC"/>
            <w:tcMar>
              <w:top w:w="90" w:type="dxa"/>
              <w:left w:w="90" w:type="dxa"/>
              <w:bottom w:w="90" w:type="dxa"/>
              <w:right w:w="90" w:type="dxa"/>
            </w:tcMar>
          </w:tcPr>
          <w:p>
            <w:pPr>
              <w:pStyle w:val="TableText"/>
            </w:pPr>
            <w:r>
              <w:t>13–15</w:t>
            </w:r>
          </w:p>
        </w:tc>
        <w:tc>
          <w:tcPr>
            <w:tcW w:type="dxa" w:w="7398"/>
            <w:vAlign w:val="top"/>
            <w:shd w:fill="FAFBFC"/>
            <w:tcMar>
              <w:top w:w="90" w:type="dxa"/>
              <w:left w:w="90" w:type="dxa"/>
              <w:bottom w:w="90" w:type="dxa"/>
              <w:right w:w="90" w:type="dxa"/>
            </w:tcMar>
          </w:tcPr>
          <w:p>
            <w:pPr>
              <w:pStyle w:val="TableText"/>
            </w:pPr>
            <w:r>
              <w:t>Implementation stages, acceptance evidence and active progress tracking.</w:t>
            </w:r>
          </w:p>
        </w:tc>
        <w:tc>
          <w:tcPr>
            <w:tcW w:type="dxa" w:w="864"/>
            <w:vAlign w:val="top"/>
            <w:shd w:fill="FAFBFC"/>
            <w:tcMar>
              <w:top w:w="90" w:type="dxa"/>
              <w:left w:w="90" w:type="dxa"/>
              <w:bottom w:w="90" w:type="dxa"/>
              <w:right w:w="90" w:type="dxa"/>
            </w:tcMar>
          </w:tcPr>
          <w:p>
            <w:pPr>
              <w:pStyle w:val="TableText"/>
            </w:pPr>
            <w:r>
              <w:t>18–21</w:t>
            </w:r>
          </w:p>
        </w:tc>
      </w:tr>
      <w:tr>
        <w:trPr>
          <w:cantSplit/>
        </w:trPr>
        <w:tc>
          <w:tcPr>
            <w:tcW w:type="dxa" w:w="1397"/>
            <w:vAlign w:val="top"/>
            <w:shd w:fill="F0F5F5"/>
            <w:tcMar>
              <w:top w:w="90" w:type="dxa"/>
              <w:left w:w="90" w:type="dxa"/>
              <w:bottom w:w="90" w:type="dxa"/>
              <w:right w:w="90" w:type="dxa"/>
            </w:tcMar>
          </w:tcPr>
          <w:p>
            <w:pPr>
              <w:pStyle w:val="TableText"/>
            </w:pPr>
            <w:r>
              <w:t>16–17</w:t>
            </w:r>
          </w:p>
        </w:tc>
        <w:tc>
          <w:tcPr>
            <w:tcW w:type="dxa" w:w="7398"/>
            <w:vAlign w:val="top"/>
            <w:shd w:fill="F0F5F5"/>
            <w:tcMar>
              <w:top w:w="90" w:type="dxa"/>
              <w:left w:w="90" w:type="dxa"/>
              <w:bottom w:w="90" w:type="dxa"/>
              <w:right w:w="90" w:type="dxa"/>
            </w:tcMar>
          </w:tcPr>
          <w:p>
            <w:pPr>
              <w:pStyle w:val="TableText"/>
            </w:pPr>
            <w:r>
              <w:t>Inherited obligations/debt, superseded findings and open decisions.</w:t>
            </w:r>
          </w:p>
        </w:tc>
        <w:tc>
          <w:tcPr>
            <w:tcW w:type="dxa" w:w="864"/>
            <w:vAlign w:val="top"/>
            <w:shd w:fill="F0F5F5"/>
            <w:tcMar>
              <w:top w:w="90" w:type="dxa"/>
              <w:left w:w="90" w:type="dxa"/>
              <w:bottom w:w="90" w:type="dxa"/>
              <w:right w:w="90" w:type="dxa"/>
            </w:tcMar>
          </w:tcPr>
          <w:p>
            <w:pPr>
              <w:pStyle w:val="TableText"/>
            </w:pPr>
            <w:r>
              <w:t>22–26</w:t>
            </w:r>
          </w:p>
        </w:tc>
      </w:tr>
      <w:tr>
        <w:trPr>
          <w:cantSplit/>
        </w:trPr>
        <w:tc>
          <w:tcPr>
            <w:tcW w:type="dxa" w:w="1397"/>
            <w:vAlign w:val="top"/>
            <w:shd w:fill="FAFBFC"/>
            <w:tcMar>
              <w:top w:w="90" w:type="dxa"/>
              <w:left w:w="90" w:type="dxa"/>
              <w:bottom w:w="90" w:type="dxa"/>
              <w:right w:w="90" w:type="dxa"/>
            </w:tcMar>
          </w:tcPr>
          <w:p>
            <w:pPr>
              <w:pStyle w:val="TableText"/>
            </w:pPr>
            <w:r>
              <w:t>A–B</w:t>
            </w:r>
          </w:p>
        </w:tc>
        <w:tc>
          <w:tcPr>
            <w:tcW w:type="dxa" w:w="7398"/>
            <w:vAlign w:val="top"/>
            <w:shd w:fill="FAFBFC"/>
            <w:tcMar>
              <w:top w:w="90" w:type="dxa"/>
              <w:left w:w="90" w:type="dxa"/>
              <w:bottom w:w="90" w:type="dxa"/>
              <w:right w:w="90" w:type="dxa"/>
            </w:tcMar>
          </w:tcPr>
          <w:p>
            <w:pPr>
              <w:pStyle w:val="TableText"/>
            </w:pPr>
            <w:r>
              <w:t>Conversation decision register, source register and document-maintenance rules.</w:t>
            </w:r>
          </w:p>
        </w:tc>
        <w:tc>
          <w:tcPr>
            <w:tcW w:type="dxa" w:w="864"/>
            <w:vAlign w:val="top"/>
            <w:shd w:fill="FAFBFC"/>
            <w:tcMar>
              <w:top w:w="90" w:type="dxa"/>
              <w:left w:w="90" w:type="dxa"/>
              <w:bottom w:w="90" w:type="dxa"/>
              <w:right w:w="90" w:type="dxa"/>
            </w:tcMar>
          </w:tcPr>
          <w:p>
            <w:pPr>
              <w:pStyle w:val="TableText"/>
            </w:pPr>
            <w:r>
              <w:t>27–30</w:t>
            </w:r>
          </w:p>
        </w:tc>
      </w:tr>
    </w:tbl>
    <w:p>
      <w:pPr>
        <w:pStyle w:val="Small"/>
        <w:spacing w:after="0"/>
      </w:pPr>
    </w:p>
    <w:p>
      <w:pPr>
        <w:pStyle w:val="Heading2"/>
      </w:pPr>
      <w:r>
        <w:t>Status vocabulary</w:t>
      </w:r>
    </w:p>
    <w:p>
      <w:r>
        <w:rPr>
          <w:b/>
        </w:rPr>
        <w:t>CONFIRMED DESIGN</w:t>
      </w:r>
      <w:r>
        <w:t xml:space="preserve"> records an approved behavior. </w:t>
      </w:r>
      <w:r>
        <w:rPr>
          <w:b/>
        </w:rPr>
        <w:t>NOT IMPLEMENTED</w:t>
      </w:r>
      <w:r>
        <w:t xml:space="preserve"> means no implementation is established. </w:t>
      </w:r>
      <w:r>
        <w:rPr>
          <w:b/>
        </w:rPr>
        <w:t>REPORTED VERIFIED</w:t>
      </w:r>
      <w:r>
        <w:t xml:space="preserve"> attributes a test or review to its source. </w:t>
      </w:r>
      <w:r>
        <w:rPr>
          <w:b/>
        </w:rPr>
        <w:t>HUMAN-PROMOTED</w:t>
      </w:r>
      <w:r>
        <w:t xml:space="preserve"> requires a dated developer decision. </w:t>
      </w:r>
      <w:r>
        <w:rPr>
          <w:b/>
        </w:rPr>
        <w:t>DEFERRED</w:t>
      </w:r>
      <w:r>
        <w:t xml:space="preserve"> retains work with a trigger or later scope; it does not mean rejected. </w:t>
      </w:r>
      <w:r>
        <w:rPr>
          <w:b/>
        </w:rPr>
        <w:t>OPEN</w:t>
      </w:r>
      <w:r>
        <w:t xml:space="preserve"> identifies an unsettled choice. </w:t>
      </w:r>
      <w:r>
        <w:rPr>
          <w:b/>
        </w:rPr>
        <w:t>DERIVED REQUIREMENT</w:t>
      </w:r>
      <w:r>
        <w:t xml:space="preserve"> labels a necessary consequence of an agreed contract, not a newly approved mechanism.</w:t>
      </w:r>
    </w:p>
    <w:p>
      <w:pPr>
        <w:pStyle w:val="Small"/>
      </w:pPr>
      <w:r>
        <w:t>Short source labels such as [D03], [PF §25.6] and [CR15] point to the registers at the end. They distinguish this conversation’s later decisions from published prototype-era design and evidence. Dates and old pending statements remain historical; do not infer current status from an isolated historical paragraph.</w:t>
      </w:r>
    </w:p>
    <w:p>
      <w:r>
        <w:br w:type="page"/>
      </w:r>
    </w:p>
    <w:p>
      <w:pPr>
        <w:pStyle w:val="Kicker"/>
      </w:pPr>
      <w:r>
        <w:t>DOCUMENT GOVERNANCE</w:t>
      </w:r>
    </w:p>
    <w:p>
      <w:bookmarkStart w:id="2" w:name="mvp_2"/>
      <w:pPr>
        <w:pStyle w:val="Heading1"/>
      </w:pPr>
      <w:r>
        <w:t>1. Authority &amp; prototype retirement</w:t>
      </w:r>
      <w:bookmarkEnd w:id="2"/>
    </w:p>
    <w:p>
      <w:pPr>
        <w:pStyle w:val="Heading2"/>
      </w:pPr>
      <w:r>
        <w:t>1.1 Active document set</w:t>
      </w:r>
    </w:p>
    <w:p>
      <w:r>
        <w:t>The developer has designated this document as the active MVP-phase counterpart to Prototype Findings. MVP progress, new findings, unresolved implementation work and subsequent acceptance belong here, with detailed evidence in focused validation records. GDD v0.14 remains gameplay/full-game authority; VDD v0.11 remains visual/spatial authority. [D10]</w:t>
      </w:r>
    </w:p>
    <w:p>
      <w:r>
        <w:t>Prototype Findings v0.14 and earlier editions remain intact as historical context and the provenance of promoted foundations, rejected experiments, known debt and confirmed-but-unimplemented work. Retiring the document does not retire those commitments. Sections 2 and 16 carry their current dispositions into the MVP phase and retain exact source sections.</w:t>
      </w:r>
    </w:p>
    <w:p>
      <w:pPr>
        <w:pStyle w:val="Heading2"/>
      </w:pPr>
      <w:r>
        <w:t>1.2 Supersession without silent redesign</w:t>
      </w:r>
    </w:p>
    <w:p>
      <w:r>
        <w:t>Later explicit developer decisions govern the bounded MVP scope. In addition to the original foundation, the developer confirmed a single active save with no standalone Save control, player/ladder continuation targets, existing departmental proxy interfaces, a simple initially open Medical request, deliberate single-item contributions, capped Utility waste and projected contribution feedback. The loadout-overfill revision and specific Utility-authoring formula remain provisional rather than silently replacing final GDD rules. This does not erase the GDD’s eventual population, Expedition or robust-save objectives. [D01–D15; P01; GDD §§8, 10, 18, 20]</w:t>
      </w:r>
    </w:p>
    <w:p>
      <w:r>
        <w:t>A historical statement that Stage C, the fixed ladder, Fuel reconciliation or EAF tooling is pending must not be imported as unfinished work when a later recorded promotion closes it. Conversely, an omitted item is not implicitly resolved: its historical record remains available and must be consulted when the affected subsystem is extended.</w:t>
      </w:r>
    </w:p>
    <w:p>
      <w:pPr>
        <w:pStyle w:val="Heading2"/>
      </w:pPr>
      <w:r>
        <w:t>1.3 Master and evidence discipline</w:t>
      </w:r>
    </w:p>
    <w:p>
      <w:r>
        <w:t>The DOCX is the editable master; a same-stem readable Markdown extract is derived from it, not maintained independently. Detailed tests and human reviews remain in their dated records; this master summarizes their meaning and links to them. Source code establishes implementation, but an unintended behavior is not automatically a design decision.</w:t>
      </w:r>
    </w:p>
    <w:p>
      <w:r>
        <w:t>The developer approved edition v0.1 in full, then clarified the implementation details recorded in this v0.2. This document update is for user-controlled publication; it does not alter GDD/VDD/Prototype Findings, code, art or repository pointers, nor authorize an M1 code change by itself. At publication, the documentation index and bootstrap should identify the active GDD/VDD/MVP trio and Prototype Findings as historical. No historical file deletion or rewrite is required. [D10–D15; WG]</w:t>
      </w:r>
    </w:p>
    <w:p>
      <w:pPr>
        <w:pStyle w:val="Source"/>
      </w:pPr>
      <w:r>
        <w:t>Basis: [D10] developer document-role decision; [H14 §§1, 3–4, 15]; [ER14 §§3, 12]; [WG].</w:t>
      </w:r>
    </w:p>
    <w:p>
      <w:r>
        <w:br w:type="page"/>
      </w:r>
    </w:p>
    <w:p>
      <w:pPr>
        <w:pStyle w:val="Kicker"/>
      </w:pPr>
      <w:r>
        <w:t>CURRENT CHECKPOINT</w:t>
      </w:r>
    </w:p>
    <w:p>
      <w:bookmarkStart w:id="3" w:name="mvp_3"/>
      <w:pPr>
        <w:pStyle w:val="Heading1"/>
      </w:pPr>
      <w:r>
        <w:t>2. Starting baseline &amp; evidence</w:t>
      </w:r>
      <w:bookmarkEnd w:id="3"/>
    </w:p>
    <w:p>
      <w:pPr>
        <w:pStyle w:val="Heading2"/>
      </w:pPr>
      <w:r>
        <w:t>2.1 Published reference</w:t>
      </w:r>
    </w:p>
    <w:p>
      <w:r>
        <w:t xml:space="preserve">During preparation, GitHub main independently resolved to </w:t>
      </w:r>
      <w:r>
        <w:rPr>
          <w:b/>
        </w:rPr>
        <w:t>800fd41a3073208c146af93dc2b9c84118c5f6f5</w:t>
      </w:r>
      <w:r>
        <w:t xml:space="preserve">. That commit records final human promotion of the pre-MVP corrections and directly follows </w:t>
      </w:r>
      <w:r>
        <w:rPr>
          <w:b/>
        </w:rPr>
        <w:t>7005de7</w:t>
      </w:r>
      <w:r>
        <w:t xml:space="preserve">. The published acceptance record names the prior repair </w:t>
      </w:r>
      <w:r>
        <w:rPr>
          <w:b/>
        </w:rPr>
        <w:t>a2afab1</w:t>
      </w:r>
      <w:r>
        <w:t xml:space="preserve"> and base </w:t>
      </w:r>
      <w:r>
        <w:rPr>
          <w:b/>
        </w:rPr>
        <w:t>bf26b53</w:t>
      </w:r>
      <w:r>
        <w:t>. These are evidence anchors, never reset targets. [R15; CR15]</w:t>
      </w:r>
    </w:p>
    <w:p>
      <w:r>
        <w:t>The authoritative asset-equipped checkout remains D:\Godot Projects\Sorting-apoc-PROTOTYPE, repository Navandis/Sorting-apoc-PROTOTYPE. Godot 4.7 Compatibility is the reported and documented development baseline. This document task did not inspect the Windows working tree, unsaved art, installed executable or ignored assets, and did not rerun Godot. [H14; CR15]</w:t>
      </w:r>
    </w:p>
    <w:tbl>
      <w:tblPr>
        <w:tblW w:type="auto" w:w="0"/>
        <w:jc w:val="center"/>
        <w:tblLayout w:type="fixed"/>
        <w:tblLook w:firstColumn="1" w:firstRow="1" w:lastColumn="0" w:lastRow="0" w:noHBand="0" w:noVBand="1" w:val="04A0"/>
      </w:tblPr>
      <w:tblGrid>
        <w:gridCol w:w="2736"/>
        <w:gridCol w:w="6923"/>
      </w:tblGrid>
      <w:tr>
        <w:trPr>
          <w:cantSplit/>
          <w:tblHeader/>
        </w:trPr>
        <w:tc>
          <w:tcPr>
            <w:tcW w:type="dxa" w:w="2736"/>
            <w:vAlign w:val="top"/>
            <w:shd w:fill="243944"/>
            <w:tcMar>
              <w:top w:w="90" w:type="dxa"/>
              <w:left w:w="90" w:type="dxa"/>
              <w:bottom w:w="90" w:type="dxa"/>
              <w:right w:w="90" w:type="dxa"/>
            </w:tcMar>
          </w:tcPr>
          <w:p>
            <w:pPr>
              <w:pStyle w:val="TableHead"/>
            </w:pPr>
            <w:r>
              <w:t>Foundation</w:t>
            </w:r>
          </w:p>
        </w:tc>
        <w:tc>
          <w:tcPr>
            <w:tcW w:type="dxa" w:w="6923"/>
            <w:vAlign w:val="top"/>
            <w:shd w:fill="243944"/>
            <w:tcMar>
              <w:top w:w="90" w:type="dxa"/>
              <w:left w:w="90" w:type="dxa"/>
              <w:bottom w:w="90" w:type="dxa"/>
              <w:right w:w="90" w:type="dxa"/>
            </w:tcMar>
          </w:tcPr>
          <w:p>
            <w:pPr>
              <w:pStyle w:val="TableHead"/>
            </w:pPr>
            <w:r>
              <w:t>Disposition carried into MVP</w:t>
            </w:r>
          </w:p>
        </w:tc>
      </w:tr>
      <w:tr>
        <w:trPr>
          <w:cantSplit/>
        </w:trPr>
        <w:tc>
          <w:tcPr>
            <w:tcW w:type="dxa" w:w="2736"/>
            <w:vAlign w:val="top"/>
            <w:shd w:fill="F0F5F5"/>
            <w:tcMar>
              <w:top w:w="90" w:type="dxa"/>
              <w:left w:w="90" w:type="dxa"/>
              <w:bottom w:w="90" w:type="dxa"/>
              <w:right w:w="90" w:type="dxa"/>
            </w:tcMar>
          </w:tcPr>
          <w:p>
            <w:pPr>
              <w:pStyle w:val="TableText"/>
            </w:pPr>
            <w:r>
              <w:t>Storage/content</w:t>
            </w:r>
          </w:p>
        </w:tc>
        <w:tc>
          <w:tcPr>
            <w:tcW w:type="dxa" w:w="6923"/>
            <w:vAlign w:val="top"/>
            <w:shd w:fill="F0F5F5"/>
            <w:tcMar>
              <w:top w:w="90" w:type="dxa"/>
              <w:left w:w="90" w:type="dxa"/>
              <w:bottom w:w="90" w:type="dxa"/>
              <w:right w:w="90" w:type="dxa"/>
            </w:tcMar>
          </w:tcPr>
          <w:p>
            <w:pPr>
              <w:pStyle w:val="TableText"/>
            </w:pPr>
            <w:r>
              <w:t>Representative carry/store/retrieve, zoning, deterministic stacking, pose/Footprint and selected fixed-ladder/rack integration remain HUMAN-PROMOTED.</w:t>
            </w:r>
          </w:p>
        </w:tc>
      </w:tr>
      <w:tr>
        <w:trPr>
          <w:cantSplit/>
        </w:trPr>
        <w:tc>
          <w:tcPr>
            <w:tcW w:type="dxa" w:w="2736"/>
            <w:vAlign w:val="top"/>
            <w:shd w:fill="FAFBFC"/>
            <w:tcMar>
              <w:top w:w="90" w:type="dxa"/>
              <w:left w:w="90" w:type="dxa"/>
              <w:bottom w:w="90" w:type="dxa"/>
              <w:right w:w="90" w:type="dxa"/>
            </w:tcMar>
          </w:tcPr>
          <w:p>
            <w:pPr>
              <w:pStyle w:val="TableText"/>
            </w:pPr>
            <w:r>
              <w:t>Receiving A/B/C</w:t>
            </w:r>
          </w:p>
        </w:tc>
        <w:tc>
          <w:tcPr>
            <w:tcW w:type="dxa" w:w="6923"/>
            <w:vAlign w:val="top"/>
            <w:shd w:fill="FAFBFC"/>
            <w:tcMar>
              <w:top w:w="90" w:type="dxa"/>
              <w:left w:w="90" w:type="dxa"/>
              <w:bottom w:w="90" w:type="dxa"/>
              <w:right w:w="90" w:type="dxa"/>
            </w:tcMar>
          </w:tcPr>
          <w:p>
            <w:pPr>
              <w:pStyle w:val="TableText"/>
            </w:pPr>
            <w:r>
              <w:t>Exact commitments, private TAKE-only presentation, fully-OPEN gating, FIFO departure and Awaiting Lift remain promoted in their agreed prototype scopes.</w:t>
            </w:r>
          </w:p>
        </w:tc>
      </w:tr>
      <w:tr>
        <w:trPr>
          <w:cantSplit/>
        </w:trPr>
        <w:tc>
          <w:tcPr>
            <w:tcW w:type="dxa" w:w="2736"/>
            <w:vAlign w:val="top"/>
            <w:shd w:fill="F0F5F5"/>
            <w:tcMar>
              <w:top w:w="90" w:type="dxa"/>
              <w:left w:w="90" w:type="dxa"/>
              <w:bottom w:w="90" w:type="dxa"/>
              <w:right w:w="90" w:type="dxa"/>
            </w:tcMar>
          </w:tcPr>
          <w:p>
            <w:pPr>
              <w:pStyle w:val="TableText"/>
            </w:pPr>
            <w:r>
              <w:t>C1 / intentional lighting / EAF1–EAF5</w:t>
            </w:r>
          </w:p>
        </w:tc>
        <w:tc>
          <w:tcPr>
            <w:tcW w:type="dxa" w:w="6923"/>
            <w:vAlign w:val="top"/>
            <w:shd w:fill="F0F5F5"/>
            <w:tcMar>
              <w:top w:w="90" w:type="dxa"/>
              <w:left w:w="90" w:type="dxa"/>
              <w:bottom w:w="90" w:type="dxa"/>
              <w:right w:w="90" w:type="dxa"/>
            </w:tcMar>
          </w:tcPr>
          <w:p>
            <w:pPr>
              <w:pStyle w:val="TableText"/>
            </w:pPr>
            <w:r>
              <w:t>Promoted/closed as recorded. Ordinary later authoring does not automatically reopen them.</w:t>
            </w:r>
          </w:p>
        </w:tc>
      </w:tr>
      <w:tr>
        <w:trPr>
          <w:cantSplit/>
        </w:trPr>
        <w:tc>
          <w:tcPr>
            <w:tcW w:type="dxa" w:w="2736"/>
            <w:vAlign w:val="top"/>
            <w:shd w:fill="FAFBFC"/>
            <w:tcMar>
              <w:top w:w="90" w:type="dxa"/>
              <w:left w:w="90" w:type="dxa"/>
              <w:bottom w:w="90" w:type="dxa"/>
              <w:right w:w="90" w:type="dxa"/>
            </w:tcMar>
          </w:tcPr>
          <w:p>
            <w:pPr>
              <w:pStyle w:val="TableText"/>
            </w:pPr>
            <w:r>
              <w:t>Pre-MVP R-01–R-03</w:t>
            </w:r>
          </w:p>
        </w:tc>
        <w:tc>
          <w:tcPr>
            <w:tcW w:type="dxa" w:w="6923"/>
            <w:vAlign w:val="top"/>
            <w:shd w:fill="FAFBFC"/>
            <w:tcMar>
              <w:top w:w="90" w:type="dxa"/>
              <w:left w:w="90" w:type="dxa"/>
              <w:bottom w:w="90" w:type="dxa"/>
              <w:right w:w="90" w:type="dxa"/>
            </w:tcMar>
          </w:tcPr>
          <w:p>
            <w:pPr>
              <w:pStyle w:val="TableText"/>
            </w:pPr>
            <w:r>
              <w:t>Corrected, independently reviewed, human-playtested and HUMAN-PROMOTED; published in the current main history.</w:t>
            </w:r>
          </w:p>
        </w:tc>
      </w:tr>
      <w:tr>
        <w:trPr>
          <w:cantSplit/>
        </w:trPr>
        <w:tc>
          <w:tcPr>
            <w:tcW w:type="dxa" w:w="2736"/>
            <w:vAlign w:val="top"/>
            <w:shd w:fill="F0F5F5"/>
            <w:tcMar>
              <w:top w:w="90" w:type="dxa"/>
              <w:left w:w="90" w:type="dxa"/>
              <w:bottom w:w="90" w:type="dxa"/>
              <w:right w:w="90" w:type="dxa"/>
            </w:tcMar>
          </w:tcPr>
          <w:p>
            <w:pPr>
              <w:pStyle w:val="TableText"/>
            </w:pPr>
            <w:r>
              <w:t>R-04 reflection teardown</w:t>
            </w:r>
          </w:p>
        </w:tc>
        <w:tc>
          <w:tcPr>
            <w:tcW w:type="dxa" w:w="6923"/>
            <w:vAlign w:val="top"/>
            <w:shd w:fill="F0F5F5"/>
            <w:tcMar>
              <w:top w:w="90" w:type="dxa"/>
              <w:left w:w="90" w:type="dxa"/>
              <w:bottom w:w="90" w:type="dxa"/>
              <w:right w:w="90" w:type="dxa"/>
            </w:tcMar>
          </w:tcPr>
          <w:p>
            <w:pPr>
              <w:pStyle w:val="TableText"/>
            </w:pPr>
            <w:r>
              <w:t>Unrepaired, explicitly deferred to reload/restart/menu scene-lifetime dependencies. That trigger is relevant to the new foundation; see §16.1.</w:t>
            </w:r>
          </w:p>
        </w:tc>
      </w:tr>
    </w:tbl>
    <w:p>
      <w:pPr>
        <w:pStyle w:val="Small"/>
        <w:spacing w:after="0"/>
      </w:pPr>
    </w:p>
    <w:p>
      <w:pPr>
        <w:pStyle w:val="Heading2"/>
      </w:pPr>
      <w:r>
        <w:t>2.2 Evidence boundary</w:t>
      </w:r>
    </w:p>
    <w:p>
      <w:r>
        <w:t>The repair record preserves the initial 16 selected suites and six abort canaries, the independent REVISE for two manual-address cases, and the seven-suite/unchanged-probe follow-up with one focused review. The developer subsequently reported correct behavior in all manually tested scenarios and promoted the repairs. These are attributed prior results, not new executions or an exhaustive runtime guarantee. [CR15]</w:t>
      </w:r>
    </w:p>
    <w:p>
      <w:pPr>
        <w:pStyle w:val="Small"/>
      </w:pPr>
      <w:r>
        <w:t>No persistent run, shared Medical/Kitchen/Loadout collector, day clock, midnight auto-save or new ESC menu is established by those repairs. Their status remains CONFIRMED DESIGN / NOT IMPLEMENTED.</w:t>
      </w:r>
    </w:p>
    <w:p>
      <w:pPr>
        <w:pStyle w:val="Source"/>
      </w:pPr>
      <w:r>
        <w:t>Basis: [PF §§24–30, 34]; [CR15]; [R15].</w:t>
      </w:r>
    </w:p>
    <w:p>
      <w:r>
        <w:br w:type="page"/>
      </w:r>
    </w:p>
    <w:p>
      <w:pPr>
        <w:pStyle w:val="Kicker"/>
      </w:pPr>
      <w:r>
        <w:t>SCOPE &amp; VALIDATION</w:t>
      </w:r>
    </w:p>
    <w:p>
      <w:bookmarkStart w:id="4" w:name="mvp_4"/>
      <w:pPr>
        <w:pStyle w:val="Heading1"/>
      </w:pPr>
      <w:r>
        <w:t>3. First integrated MVP target</w:t>
      </w:r>
      <w:bookmarkEnd w:id="4"/>
    </w:p>
    <w:p>
      <w:pPr>
        <w:pStyle w:val="Callout"/>
        <w:shd w:fill="EDF3F3"/>
        <w:spacing w:before="120" w:after="200"/>
        <w:ind w:left="144" w:right="144"/>
      </w:pPr>
      <w:r>
        <w:rPr>
          <w:b/>
        </w:rPr>
        <w:t>Operate the same storeroom across repeated days and application sessions, allocating finite physical supplies between Medical, Kitchen and Expedition Loadout. Both organization and expenditure persist.</w:t>
      </w:r>
      <w:r>
        <w:t xml:space="preserve"> [D01–D03]</w:t>
      </w:r>
    </w:p>
    <w:tbl>
      <w:tblPr>
        <w:tblW w:type="auto" w:w="0"/>
        <w:jc w:val="center"/>
        <w:tblLayout w:type="fixed"/>
        <w:tblLook w:firstColumn="1" w:firstRow="1" w:lastColumn="0" w:lastRow="0" w:noHBand="0" w:noVBand="1" w:val="04A0"/>
      </w:tblPr>
      <w:tblGrid>
        <w:gridCol w:w="1872"/>
        <w:gridCol w:w="2736"/>
        <w:gridCol w:w="5051"/>
      </w:tblGrid>
      <w:tr>
        <w:trPr>
          <w:cantSplit/>
          <w:tblHeader/>
        </w:trPr>
        <w:tc>
          <w:tcPr>
            <w:tcW w:type="dxa" w:w="1872"/>
            <w:vAlign w:val="top"/>
            <w:shd w:fill="243944"/>
            <w:tcMar>
              <w:top w:w="90" w:type="dxa"/>
              <w:left w:w="90" w:type="dxa"/>
              <w:bottom w:w="90" w:type="dxa"/>
              <w:right w:w="90" w:type="dxa"/>
            </w:tcMar>
          </w:tcPr>
          <w:p>
            <w:pPr>
              <w:pStyle w:val="TableHead"/>
            </w:pPr>
            <w:r>
              <w:t>Consumer</w:t>
            </w:r>
          </w:p>
        </w:tc>
        <w:tc>
          <w:tcPr>
            <w:tcW w:type="dxa" w:w="2736"/>
            <w:vAlign w:val="top"/>
            <w:shd w:fill="243944"/>
            <w:tcMar>
              <w:top w:w="90" w:type="dxa"/>
              <w:left w:w="90" w:type="dxa"/>
              <w:bottom w:w="90" w:type="dxa"/>
              <w:right w:w="90" w:type="dxa"/>
            </w:tcMar>
          </w:tcPr>
          <w:p>
            <w:pPr>
              <w:pStyle w:val="TableHead"/>
            </w:pPr>
            <w:r>
              <w:t>Utility lanes</w:t>
            </w:r>
          </w:p>
        </w:tc>
        <w:tc>
          <w:tcPr>
            <w:tcW w:type="dxa" w:w="5051"/>
            <w:vAlign w:val="top"/>
            <w:shd w:fill="243944"/>
            <w:tcMar>
              <w:top w:w="90" w:type="dxa"/>
              <w:left w:w="90" w:type="dxa"/>
              <w:bottom w:w="90" w:type="dxa"/>
              <w:right w:w="90" w:type="dxa"/>
            </w:tcMar>
          </w:tcPr>
          <w:p>
            <w:pPr>
              <w:pStyle w:val="TableHead"/>
            </w:pPr>
            <w:r>
              <w:t>Competition introduced</w:t>
            </w:r>
          </w:p>
        </w:tc>
      </w:tr>
      <w:tr>
        <w:trPr>
          <w:cantSplit/>
        </w:trPr>
        <w:tc>
          <w:tcPr>
            <w:tcW w:type="dxa" w:w="1872"/>
            <w:vAlign w:val="top"/>
            <w:shd w:fill="F0F5F5"/>
            <w:tcMar>
              <w:top w:w="90" w:type="dxa"/>
              <w:left w:w="90" w:type="dxa"/>
              <w:bottom w:w="90" w:type="dxa"/>
              <w:right w:w="90" w:type="dxa"/>
            </w:tcMar>
          </w:tcPr>
          <w:p>
            <w:pPr>
              <w:pStyle w:val="TableText"/>
            </w:pPr>
            <w:r>
              <w:t>Medical</w:t>
            </w:r>
          </w:p>
        </w:tc>
        <w:tc>
          <w:tcPr>
            <w:tcW w:type="dxa" w:w="2736"/>
            <w:vAlign w:val="top"/>
            <w:shd w:fill="F0F5F5"/>
            <w:tcMar>
              <w:top w:w="90" w:type="dxa"/>
              <w:left w:w="90" w:type="dxa"/>
              <w:bottom w:w="90" w:type="dxa"/>
              <w:right w:w="90" w:type="dxa"/>
            </w:tcMar>
          </w:tcPr>
          <w:p>
            <w:pPr>
              <w:pStyle w:val="TableText"/>
            </w:pPr>
            <w:r>
              <w:t>Medical</w:t>
            </w:r>
          </w:p>
        </w:tc>
        <w:tc>
          <w:tcPr>
            <w:tcW w:type="dxa" w:w="5051"/>
            <w:vAlign w:val="top"/>
            <w:shd w:fill="F0F5F5"/>
            <w:tcMar>
              <w:top w:w="90" w:type="dxa"/>
              <w:left w:w="90" w:type="dxa"/>
              <w:bottom w:w="90" w:type="dxa"/>
              <w:right w:w="90" w:type="dxa"/>
            </w:tcMar>
          </w:tcPr>
          <w:p>
            <w:pPr>
              <w:pStyle w:val="TableText"/>
            </w:pPr>
            <w:r>
              <w:t>Departmental demand competes with loadout Medical and future reserves.</w:t>
            </w:r>
          </w:p>
        </w:tc>
      </w:tr>
      <w:tr>
        <w:trPr>
          <w:cantSplit/>
        </w:trPr>
        <w:tc>
          <w:tcPr>
            <w:tcW w:type="dxa" w:w="1872"/>
            <w:vAlign w:val="top"/>
            <w:shd w:fill="FAFBFC"/>
            <w:tcMar>
              <w:top w:w="90" w:type="dxa"/>
              <w:left w:w="90" w:type="dxa"/>
              <w:bottom w:w="90" w:type="dxa"/>
              <w:right w:w="90" w:type="dxa"/>
            </w:tcMar>
          </w:tcPr>
          <w:p>
            <w:pPr>
              <w:pStyle w:val="TableText"/>
            </w:pPr>
            <w:r>
              <w:t>Kitchen</w:t>
            </w:r>
          </w:p>
        </w:tc>
        <w:tc>
          <w:tcPr>
            <w:tcW w:type="dxa" w:w="2736"/>
            <w:vAlign w:val="top"/>
            <w:shd w:fill="FAFBFC"/>
            <w:tcMar>
              <w:top w:w="90" w:type="dxa"/>
              <w:left w:w="90" w:type="dxa"/>
              <w:bottom w:w="90" w:type="dxa"/>
              <w:right w:w="90" w:type="dxa"/>
            </w:tcMar>
          </w:tcPr>
          <w:p>
            <w:pPr>
              <w:pStyle w:val="TableText"/>
            </w:pPr>
            <w:r>
              <w:t>Food, Hydration</w:t>
            </w:r>
          </w:p>
        </w:tc>
        <w:tc>
          <w:tcPr>
            <w:tcW w:type="dxa" w:w="5051"/>
            <w:vAlign w:val="top"/>
            <w:shd w:fill="FAFBFC"/>
            <w:tcMar>
              <w:top w:w="90" w:type="dxa"/>
              <w:left w:w="90" w:type="dxa"/>
              <w:bottom w:w="90" w:type="dxa"/>
              <w:right w:w="90" w:type="dxa"/>
            </w:tcMar>
          </w:tcPr>
          <w:p>
            <w:pPr>
              <w:pStyle w:val="TableText"/>
            </w:pPr>
            <w:r>
              <w:t>Today’s meals compete with tomorrow’s provisioning and other meal windows.</w:t>
            </w:r>
          </w:p>
        </w:tc>
      </w:tr>
      <w:tr>
        <w:trPr>
          <w:cantSplit/>
        </w:trPr>
        <w:tc>
          <w:tcPr>
            <w:tcW w:type="dxa" w:w="1872"/>
            <w:vAlign w:val="top"/>
            <w:shd w:fill="F0F5F5"/>
            <w:tcMar>
              <w:top w:w="90" w:type="dxa"/>
              <w:left w:w="90" w:type="dxa"/>
              <w:bottom w:w="90" w:type="dxa"/>
              <w:right w:w="90" w:type="dxa"/>
            </w:tcMar>
          </w:tcPr>
          <w:p>
            <w:pPr>
              <w:pStyle w:val="TableText"/>
            </w:pPr>
            <w:r>
              <w:t>Expedition Loadout</w:t>
            </w:r>
          </w:p>
        </w:tc>
        <w:tc>
          <w:tcPr>
            <w:tcW w:type="dxa" w:w="2736"/>
            <w:vAlign w:val="top"/>
            <w:shd w:fill="F0F5F5"/>
            <w:tcMar>
              <w:top w:w="90" w:type="dxa"/>
              <w:left w:w="90" w:type="dxa"/>
              <w:bottom w:w="90" w:type="dxa"/>
              <w:right w:w="90" w:type="dxa"/>
            </w:tcMar>
          </w:tcPr>
          <w:p>
            <w:pPr>
              <w:pStyle w:val="TableText"/>
            </w:pPr>
            <w:r>
              <w:t>Food, Hydration, Medical, Weapons, Protection</w:t>
            </w:r>
          </w:p>
        </w:tc>
        <w:tc>
          <w:tcPr>
            <w:tcW w:type="dxa" w:w="5051"/>
            <w:vAlign w:val="top"/>
            <w:shd w:fill="F0F5F5"/>
            <w:tcMar>
              <w:top w:w="90" w:type="dxa"/>
              <w:left w:w="90" w:type="dxa"/>
              <w:bottom w:w="90" w:type="dxa"/>
              <w:right w:w="90" w:type="dxa"/>
            </w:tcMar>
          </w:tcPr>
          <w:p>
            <w:pPr>
              <w:pStyle w:val="TableText"/>
            </w:pPr>
            <w:r>
              <w:t>Broad equipment demand overlaps both departments; outgoing Bulk preserves equipment-efficiency choices.</w:t>
            </w:r>
          </w:p>
        </w:tc>
      </w:tr>
    </w:tbl>
    <w:p>
      <w:pPr>
        <w:pStyle w:val="Small"/>
        <w:spacing w:after="0"/>
      </w:pPr>
    </w:p>
    <w:p>
      <w:pPr>
        <w:pStyle w:val="Heading2"/>
      </w:pPr>
      <w:r>
        <w:t>3.1 What this slice can establish</w:t>
      </w:r>
    </w:p>
    <w:p>
      <w:r>
        <w:t>Test whether players preserve reserves, deliberately leave some requests partially fulfilled, select items for different destinations, and benefit from their own storage organization. A supply spent today must be unavailable tomorrow unless a genuinely new delivery replaces it. Saving or relaunching must not reset the decision. Direct Receiving-to-destination delivery remains legitimate; Sorting and storage must not be made artificially compulsory. [D01–D02; GDD §§3, 4.6]</w:t>
      </w:r>
    </w:p>
    <w:p>
      <w:r>
        <w:t>Medical alone is an implementation and local-usability checkpoint. Meaningful three-way allocation validation is reserved for the combined consumers across continuing cycles and sessions. Later unfamiliar-player testing can examine comprehension and voluntary organization; developer play and code tests do not establish broad audience response. [D01–D02; H14 §5]</w:t>
      </w:r>
    </w:p>
    <w:p>
      <w:pPr>
        <w:pStyle w:val="Heading2"/>
      </w:pPr>
      <w:r>
        <w:t>3.2 Simplified outcomes, retained architecture</w:t>
      </w:r>
    </w:p>
    <w:p>
      <w:r>
        <w:t>Initial Medical and Kitchen requests are X needed → X submitted → X consumed, with durable fulfillment/shortfall records. No patient cohort or treatment calculation is required. Team-labelled loadout requests do not imply actual Expedition teams, journeys, casualties, return scheduling or population. Incoming loot remains scenario-controlled. [D01–D02]</w:t>
      </w:r>
    </w:p>
    <w:p>
      <w:r>
        <w:t>This creates real material depletion and competing obligations, but does not yet validate the full survival economy, treatment/mortality balance or provisioning-to-loot feedback. Workshop, Bunker Ops, ration production, salvage/incineration, upgrades and full Expedition integration remain later scopes; none is discarded. [GDD §§8–15, 20; §16 here]</w:t>
      </w:r>
    </w:p>
    <w:p>
      <w:pPr>
        <w:pStyle w:val="Source"/>
      </w:pPr>
      <w:r>
        <w:t>Basis: [D01–D03]; [GDD §§3, 6, 8, 10, 20–21]; [H14 §5].</w:t>
      </w:r>
    </w:p>
    <w:p>
      <w:r>
        <w:br w:type="page"/>
      </w:r>
    </w:p>
    <w:p>
      <w:pPr>
        <w:pStyle w:val="Kicker"/>
      </w:pPr>
      <w:r>
        <w:t>DESIGN CONTRACT</w:t>
      </w:r>
    </w:p>
    <w:p>
      <w:bookmarkStart w:id="5" w:name="mvp_5"/>
      <w:pPr>
        <w:pStyle w:val="Heading1"/>
      </w:pPr>
      <w:r>
        <w:t>4. Shared foundation ownership</w:t>
      </w:r>
      <w:bookmarkEnd w:id="5"/>
    </w:p>
    <w:p>
      <w:r>
        <w:t>Build one collection system that can be extended, not three disposable consumers. The names below identify responsibilities; except for existing project types, they do not prescribe new classes, autoloads, files or API signatures. The GDD’s RequestDefinition / OutcomeProfile separation remains the design basis. [D02; GDD §§8.4, 18.4]</w:t>
      </w:r>
    </w:p>
    <w:tbl>
      <w:tblPr>
        <w:tblW w:type="auto" w:w="0"/>
        <w:jc w:val="center"/>
        <w:tblLayout w:type="fixed"/>
        <w:tblLook w:firstColumn="1" w:firstRow="1" w:lastColumn="0" w:lastRow="0" w:noHBand="0" w:noVBand="1" w:val="04A0"/>
      </w:tblPr>
      <w:tblGrid>
        <w:gridCol w:w="2218"/>
        <w:gridCol w:w="3715"/>
        <w:gridCol w:w="3726"/>
      </w:tblGrid>
      <w:tr>
        <w:trPr>
          <w:cantSplit/>
          <w:tblHeader/>
        </w:trPr>
        <w:tc>
          <w:tcPr>
            <w:tcW w:type="dxa" w:w="2218"/>
            <w:vAlign w:val="top"/>
            <w:shd w:fill="243944"/>
            <w:tcMar>
              <w:top w:w="90" w:type="dxa"/>
              <w:left w:w="90" w:type="dxa"/>
              <w:bottom w:w="90" w:type="dxa"/>
              <w:right w:w="90" w:type="dxa"/>
            </w:tcMar>
          </w:tcPr>
          <w:p>
            <w:pPr>
              <w:pStyle w:val="TableHead"/>
            </w:pPr>
            <w:r>
              <w:t>Owner / responsibility</w:t>
            </w:r>
          </w:p>
        </w:tc>
        <w:tc>
          <w:tcPr>
            <w:tcW w:type="dxa" w:w="3715"/>
            <w:vAlign w:val="top"/>
            <w:shd w:fill="243944"/>
            <w:tcMar>
              <w:top w:w="90" w:type="dxa"/>
              <w:left w:w="90" w:type="dxa"/>
              <w:bottom w:w="90" w:type="dxa"/>
              <w:right w:w="90" w:type="dxa"/>
            </w:tcMar>
          </w:tcPr>
          <w:p>
            <w:pPr>
              <w:pStyle w:val="TableHead"/>
            </w:pPr>
            <w:r>
              <w:t>Initial role</w:t>
            </w:r>
          </w:p>
        </w:tc>
        <w:tc>
          <w:tcPr>
            <w:tcW w:type="dxa" w:w="3726"/>
            <w:vAlign w:val="top"/>
            <w:shd w:fill="243944"/>
            <w:tcMar>
              <w:top w:w="90" w:type="dxa"/>
              <w:left w:w="90" w:type="dxa"/>
              <w:bottom w:w="90" w:type="dxa"/>
              <w:right w:w="90" w:type="dxa"/>
            </w:tcMar>
          </w:tcPr>
          <w:p>
            <w:pPr>
              <w:pStyle w:val="TableHead"/>
            </w:pPr>
            <w:r>
              <w:t>Later extension</w:t>
            </w:r>
          </w:p>
        </w:tc>
      </w:tr>
      <w:tr>
        <w:trPr>
          <w:cantSplit/>
        </w:trPr>
        <w:tc>
          <w:tcPr>
            <w:tcW w:type="dxa" w:w="2218"/>
            <w:vAlign w:val="top"/>
            <w:shd w:fill="F0F5F5"/>
            <w:tcMar>
              <w:top w:w="90" w:type="dxa"/>
              <w:left w:w="90" w:type="dxa"/>
              <w:bottom w:w="90" w:type="dxa"/>
              <w:right w:w="90" w:type="dxa"/>
            </w:tcMar>
          </w:tcPr>
          <w:p>
            <w:pPr>
              <w:pStyle w:val="TableText"/>
            </w:pPr>
            <w:r>
              <w:t>Requirement source</w:t>
            </w:r>
          </w:p>
        </w:tc>
        <w:tc>
          <w:tcPr>
            <w:tcW w:type="dxa" w:w="3715"/>
            <w:vAlign w:val="top"/>
            <w:shd w:fill="F0F5F5"/>
            <w:tcMar>
              <w:top w:w="90" w:type="dxa"/>
              <w:left w:w="90" w:type="dxa"/>
              <w:bottom w:w="90" w:type="dxa"/>
              <w:right w:w="90" w:type="dxa"/>
            </w:tcMar>
          </w:tcPr>
          <w:p>
            <w:pPr>
              <w:pStyle w:val="TableText"/>
            </w:pPr>
            <w:r>
              <w:t>Authored scenario supplies request identity, destination, lanes, targets and activation/closure conditions.</w:t>
            </w:r>
          </w:p>
        </w:tc>
        <w:tc>
          <w:tcPr>
            <w:tcW w:type="dxa" w:w="3726"/>
            <w:vAlign w:val="top"/>
            <w:shd w:fill="F0F5F5"/>
            <w:tcMar>
              <w:top w:w="90" w:type="dxa"/>
              <w:left w:w="90" w:type="dxa"/>
              <w:bottom w:w="90" w:type="dxa"/>
              <w:right w:w="90" w:type="dxa"/>
            </w:tcMar>
          </w:tcPr>
          <w:p>
            <w:pPr>
              <w:pStyle w:val="TableText"/>
            </w:pPr>
            <w:r>
              <w:t>Patient state, Kitchen demand rules and actual team formation can replace controlled inputs.</w:t>
            </w:r>
          </w:p>
        </w:tc>
      </w:tr>
      <w:tr>
        <w:trPr>
          <w:cantSplit/>
        </w:trPr>
        <w:tc>
          <w:tcPr>
            <w:tcW w:type="dxa" w:w="2218"/>
            <w:vAlign w:val="top"/>
            <w:shd w:fill="FAFBFC"/>
            <w:tcMar>
              <w:top w:w="90" w:type="dxa"/>
              <w:left w:w="90" w:type="dxa"/>
              <w:bottom w:w="90" w:type="dxa"/>
              <w:right w:w="90" w:type="dxa"/>
            </w:tcMar>
          </w:tcPr>
          <w:p>
            <w:pPr>
              <w:pStyle w:val="TableText"/>
            </w:pPr>
            <w:r>
              <w:t>Request state</w:t>
            </w:r>
          </w:p>
        </w:tc>
        <w:tc>
          <w:tcPr>
            <w:tcW w:type="dxa" w:w="3715"/>
            <w:vAlign w:val="top"/>
            <w:shd w:fill="FAFBFC"/>
            <w:tcMar>
              <w:top w:w="90" w:type="dxa"/>
              <w:left w:w="90" w:type="dxa"/>
              <w:bottom w:w="90" w:type="dxa"/>
              <w:right w:w="90" w:type="dxa"/>
            </w:tcMar>
          </w:tcPr>
          <w:p>
            <w:pPr>
              <w:pStyle w:val="TableText"/>
            </w:pPr>
            <w:r>
              <w:t>Owns one persistent request’s targets, accepted contributions and lifecycle.</w:t>
            </w:r>
          </w:p>
        </w:tc>
        <w:tc>
          <w:tcPr>
            <w:tcW w:type="dxa" w:w="3726"/>
            <w:vAlign w:val="top"/>
            <w:shd w:fill="FAFBFC"/>
            <w:tcMar>
              <w:top w:w="90" w:type="dxa"/>
              <w:left w:w="90" w:type="dxa"/>
              <w:bottom w:w="90" w:type="dxa"/>
              <w:right w:w="90" w:type="dxa"/>
            </w:tcMar>
          </w:tcPr>
          <w:p>
            <w:pPr>
              <w:pStyle w:val="TableText"/>
            </w:pPr>
            <w:r>
              <w:t>Same state supports richer outcomes; it is not re-created from its definition on load.</w:t>
            </w:r>
          </w:p>
        </w:tc>
      </w:tr>
      <w:tr>
        <w:trPr>
          <w:cantSplit/>
        </w:trPr>
        <w:tc>
          <w:tcPr>
            <w:tcW w:type="dxa" w:w="2218"/>
            <w:vAlign w:val="top"/>
            <w:shd w:fill="F0F5F5"/>
            <w:tcMar>
              <w:top w:w="90" w:type="dxa"/>
              <w:left w:w="90" w:type="dxa"/>
              <w:bottom w:w="90" w:type="dxa"/>
              <w:right w:w="90" w:type="dxa"/>
            </w:tcMar>
          </w:tcPr>
          <w:p>
            <w:pPr>
              <w:pStyle w:val="TableText"/>
            </w:pPr>
            <w:r>
              <w:t>Submission transaction</w:t>
            </w:r>
          </w:p>
        </w:tc>
        <w:tc>
          <w:tcPr>
            <w:tcW w:type="dxa" w:w="3715"/>
            <w:vAlign w:val="top"/>
            <w:shd w:fill="F0F5F5"/>
            <w:tcMar>
              <w:top w:w="90" w:type="dxa"/>
              <w:left w:w="90" w:type="dxa"/>
              <w:bottom w:w="90" w:type="dxa"/>
              <w:right w:w="90" w:type="dxa"/>
            </w:tcMar>
          </w:tcPr>
          <w:p>
            <w:pPr>
              <w:pStyle w:val="TableText"/>
            </w:pPr>
            <w:r>
              <w:t>Validates and commits an exact item plus destination credit as one operation.</w:t>
            </w:r>
          </w:p>
        </w:tc>
        <w:tc>
          <w:tcPr>
            <w:tcW w:type="dxa" w:w="3726"/>
            <w:vAlign w:val="top"/>
            <w:shd w:fill="F0F5F5"/>
            <w:tcMar>
              <w:top w:w="90" w:type="dxa"/>
              <w:left w:w="90" w:type="dxa"/>
              <w:bottom w:w="90" w:type="dxa"/>
              <w:right w:w="90" w:type="dxa"/>
            </w:tcMar>
          </w:tcPr>
          <w:p>
            <w:pPr>
              <w:pStyle w:val="TableText"/>
            </w:pPr>
            <w:r>
              <w:t>Other material consumers reuse the transfer boundary, not a copy of carrying logic.</w:t>
            </w:r>
          </w:p>
        </w:tc>
      </w:tr>
      <w:tr>
        <w:trPr>
          <w:cantSplit/>
        </w:trPr>
        <w:tc>
          <w:tcPr>
            <w:tcW w:type="dxa" w:w="2218"/>
            <w:vAlign w:val="top"/>
            <w:shd w:fill="FAFBFC"/>
            <w:tcMar>
              <w:top w:w="90" w:type="dxa"/>
              <w:left w:w="90" w:type="dxa"/>
              <w:bottom w:w="90" w:type="dxa"/>
              <w:right w:w="90" w:type="dxa"/>
            </w:tcMar>
          </w:tcPr>
          <w:p>
            <w:pPr>
              <w:pStyle w:val="TableText"/>
            </w:pPr>
            <w:r>
              <w:t>Resolution / OutcomeProfile</w:t>
            </w:r>
          </w:p>
        </w:tc>
        <w:tc>
          <w:tcPr>
            <w:tcW w:type="dxa" w:w="3715"/>
            <w:vAlign w:val="top"/>
            <w:shd w:fill="FAFBFC"/>
            <w:tcMar>
              <w:top w:w="90" w:type="dxa"/>
              <w:left w:w="90" w:type="dxa"/>
              <w:bottom w:w="90" w:type="dxa"/>
              <w:right w:w="90" w:type="dxa"/>
            </w:tcMar>
          </w:tcPr>
          <w:p>
            <w:pPr>
              <w:pStyle w:val="TableText"/>
            </w:pPr>
            <w:r>
              <w:t>Produces durable required/supplied/unmet results.</w:t>
            </w:r>
          </w:p>
        </w:tc>
        <w:tc>
          <w:tcPr>
            <w:tcW w:type="dxa" w:w="3726"/>
            <w:vAlign w:val="top"/>
            <w:shd w:fill="FAFBFC"/>
            <w:tcMar>
              <w:top w:w="90" w:type="dxa"/>
              <w:left w:w="90" w:type="dxa"/>
              <w:bottom w:w="90" w:type="dxa"/>
              <w:right w:w="90" w:type="dxa"/>
            </w:tcMar>
          </w:tcPr>
          <w:p>
            <w:pPr>
              <w:pStyle w:val="TableText"/>
            </w:pPr>
            <w:r>
              <w:t>Treatment, Meal Coverage effects and expedition outcomes consume those results later.</w:t>
            </w:r>
          </w:p>
        </w:tc>
      </w:tr>
      <w:tr>
        <w:trPr>
          <w:cantSplit/>
        </w:trPr>
        <w:tc>
          <w:tcPr>
            <w:tcW w:type="dxa" w:w="2218"/>
            <w:vAlign w:val="top"/>
            <w:shd w:fill="F0F5F5"/>
            <w:tcMar>
              <w:top w:w="90" w:type="dxa"/>
              <w:left w:w="90" w:type="dxa"/>
              <w:bottom w:w="90" w:type="dxa"/>
              <w:right w:w="90" w:type="dxa"/>
            </w:tcMar>
          </w:tcPr>
          <w:p>
            <w:pPr>
              <w:pStyle w:val="TableText"/>
            </w:pPr>
            <w:r>
              <w:t>Run persistence</w:t>
            </w:r>
          </w:p>
        </w:tc>
        <w:tc>
          <w:tcPr>
            <w:tcW w:type="dxa" w:w="3715"/>
            <w:vAlign w:val="top"/>
            <w:shd w:fill="F0F5F5"/>
            <w:tcMar>
              <w:top w:w="90" w:type="dxa"/>
              <w:left w:w="90" w:type="dxa"/>
              <w:bottom w:w="90" w:type="dxa"/>
              <w:right w:w="90" w:type="dxa"/>
            </w:tcMar>
          </w:tcPr>
          <w:p>
            <w:pPr>
              <w:pStyle w:val="TableText"/>
            </w:pPr>
            <w:r>
              <w:t>Captures and restores a coherent set of live gameplay state.</w:t>
            </w:r>
          </w:p>
        </w:tc>
        <w:tc>
          <w:tcPr>
            <w:tcW w:type="dxa" w:w="3726"/>
            <w:vAlign w:val="top"/>
            <w:shd w:fill="F0F5F5"/>
            <w:tcMar>
              <w:top w:w="90" w:type="dxa"/>
              <w:left w:w="90" w:type="dxa"/>
              <w:bottom w:w="90" w:type="dxa"/>
              <w:right w:w="90" w:type="dxa"/>
            </w:tcMar>
          </w:tcPr>
          <w:p>
            <w:pPr>
              <w:pStyle w:val="TableText"/>
            </w:pPr>
            <w:r>
              <w:t>Additional owners extend the saved state without making presentation nodes authoritative.</w:t>
            </w:r>
          </w:p>
        </w:tc>
      </w:tr>
      <w:tr>
        <w:trPr>
          <w:cantSplit/>
        </w:trPr>
        <w:tc>
          <w:tcPr>
            <w:tcW w:type="dxa" w:w="2218"/>
            <w:vAlign w:val="top"/>
            <w:shd w:fill="FAFBFC"/>
            <w:tcMar>
              <w:top w:w="90" w:type="dxa"/>
              <w:left w:w="90" w:type="dxa"/>
              <w:bottom w:w="90" w:type="dxa"/>
              <w:right w:w="90" w:type="dxa"/>
            </w:tcMar>
          </w:tcPr>
          <w:p>
            <w:pPr>
              <w:pStyle w:val="TableText"/>
            </w:pPr>
            <w:r>
              <w:t>Simulation clock / scheduler</w:t>
            </w:r>
          </w:p>
        </w:tc>
        <w:tc>
          <w:tcPr>
            <w:tcW w:type="dxa" w:w="3715"/>
            <w:vAlign w:val="top"/>
            <w:shd w:fill="FAFBFC"/>
            <w:tcMar>
              <w:top w:w="90" w:type="dxa"/>
              <w:left w:w="90" w:type="dxa"/>
              <w:bottom w:w="90" w:type="dxa"/>
              <w:right w:w="90" w:type="dxa"/>
            </w:tcMar>
          </w:tcPr>
          <w:p>
            <w:pPr>
              <w:pStyle w:val="TableText"/>
            </w:pPr>
            <w:r>
              <w:t>Activated in the clock stage; owns chronology and configured events.</w:t>
            </w:r>
          </w:p>
        </w:tc>
        <w:tc>
          <w:tcPr>
            <w:tcW w:type="dxa" w:w="3726"/>
            <w:vAlign w:val="top"/>
            <w:shd w:fill="FAFBFC"/>
            <w:tcMar>
              <w:top w:w="90" w:type="dxa"/>
              <w:left w:w="90" w:type="dxa"/>
              <w:bottom w:w="90" w:type="dxa"/>
              <w:right w:w="90" w:type="dxa"/>
            </w:tcMar>
          </w:tcPr>
          <w:p>
            <w:pPr>
              <w:pStyle w:val="TableText"/>
            </w:pPr>
            <w:r>
              <w:t>Real demand/return producers use the same timeline later.</w:t>
            </w:r>
          </w:p>
        </w:tc>
      </w:tr>
      <w:tr>
        <w:trPr>
          <w:cantSplit/>
        </w:trPr>
        <w:tc>
          <w:tcPr>
            <w:tcW w:type="dxa" w:w="2218"/>
            <w:vAlign w:val="top"/>
            <w:shd w:fill="F0F5F5"/>
            <w:tcMar>
              <w:top w:w="90" w:type="dxa"/>
              <w:left w:w="90" w:type="dxa"/>
              <w:bottom w:w="90" w:type="dxa"/>
              <w:right w:w="90" w:type="dxa"/>
            </w:tcMar>
          </w:tcPr>
          <w:p>
            <w:pPr>
              <w:pStyle w:val="TableText"/>
            </w:pPr>
            <w:r>
              <w:t>Presentation</w:t>
            </w:r>
          </w:p>
        </w:tc>
        <w:tc>
          <w:tcPr>
            <w:tcW w:type="dxa" w:w="3715"/>
            <w:vAlign w:val="top"/>
            <w:shd w:fill="F0F5F5"/>
            <w:tcMar>
              <w:top w:w="90" w:type="dxa"/>
              <w:left w:w="90" w:type="dxa"/>
              <w:bottom w:w="90" w:type="dxa"/>
              <w:right w:w="90" w:type="dxa"/>
            </w:tcMar>
          </w:tcPr>
          <w:p>
            <w:pPr>
              <w:pStyle w:val="TableText"/>
            </w:pPr>
            <w:r>
              <w:t>HUD, menu, physical interface feedback and lift theatre interpret gameplay state.</w:t>
            </w:r>
          </w:p>
        </w:tc>
        <w:tc>
          <w:tcPr>
            <w:tcW w:type="dxa" w:w="3726"/>
            <w:vAlign w:val="top"/>
            <w:shd w:fill="F0F5F5"/>
            <w:tcMar>
              <w:top w:w="90" w:type="dxa"/>
              <w:left w:w="90" w:type="dxa"/>
              <w:bottom w:w="90" w:type="dxa"/>
              <w:right w:w="90" w:type="dxa"/>
            </w:tcMar>
          </w:tcPr>
          <w:p>
            <w:pPr>
              <w:pStyle w:val="TableText"/>
            </w:pPr>
            <w:r>
              <w:t>Future in-world clocks read the same time source; rendering is not a second timer.</w:t>
            </w:r>
          </w:p>
        </w:tc>
      </w:tr>
    </w:tbl>
    <w:p>
      <w:pPr>
        <w:pStyle w:val="Small"/>
        <w:spacing w:after="0"/>
      </w:pPr>
    </w:p>
    <w:p>
      <w:pPr>
        <w:pStyle w:val="Heading2"/>
      </w:pPr>
      <w:r>
        <w:t>4.1 Existing type and ownership boundaries</w:t>
      </w:r>
    </w:p>
    <w:p>
      <w:r>
        <w:t>ItemDefinition already exposes primary Utility, destination-specific overrides, Bulk and a separate Storage Category. ItemInstance remains durable physical identity; WorldItem and held/HUD objects are representations. Use the existing contextual Utility path rather than treating Storage Category as a destination’s consumption rule. Current data support does not establish that every scenario item has been economically balanced or validated for the new consumers. [SRC15; GDD §6]</w:t>
      </w:r>
    </w:p>
    <w:p>
      <w:r>
        <w:t>A controlled requirement of 12 Medical Utility can later be replaced by patient-derived demand of 12 without changing the collector. That is the intended extensibility test—not a mandate for a large generic framework. [D02]</w:t>
      </w:r>
    </w:p>
    <w:p>
      <w:pPr>
        <w:pStyle w:val="Source"/>
      </w:pPr>
      <w:r>
        <w:t>Basis: [D02]; [GDD §§6, 8.4, 18.3–18.4]; [SRC15]; [ER14 §12].</w:t>
      </w:r>
    </w:p>
    <w:p>
      <w:r>
        <w:br w:type="page"/>
      </w:r>
    </w:p>
    <w:p>
      <w:pPr>
        <w:pStyle w:val="Kicker"/>
      </w:pPr>
      <w:r>
        <w:t>IRREVERSIBLE OWNERSHIP</w:t>
      </w:r>
    </w:p>
    <w:p>
      <w:bookmarkStart w:id="6" w:name="mvp_6"/>
      <w:pPr>
        <w:pStyle w:val="Heading1"/>
      </w:pPr>
      <w:r>
        <w:t>5. Submission &amp; request accounting</w:t>
      </w:r>
      <w:bookmarkEnd w:id="6"/>
    </w:p>
    <w:p>
      <w:pPr>
        <w:pStyle w:val="Callout"/>
        <w:shd w:fill="EDF3F3"/>
        <w:spacing w:before="120" w:after="200"/>
        <w:ind w:left="144" w:right="144"/>
      </w:pPr>
      <w:r>
        <w:rPr>
          <w:b/>
        </w:rPr>
        <w:t>Either the player retains the item and the request receives nothing, or the exact item is committed and its contribution is credited once.</w:t>
      </w:r>
      <w:r>
        <w:t xml:space="preserve"> A later request resolution does not consume that item a second time. [D02]</w:t>
      </w:r>
    </w:p>
    <w:p>
      <w:pPr>
        <w:pStyle w:val="Heading2"/>
      </w:pPr>
      <w:r>
        <w:t>5.1 Shared player operation</w:t>
      </w:r>
    </w:p>
    <w:p>
      <w:r>
        <w:t>The player approaches the relevant collection proxy carrying physical supplies. Eligibility depends on the destination’s active request, not on Storage Category or proximity. Entering a room, targeting a proxy or opening the panel never consumes an item; ineligible, closed and full requests are not extra storage. [GDD §§4.8, 7.1, 8.2]</w:t>
      </w:r>
    </w:p>
    <w:p>
      <w:r>
        <w:t>At the collection proxy, first E opens the non-pausing contribution panel without consuming; a second distinct E submits only the selected carried item, if eligible. Holding E never repeats or selects “best” bundle contents. Wheel/number selection updates the preview without submission. Each item affects at most one Utility lane per destination. The panel refreshes after each successful contribution. The existing hold-E for reversible storage is unchanged. [D13–D15]</w:t>
      </w:r>
    </w:p>
    <w:p>
      <w:pPr>
        <w:pStyle w:val="Heading2"/>
      </w:pPr>
      <w:r>
        <w:t>5.1.1 Projected contribution and ineligible state</w:t>
      </w:r>
    </w:p>
    <w:p>
      <w:pPr/>
      <w:r>
        <w:t>Preview the held item’s impact before spending: Food 5/12 with +3 soup displays projected 8/12, five solid committed pips, three brighter prospective pips and +3. A subtle green highlight or pulse may identify the impacted lane, but preview and committed gain must remain distinguishable. If the item cannot contribute, show no new pips, a red bar border/highlight and “Selected item not eligible” instead of remaining-after-submission. No green gain for ineligible items. [D14–D15]</w:t>
      </w:r>
    </w:p>
    <w:p>
      <w:pPr/>
      <w:r>
        <w:t>Submitting spends the whole item and credits only min(Utility, remaining). At 11/12, a +8 item previews 12/12, +1 applied and 7 wasted; no excess is retained. Show waste before E. Ineligible, full or closed submissions consume nothing. Medical/Kitchen use cap-and-waste; Loadout overfill remains open for M4. [D14; P01]</w:t>
      </w:r>
    </w:p>
    <w:p>
      <w:pPr>
        <w:pStyle w:val="Heading2"/>
      </w:pPr>
      <w:r>
        <w:t>5.2 Transaction and save boundary</w:t>
      </w:r>
    </w:p>
    <w:p>
      <w:r>
        <w:t>Validate the selected item and current request at commit time. Removal, credited Utility and optional loadout Bulk must form one coherent operation; rejection preserves the original state. A save must not capture a half-completed transfer. This is required for ordinary continuation, not a crash journal. [D02–D03]</w:t>
      </w:r>
    </w:p>
    <w:p>
      <w:r>
        <w:t>The engineering review found that carrying item_added, item_removed and contents_changed signals describe collection mutation and can precede success or rollback of the enclosing transfer. They are not authoritative consumption notifications. Irreversible request credit must follow the successful transaction boundary; no speculative global event framework is required. [ER-RESULT §4; CR15]</w:t>
      </w:r>
    </w:p>
    <w:p>
      <w:pPr>
        <w:pStyle w:val="Heading2"/>
      </w:pPr>
      <w:r>
        <w:t>5.3 Persistent result, not a retrievable reserve</w:t>
      </w:r>
    </w:p>
    <w:p>
      <w:r>
        <w:t>After submission, the request holds the credited contribution and exact spent-item ID; the source is no longer retrievable. Previously credited amounts do not change when future item values are retuned. Partial fulfillment is valid. A completed request closes once, recording its target, credited total and unmet amount. Continuing a saved closed request must neither re-credit it nor restore consumed items. [GDD §§3.1, 8.4; D02–D03, D14]</w:t>
      </w:r>
    </w:p>
    <w:p>
      <w:r>
        <w:t>For the initial consumers, resolution reports required, supplied and unmet amounts. It does not claim treatment, recruitment, death, or expedition benefits. Adding those outcome consumers later must not require replacing physical submission or request-instance persistence. [D01–D02]</w:t>
      </w:r>
    </w:p>
    <w:p>
      <w:pPr>
        <w:pStyle w:val="Source"/>
      </w:pPr>
      <w:r>
        <w:t>Basis: [GDD §§3.1, 4.8, 6.3, 7.1–7.2, 8.2–8.4]; [D01–D03]; [ER-RESULT §4]; [CR15].</w:t>
      </w:r>
    </w:p>
    <w:p>
      <w:pPr>
        <w:pStyle w:val="Kicker"/>
        <w:pageBreakBefore/>
      </w:pPr>
      <w:r>
        <w:t>6.1  SINGLE RUN CONTRACT</w:t>
      </w:r>
    </w:p>
    <w:p>
      <w:bookmarkStart w:id="7" w:name="mvp_7"/>
      <w:pPr>
        <w:pStyle w:val="Heading1"/>
      </w:pPr>
      <w:r>
        <w:t>6. Persistence &amp; continuation</w:t>
      </w:r>
      <w:bookmarkEnd w:id="7"/>
    </w:p>
    <w:tbl>
      <w:tblPr>
        <w:tblW w:type="auto" w:w="0"/>
        <w:jc w:val="center"/>
        <w:tblLayout w:type="fixed"/>
        <w:tblLook w:firstColumn="1" w:firstRow="1" w:lastColumn="0" w:lastRow="0" w:noHBand="0" w:noVBand="1" w:val="04A0"/>
      </w:tblPr>
      <w:tblGrid>
        <w:gridCol w:w="2506"/>
        <w:gridCol w:w="7153"/>
      </w:tblGrid>
      <w:tr>
        <w:trPr>
          <w:cantSplit/>
          <w:tblHeader/>
        </w:trPr>
        <w:tc>
          <w:tcPr>
            <w:tcW w:type="dxa" w:w="2506"/>
            <w:vAlign w:val="top"/>
            <w:shd w:fill="243944"/>
            <w:tcMar>
              <w:top w:w="90" w:type="dxa"/>
              <w:left w:w="90" w:type="dxa"/>
              <w:bottom w:w="90" w:type="dxa"/>
              <w:right w:w="90" w:type="dxa"/>
            </w:tcMar>
          </w:tcPr>
          <w:p>
            <w:pPr>
              <w:pStyle w:val="TableHead"/>
            </w:pPr>
            <w:r>
              <w:t>Requirement</w:t>
            </w:r>
          </w:p>
        </w:tc>
        <w:tc>
          <w:tcPr>
            <w:tcW w:type="dxa" w:w="7153"/>
            <w:vAlign w:val="top"/>
            <w:shd w:fill="243944"/>
            <w:tcMar>
              <w:top w:w="90" w:type="dxa"/>
              <w:left w:w="90" w:type="dxa"/>
              <w:bottom w:w="90" w:type="dxa"/>
              <w:right w:w="90" w:type="dxa"/>
            </w:tcMar>
          </w:tcPr>
          <w:p>
            <w:pPr>
              <w:pStyle w:val="TableHead"/>
            </w:pPr>
            <w:r>
              <w:t>First implementation obligation</w:t>
            </w:r>
          </w:p>
        </w:tc>
      </w:tr>
      <w:tr>
        <w:trPr>
          <w:cantSplit/>
        </w:trPr>
        <w:tc>
          <w:tcPr>
            <w:tcW w:type="dxa" w:w="2506"/>
            <w:vAlign w:val="top"/>
            <w:shd w:fill="F0F5F5"/>
            <w:tcMar>
              <w:top w:w="90" w:type="dxa"/>
              <w:left w:w="90" w:type="dxa"/>
              <w:bottom w:w="90" w:type="dxa"/>
              <w:right w:w="90" w:type="dxa"/>
            </w:tcMar>
          </w:tcPr>
          <w:p>
            <w:pPr>
              <w:pStyle w:val="TableText"/>
            </w:pPr>
            <w:r>
              <w:t>Across day transitions</w:t>
            </w:r>
          </w:p>
        </w:tc>
        <w:tc>
          <w:tcPr>
            <w:tcW w:type="dxa" w:w="7153"/>
            <w:vAlign w:val="top"/>
            <w:shd w:fill="F0F5F5"/>
            <w:tcMar>
              <w:top w:w="90" w:type="dxa"/>
              <w:left w:w="90" w:type="dxa"/>
              <w:bottom w:w="90" w:type="dxa"/>
              <w:right w:w="90" w:type="dxa"/>
            </w:tcMar>
          </w:tcPr>
          <w:p>
            <w:pPr>
              <w:pStyle w:val="TableText"/>
            </w:pPr>
            <w:r>
              <w:t>Keep supplies and their organization. Apply only configured request/event/day changes; do not reset or tidy stock.</w:t>
            </w:r>
          </w:p>
        </w:tc>
      </w:tr>
      <w:tr>
        <w:trPr>
          <w:cantSplit/>
        </w:trPr>
        <w:tc>
          <w:tcPr>
            <w:tcW w:type="dxa" w:w="2506"/>
            <w:vAlign w:val="top"/>
            <w:shd w:fill="FAFBFC"/>
            <w:tcMar>
              <w:top w:w="90" w:type="dxa"/>
              <w:left w:w="90" w:type="dxa"/>
              <w:bottom w:w="90" w:type="dxa"/>
              <w:right w:w="90" w:type="dxa"/>
            </w:tcMar>
          </w:tcPr>
          <w:p>
            <w:pPr>
              <w:pStyle w:val="TableText"/>
            </w:pPr>
            <w:r>
              <w:t>Manual save and resume</w:t>
            </w:r>
          </w:p>
        </w:tc>
        <w:tc>
          <w:tcPr>
            <w:tcW w:type="dxa" w:w="7153"/>
            <w:vAlign w:val="top"/>
            <w:shd w:fill="FAFBFC"/>
            <w:tcMar>
              <w:top w:w="90" w:type="dxa"/>
              <w:left w:w="90" w:type="dxa"/>
              <w:bottom w:w="90" w:type="dxa"/>
              <w:right w:w="90" w:type="dxa"/>
            </w:tcMar>
          </w:tcPr>
          <w:p>
            <w:pPr>
              <w:pStyle w:val="TableText"/>
            </w:pPr>
            <w:r>
              <w:t>Save a coherent current state; close/reopen the application; Continue restores the same gameplay state.</w:t>
            </w:r>
          </w:p>
        </w:tc>
      </w:tr>
      <w:tr>
        <w:trPr>
          <w:cantSplit/>
        </w:trPr>
        <w:tc>
          <w:tcPr>
            <w:tcW w:type="dxa" w:w="2506"/>
            <w:vAlign w:val="top"/>
            <w:shd w:fill="F0F5F5"/>
            <w:tcMar>
              <w:top w:w="90" w:type="dxa"/>
              <w:left w:w="90" w:type="dxa"/>
              <w:bottom w:w="90" w:type="dxa"/>
              <w:right w:w="90" w:type="dxa"/>
            </w:tcMar>
          </w:tcPr>
          <w:p>
            <w:pPr>
              <w:pStyle w:val="TableText"/>
            </w:pPr>
            <w:r>
              <w:t>One save slot</w:t>
            </w:r>
          </w:p>
        </w:tc>
        <w:tc>
          <w:tcPr>
            <w:tcW w:type="dxa" w:w="7153"/>
            <w:vAlign w:val="top"/>
            <w:shd w:fill="F0F5F5"/>
            <w:tcMar>
              <w:top w:w="90" w:type="dxa"/>
              <w:left w:w="90" w:type="dxa"/>
              <w:bottom w:w="90" w:type="dxa"/>
              <w:right w:w="90" w:type="dxa"/>
            </w:tcMar>
          </w:tcPr>
          <w:p>
            <w:pPr>
              <w:pStyle w:val="TableText"/>
            </w:pPr>
            <w:r>
              <w:t>Manual saving and midnight auto-save update the same ongoing run.</w:t>
            </w:r>
          </w:p>
        </w:tc>
      </w:tr>
      <w:tr>
        <w:trPr>
          <w:cantSplit/>
        </w:trPr>
        <w:tc>
          <w:tcPr>
            <w:tcW w:type="dxa" w:w="2506"/>
            <w:vAlign w:val="top"/>
            <w:shd w:fill="FAFBFC"/>
            <w:tcMar>
              <w:top w:w="90" w:type="dxa"/>
              <w:left w:w="90" w:type="dxa"/>
              <w:bottom w:w="90" w:type="dxa"/>
              <w:right w:w="90" w:type="dxa"/>
            </w:tcMar>
          </w:tcPr>
          <w:p>
            <w:pPr>
              <w:pStyle w:val="TableText"/>
            </w:pPr>
            <w:r>
              <w:t>Explicit New Run</w:t>
            </w:r>
          </w:p>
        </w:tc>
        <w:tc>
          <w:tcPr>
            <w:tcW w:type="dxa" w:w="7153"/>
            <w:vAlign w:val="top"/>
            <w:shd w:fill="FAFBFC"/>
            <w:tcMar>
              <w:top w:w="90" w:type="dxa"/>
              <w:left w:w="90" w:type="dxa"/>
              <w:bottom w:w="90" w:type="dxa"/>
              <w:right w:w="90" w:type="dxa"/>
            </w:tcMar>
          </w:tcPr>
          <w:p>
            <w:pPr>
              <w:pStyle w:val="TableText"/>
            </w:pPr>
            <w:r>
              <w:t>Starting stock is created once for a new run. Continue is not a fresh initialization.</w:t>
            </w:r>
          </w:p>
        </w:tc>
      </w:tr>
      <w:tr>
        <w:trPr>
          <w:cantSplit/>
        </w:trPr>
        <w:tc>
          <w:tcPr>
            <w:tcW w:type="dxa" w:w="2506"/>
            <w:vAlign w:val="top"/>
            <w:shd w:fill="F0F5F5"/>
            <w:tcMar>
              <w:top w:w="90" w:type="dxa"/>
              <w:left w:w="90" w:type="dxa"/>
              <w:bottom w:w="90" w:type="dxa"/>
              <w:right w:w="90" w:type="dxa"/>
            </w:tcMar>
          </w:tcPr>
          <w:p>
            <w:pPr>
              <w:pStyle w:val="TableText"/>
            </w:pPr>
            <w:r>
              <w:t>Midnight auto-save</w:t>
            </w:r>
          </w:p>
        </w:tc>
        <w:tc>
          <w:tcPr>
            <w:tcW w:type="dxa" w:w="7153"/>
            <w:vAlign w:val="top"/>
            <w:shd w:fill="F0F5F5"/>
            <w:tcMar>
              <w:top w:w="90" w:type="dxa"/>
              <w:left w:w="90" w:type="dxa"/>
              <w:bottom w:w="90" w:type="dxa"/>
              <w:right w:w="90" w:type="dxa"/>
            </w:tcMar>
          </w:tcPr>
          <w:p>
            <w:pPr>
              <w:pStyle w:val="TableText"/>
            </w:pPr>
            <w:r>
              <w:t>From the clock stage, save after transition calculations using the same save operation as manual saving.</w:t>
            </w:r>
          </w:p>
        </w:tc>
      </w:tr>
      <w:tr>
        <w:trPr>
          <w:cantSplit/>
        </w:trPr>
        <w:tc>
          <w:tcPr>
            <w:tcW w:type="dxa" w:w="2506"/>
            <w:vAlign w:val="top"/>
            <w:shd w:fill="FAFBFC"/>
            <w:tcMar>
              <w:top w:w="90" w:type="dxa"/>
              <w:left w:w="90" w:type="dxa"/>
              <w:bottom w:w="90" w:type="dxa"/>
              <w:right w:w="90" w:type="dxa"/>
            </w:tcMar>
          </w:tcPr>
          <w:p>
            <w:pPr>
              <w:pStyle w:val="TableText"/>
            </w:pPr>
            <w:r>
              <w:t>No offline advancement</w:t>
            </w:r>
          </w:p>
        </w:tc>
        <w:tc>
          <w:tcPr>
            <w:tcW w:type="dxa" w:w="7153"/>
            <w:vAlign w:val="top"/>
            <w:shd w:fill="FAFBFC"/>
            <w:tcMar>
              <w:top w:w="90" w:type="dxa"/>
              <w:left w:w="90" w:type="dxa"/>
              <w:bottom w:w="90" w:type="dxa"/>
              <w:right w:w="90" w:type="dxa"/>
            </w:tcMar>
          </w:tcPr>
          <w:p>
            <w:pPr>
              <w:pStyle w:val="TableText"/>
            </w:pPr>
            <w:r>
              <w:t>Time and events do not advance merely because the application was closed.</w:t>
            </w:r>
          </w:p>
        </w:tc>
      </w:tr>
    </w:tbl>
    <w:p>
      <w:pPr>
        <w:pStyle w:val="Small"/>
        <w:spacing w:after="0"/>
      </w:pPr>
    </w:p>
    <w:p>
      <w:pPr>
        <w:pStyle w:val="Heading2"/>
      </w:pPr>
      <w:r>
        <w:t>6.1.1 Deliberately excluded resilience work</w:t>
      </w:r>
    </w:p>
    <w:p>
      <w:r>
        <w:t>The developer explicitly excluded crash safeguards, intentional-save-tampering protection and multiple slots from the first slice. No transaction journal, rotating recovery generations, encryption, anti-rollback system, crash-injection program or recovery UI is required now. The GDD’s stronger full-game save objectives remain later work, not cancelled design. [D03–D04; GDD §§5.6, 18.5]</w:t>
      </w:r>
    </w:p>
    <w:p>
      <w:r>
        <w:t>Unsaved actions may be lost after an unexpected termination. A completed ordinary save/load must nevertheless preserve consistency: spent items cannot remain available, and unfinished requests cannot become newly generated requests. Exact gameplay state is required; exact audio sample or animation-frame restoration is not. [D03; D05]</w:t>
      </w:r>
    </w:p>
    <w:p>
      <w:pPr>
        <w:pStyle w:val="Heading2"/>
      </w:pPr>
      <w:r>
        <w:t>6.1.2 Ordinary failures and scope boundaries</w:t>
      </w:r>
    </w:p>
    <w:p>
      <w:r>
        <w:t>A failed save is visibly reported rather than called successful; Save &amp; Exit does not leave the active run after failure. A failed load must not silently create a replacement run. The midnight warning and previous successfully saved state should remain available after an ordinary reported write failure; this does not promise resilience against crashes, power loss or manual corruption. [D03–D04; D08–D09]</w:t>
      </w:r>
    </w:p>
    <w:p>
      <w:r>
        <w:t>The only manual save action is Save &amp; Exit. There is no separate player Save button, including in the intended full game; Ironman-like journaling is later work. Continue is greyed out with no valid saved run. M2 adds midnight auto-save through the same operation. Recommended filename: Save_&lt;RUN_ID&gt;_DDMMYY-HH-MM.json (real-world local timestamp; Windows-safe hyphens). A versioned JSON snapshot under Godot user://saves/ is a preferred technical default, but Codex may choose an equivalent format after inspecting the local sources. [D03, D11]</w:t>
      </w:r>
    </w:p>
    <w:p>
      <w:pPr/>
      <w:r>
        <w:t>One slot means one active continuation, not selectable timestamped archives; each successful save updates that run and retires the prior active filename. Keep the run ID stable. Filename time is metadata; exact gameplay time is saved separately. Versioned schema, ordinary decoding/reference checks and clear unsupported-save errors are required. A failed load must not launch a new run; a failed write retains the last successful save. No journal, crash-recovery generations or anti-tamper system are included. [D03, D11; P01]</w:t>
      </w:r>
    </w:p>
    <w:p>
      <w:pPr>
        <w:pStyle w:val="Source"/>
      </w:pPr>
      <w:r>
        <w:t>Basis: [D03–D05, D08–D09]; [GDD §§5.3–5.6, 18.5].</w:t>
      </w:r>
    </w:p>
    <w:p>
      <w:r>
        <w:br w:type="page"/>
      </w:r>
    </w:p>
    <w:p>
      <w:pPr>
        <w:pStyle w:val="Kicker"/>
      </w:pPr>
      <w:r>
        <w:t>6.2  STATE THAT MUST SURVIVE</w:t>
      </w:r>
    </w:p>
    <w:p>
      <w:bookmarkStart w:id="8" w:name="mvp_8"/>
      <w:pPr>
        <w:pStyle w:val="Heading1"/>
      </w:pPr>
      <w:r>
        <w:t>6. Persistence &amp; continuation</w:t>
      </w:r>
      <w:bookmarkEnd w:id="8"/>
    </w:p>
    <w:p>
      <w:r>
        <w:t>The preservation inventory below is confirmed at the gameplay-contract level. It is not an assertion that serializers for these owners already exist. Preserve the state present in each delivered stage; do not fabricate unimplemented patient, roster or outcome systems. [D02–D03]</w:t>
      </w:r>
    </w:p>
    <w:tbl>
      <w:tblPr>
        <w:tblW w:type="auto" w:w="0"/>
        <w:jc w:val="center"/>
        <w:tblLayout w:type="fixed"/>
        <w:tblLook w:firstColumn="1" w:firstRow="1" w:lastColumn="0" w:lastRow="0" w:noHBand="0" w:noVBand="1" w:val="04A0"/>
      </w:tblPr>
      <w:tblGrid>
        <w:gridCol w:w="2376"/>
        <w:gridCol w:w="7283"/>
      </w:tblGrid>
      <w:tr>
        <w:trPr>
          <w:cantSplit/>
          <w:tblHeader/>
        </w:trPr>
        <w:tc>
          <w:tcPr>
            <w:tcW w:type="dxa" w:w="2376"/>
            <w:vAlign w:val="top"/>
            <w:shd w:fill="243944"/>
            <w:tcMar>
              <w:top w:w="90" w:type="dxa"/>
              <w:left w:w="90" w:type="dxa"/>
              <w:bottom w:w="90" w:type="dxa"/>
              <w:right w:w="90" w:type="dxa"/>
            </w:tcMar>
          </w:tcPr>
          <w:p>
            <w:pPr>
              <w:pStyle w:val="TableHead"/>
            </w:pPr>
            <w:r>
              <w:t>State group</w:t>
            </w:r>
          </w:p>
        </w:tc>
        <w:tc>
          <w:tcPr>
            <w:tcW w:type="dxa" w:w="7283"/>
            <w:vAlign w:val="top"/>
            <w:shd w:fill="243944"/>
            <w:tcMar>
              <w:top w:w="90" w:type="dxa"/>
              <w:left w:w="90" w:type="dxa"/>
              <w:bottom w:w="90" w:type="dxa"/>
              <w:right w:w="90" w:type="dxa"/>
            </w:tcMar>
          </w:tcPr>
          <w:p>
            <w:pPr>
              <w:pStyle w:val="TableHead"/>
            </w:pPr>
            <w:r>
              <w:t>Preserve / restore</w:t>
            </w:r>
          </w:p>
        </w:tc>
      </w:tr>
      <w:tr>
        <w:trPr>
          <w:cantSplit/>
        </w:trPr>
        <w:tc>
          <w:tcPr>
            <w:tcW w:type="dxa" w:w="2376"/>
            <w:vAlign w:val="top"/>
            <w:shd w:fill="F0F5F5"/>
            <w:tcMar>
              <w:top w:w="90" w:type="dxa"/>
              <w:left w:w="90" w:type="dxa"/>
              <w:bottom w:w="90" w:type="dxa"/>
              <w:right w:w="90" w:type="dxa"/>
            </w:tcMar>
          </w:tcPr>
          <w:p>
            <w:pPr>
              <w:pStyle w:val="TableText"/>
            </w:pPr>
            <w:r>
              <w:t>Physical items</w:t>
            </w:r>
          </w:p>
        </w:tc>
        <w:tc>
          <w:tcPr>
            <w:tcW w:type="dxa" w:w="7283"/>
            <w:vAlign w:val="top"/>
            <w:shd w:fill="F0F5F5"/>
            <w:tcMar>
              <w:top w:w="90" w:type="dxa"/>
              <w:left w:w="90" w:type="dxa"/>
              <w:bottom w:w="90" w:type="dxa"/>
              <w:right w:w="90" w:type="dxa"/>
            </w:tcMar>
          </w:tcPr>
          <w:p>
            <w:pPr>
              <w:pStyle w:val="TableText"/>
            </w:pPr>
            <w:r>
              <w:t>Exact item identities, definition references and applicable instance state; one live gameplay owner for each remaining item.</w:t>
            </w:r>
          </w:p>
        </w:tc>
      </w:tr>
      <w:tr>
        <w:trPr>
          <w:cantSplit/>
        </w:trPr>
        <w:tc>
          <w:tcPr>
            <w:tcW w:type="dxa" w:w="2376"/>
            <w:vAlign w:val="top"/>
            <w:shd w:fill="FAFBFC"/>
            <w:tcMar>
              <w:top w:w="90" w:type="dxa"/>
              <w:left w:w="90" w:type="dxa"/>
              <w:bottom w:w="90" w:type="dxa"/>
              <w:right w:w="90" w:type="dxa"/>
            </w:tcMar>
          </w:tcPr>
          <w:p>
            <w:pPr>
              <w:pStyle w:val="TableText"/>
            </w:pPr>
            <w:r>
              <w:t>Carried bundle</w:t>
            </w:r>
          </w:p>
        </w:tc>
        <w:tc>
          <w:tcPr>
            <w:tcW w:type="dxa" w:w="7283"/>
            <w:vAlign w:val="top"/>
            <w:shd w:fill="FAFBFC"/>
            <w:tcMar>
              <w:top w:w="90" w:type="dxa"/>
              <w:left w:w="90" w:type="dxa"/>
              <w:bottom w:w="90" w:type="dxa"/>
              <w:right w:w="90" w:type="dxa"/>
            </w:tcMar>
          </w:tcPr>
          <w:p>
            <w:pPr>
              <w:pStyle w:val="TableText"/>
            </w:pPr>
            <w:r>
              <w:t>Remaining items, slot organization and active selection needed to continue handling coherently.</w:t>
            </w:r>
          </w:p>
        </w:tc>
      </w:tr>
      <w:tr>
        <w:tc>
          <w:tcPr>
            <w:tcW w:type="dxa" w:w="2376"/>
          </w:tcPr>
          <w:p>
            <w:r>
              <w:t>Player / ladder pose</w:t>
            </w:r>
          </w:p>
        </w:tc>
        <w:tc>
          <w:tcPr>
            <w:tcW w:type="dxa" w:w="7283"/>
          </w:tcPr>
          <w:p>
            <w:r>
              <w:t>World position and facing, camera yaw/pitch, ladder identity plus attachment state and height/position if technically feasible; fall back only to the corresponding ladder base while attached, with an explicit documented limitation.</w:t>
            </w:r>
          </w:p>
        </w:tc>
      </w:tr>
      <w:tr>
        <w:trPr>
          <w:cantSplit/>
        </w:trPr>
        <w:tc>
          <w:tcPr>
            <w:tcW w:type="dxa" w:w="2376"/>
            <w:vAlign w:val="top"/>
            <w:shd w:fill="F0F5F5"/>
            <w:tcMar>
              <w:top w:w="90" w:type="dxa"/>
              <w:left w:w="90" w:type="dxa"/>
              <w:bottom w:w="90" w:type="dxa"/>
              <w:right w:w="90" w:type="dxa"/>
            </w:tcMar>
          </w:tcPr>
          <w:p>
            <w:pPr>
              <w:pStyle w:val="TableText"/>
            </w:pPr>
            <w:r>
              <w:t>Storage organization</w:t>
            </w:r>
          </w:p>
        </w:tc>
        <w:tc>
          <w:tcPr>
            <w:tcW w:type="dxa" w:w="7283"/>
            <w:vAlign w:val="top"/>
            <w:shd w:fill="F0F5F5"/>
            <w:tcMar>
              <w:top w:w="90" w:type="dxa"/>
              <w:left w:w="90" w:type="dxa"/>
              <w:bottom w:w="90" w:type="dxa"/>
              <w:right w:w="90" w:type="dxa"/>
            </w:tcMar>
          </w:tcPr>
          <w:p>
            <w:pPr>
              <w:pStyle w:val="TableText"/>
            </w:pPr>
            <w:r>
              <w:t>Surface ownership, reservations, stack identities and ordered membership, placed transforms/orientation and packing state; no automatic re-packing on load.</w:t>
            </w:r>
          </w:p>
        </w:tc>
      </w:tr>
      <w:tr>
        <w:trPr>
          <w:cantSplit/>
        </w:trPr>
        <w:tc>
          <w:tcPr>
            <w:tcW w:type="dxa" w:w="2376"/>
            <w:vAlign w:val="top"/>
            <w:shd w:fill="FAFBFC"/>
            <w:tcMar>
              <w:top w:w="90" w:type="dxa"/>
              <w:left w:w="90" w:type="dxa"/>
              <w:bottom w:w="90" w:type="dxa"/>
              <w:right w:w="90" w:type="dxa"/>
            </w:tcMar>
          </w:tcPr>
          <w:p>
            <w:pPr>
              <w:pStyle w:val="TableText"/>
            </w:pPr>
            <w:r>
              <w:t>Player storage policy</w:t>
            </w:r>
          </w:p>
        </w:tc>
        <w:tc>
          <w:tcPr>
            <w:tcW w:type="dxa" w:w="7283"/>
            <w:vAlign w:val="top"/>
            <w:shd w:fill="FAFBFC"/>
            <w:tcMar>
              <w:top w:w="90" w:type="dxa"/>
              <w:left w:w="90" w:type="dxa"/>
              <w:bottom w:w="90" w:type="dxa"/>
              <w:right w:w="90" w:type="dxa"/>
            </w:tcMar>
          </w:tcPr>
          <w:p>
            <w:pPr>
              <w:pStyle w:val="TableText"/>
            </w:pPr>
            <w:r>
              <w:t>Zone cells, erased/disabled cells, initialization state and supported surface names; labels not yet implemented are not invented.</w:t>
            </w:r>
          </w:p>
        </w:tc>
      </w:tr>
      <w:tr>
        <w:trPr>
          <w:cantSplit/>
        </w:trPr>
        <w:tc>
          <w:tcPr>
            <w:tcW w:type="dxa" w:w="2376"/>
            <w:vAlign w:val="top"/>
            <w:shd w:fill="F0F5F5"/>
            <w:tcMar>
              <w:top w:w="90" w:type="dxa"/>
              <w:left w:w="90" w:type="dxa"/>
              <w:bottom w:w="90" w:type="dxa"/>
              <w:right w:w="90" w:type="dxa"/>
            </w:tcMar>
          </w:tcPr>
          <w:p>
            <w:pPr>
              <w:pStyle w:val="TableText"/>
            </w:pPr>
            <w:r>
              <w:t>Requests and loadouts</w:t>
            </w:r>
          </w:p>
        </w:tc>
        <w:tc>
          <w:tcPr>
            <w:tcW w:type="dxa" w:w="7283"/>
            <w:vAlign w:val="top"/>
            <w:shd w:fill="F0F5F5"/>
            <w:tcMar>
              <w:top w:w="90" w:type="dxa"/>
              <w:left w:w="90" w:type="dxa"/>
              <w:bottom w:w="90" w:type="dxa"/>
              <w:right w:w="90" w:type="dxa"/>
            </w:tcMar>
          </w:tcPr>
          <w:p>
            <w:pPr>
              <w:pStyle w:val="TableText"/>
            </w:pPr>
            <w:r>
              <w:t>Persistent request IDs, destination/lane targets, accepted contributions, lifecycle/resolution state, and outgoing Bulk when that consumer exists.</w:t>
            </w:r>
          </w:p>
        </w:tc>
      </w:tr>
      <w:tr>
        <w:trPr>
          <w:cantSplit/>
        </w:trPr>
        <w:tc>
          <w:tcPr>
            <w:tcW w:type="dxa" w:w="2376"/>
            <w:vAlign w:val="top"/>
            <w:shd w:fill="FAFBFC"/>
            <w:tcMar>
              <w:top w:w="90" w:type="dxa"/>
              <w:left w:w="90" w:type="dxa"/>
              <w:bottom w:w="90" w:type="dxa"/>
              <w:right w:w="90" w:type="dxa"/>
            </w:tcMar>
          </w:tcPr>
          <w:p>
            <w:pPr>
              <w:pStyle w:val="TableText"/>
            </w:pPr>
            <w:r>
              <w:t>Receiving / upstream cargo</w:t>
            </w:r>
          </w:p>
        </w:tc>
        <w:tc>
          <w:tcPr>
            <w:tcW w:type="dxa" w:w="7283"/>
            <w:vAlign w:val="top"/>
            <w:shd w:fill="FAFBFC"/>
            <w:tcMar>
              <w:top w:w="90" w:type="dxa"/>
              <w:left w:w="90" w:type="dxa"/>
              <w:bottom w:w="90" w:type="dxa"/>
              <w:right w:w="90" w:type="dxa"/>
            </w:tcMar>
          </w:tcPr>
          <w:p>
            <w:pPr>
              <w:pStyle w:val="TableText"/>
            </w:pPr>
            <w:r>
              <w:t>Committed batch/item identities, accepted arrangements and remaining entries; active/deposited FIFO state, retained upstream commitments and terminal dispositions as applicable.</w:t>
            </w:r>
          </w:p>
        </w:tc>
      </w:tr>
      <w:tr>
        <w:trPr>
          <w:cantSplit/>
        </w:trPr>
        <w:tc>
          <w:tcPr>
            <w:tcW w:type="dxa" w:w="2376"/>
            <w:vAlign w:val="top"/>
            <w:shd w:fill="F0F5F5"/>
            <w:tcMar>
              <w:top w:w="90" w:type="dxa"/>
              <w:left w:w="90" w:type="dxa"/>
              <w:bottom w:w="90" w:type="dxa"/>
              <w:right w:w="90" w:type="dxa"/>
            </w:tcMar>
          </w:tcPr>
          <w:p>
            <w:pPr>
              <w:pStyle w:val="TableText"/>
            </w:pPr>
            <w:r>
              <w:t>Run progression</w:t>
            </w:r>
          </w:p>
        </w:tc>
        <w:tc>
          <w:tcPr>
            <w:tcW w:type="dxa" w:w="7283"/>
            <w:vAlign w:val="top"/>
            <w:shd w:fill="F0F5F5"/>
            <w:tcMar>
              <w:top w:w="90" w:type="dxa"/>
              <w:left w:w="90" w:type="dxa"/>
              <w:bottom w:w="90" w:type="dxa"/>
              <w:right w:w="90" w:type="dxa"/>
            </w:tcMar>
          </w:tcPr>
          <w:p>
            <w:pPr>
              <w:pStyle w:val="TableText"/>
            </w:pPr>
            <w:r>
              <w:t>Scenario identity, current day/cycle, exact underlying simulation time, persistent event/deadline state and which configured events have already occurred.</w:t>
            </w:r>
          </w:p>
        </w:tc>
      </w:tr>
      <w:tr>
        <w:trPr>
          <w:cantSplit/>
        </w:trPr>
        <w:tc>
          <w:tcPr>
            <w:tcW w:type="dxa" w:w="2376"/>
            <w:vAlign w:val="top"/>
            <w:shd w:fill="FAFBFC"/>
            <w:tcMar>
              <w:top w:w="90" w:type="dxa"/>
              <w:left w:w="90" w:type="dxa"/>
              <w:bottom w:w="90" w:type="dxa"/>
              <w:right w:w="90" w:type="dxa"/>
            </w:tcMar>
          </w:tcPr>
          <w:p>
            <w:pPr>
              <w:pStyle w:val="TableText"/>
            </w:pPr>
            <w:r>
              <w:t>Identity allocation</w:t>
            </w:r>
          </w:p>
        </w:tc>
        <w:tc>
          <w:tcPr>
            <w:tcW w:type="dxa" w:w="7283"/>
            <w:vAlign w:val="top"/>
            <w:shd w:fill="FAFBFC"/>
            <w:tcMar>
              <w:top w:w="90" w:type="dxa"/>
              <w:left w:w="90" w:type="dxa"/>
              <w:bottom w:w="90" w:type="dxa"/>
              <w:right w:w="90" w:type="dxa"/>
            </w:tcMar>
          </w:tcPr>
          <w:p>
            <w:pPr>
              <w:pStyle w:val="TableText"/>
            </w:pPr>
            <w:r>
              <w:t>The state necessary for new run-scoped items, requests and deliveries to remain unique after restart, independently of content seeds.</w:t>
            </w:r>
          </w:p>
        </w:tc>
      </w:tr>
      <w:tr>
        <w:trPr>
          <w:cantSplit/>
        </w:trPr>
        <w:tc>
          <w:tcPr>
            <w:tcW w:type="dxa" w:w="2376"/>
            <w:vAlign w:val="top"/>
            <w:shd w:fill="F0F5F5"/>
            <w:tcMar>
              <w:top w:w="90" w:type="dxa"/>
              <w:left w:w="90" w:type="dxa"/>
              <w:bottom w:w="90" w:type="dxa"/>
              <w:right w:w="90" w:type="dxa"/>
            </w:tcMar>
          </w:tcPr>
          <w:p>
            <w:pPr>
              <w:pStyle w:val="TableText"/>
            </w:pPr>
            <w:r>
              <w:t>Transition / summary</w:t>
            </w:r>
          </w:p>
        </w:tc>
        <w:tc>
          <w:tcPr>
            <w:tcW w:type="dxa" w:w="7283"/>
            <w:vAlign w:val="top"/>
            <w:shd w:fill="F0F5F5"/>
            <w:tcMar>
              <w:top w:w="90" w:type="dxa"/>
              <w:left w:w="90" w:type="dxa"/>
              <w:bottom w:w="90" w:type="dxa"/>
              <w:right w:w="90" w:type="dxa"/>
            </w:tcMar>
          </w:tcPr>
          <w:p>
            <w:pPr>
              <w:pStyle w:val="TableText"/>
            </w:pPr>
            <w:r>
              <w:t>Enough phase/result state to reopen a pending summary without repeating midnight or creating tomorrow’s events twice.</w:t>
            </w:r>
          </w:p>
        </w:tc>
      </w:tr>
    </w:tbl>
    <w:p>
      <w:pPr>
        <w:pStyle w:val="Small"/>
        <w:spacing w:after="0"/>
      </w:pPr>
    </w:p>
    <w:p>
      <w:pPr>
        <w:pStyle w:val="Heading2"/>
      </w:pPr>
      <w:r>
        <w:t>6.2.1 Restore committed facts, not new placements</w:t>
      </w:r>
    </w:p>
    <w:p>
      <w:r>
        <w:t>Stored orientation is restored as committed, not recomputed from the unit’s current Front. Rebuilding storage representations must not invoke new-placement policy to discard an existing item merely because the player later erased or changed its zone. Those policies govern future placements, not retrospective movement or removal. [GDD §§7.7–7.8, 18.5; PF §25.4]</w:t>
      </w:r>
    </w:p>
    <w:p>
      <w:pPr>
        <w:pStyle w:val="Small"/>
      </w:pPr>
      <w:r>
        <w:t>Static authored room art is not a second mutable simulation to serialize wholesale. Preserve its scene authority and rebuild derived HUD, held views and visual hosts from restored gameplay records. For the player, preserve exact position, facing/camera orientation, active carried selection and current held item; if attached to a fixed ladder, prefer restoring that same ladder and height/attachment state. Only if the existing ladder API prevents faithful restoration at proportionate cost may M1 use a documented attached-at-base fallback, never an unrelated silent teleport. Transient request/zoning panels and input holds may close/reset on Continue; committed zoning edits still persist. A pending night-summary state becomes a special logical case in M2. [D12]</w:t>
      </w:r>
    </w:p>
    <w:p>
      <w:pPr>
        <w:pStyle w:val="Source"/>
      </w:pPr>
      <w:r>
        <w:t>Basis: [D02–D05]; [GDD §§7, 11, 18.5]; [PF §§25.3–25.6, 34].</w:t>
      </w:r>
    </w:p>
    <w:p>
      <w:r>
        <w:br w:type="page"/>
      </w:r>
    </w:p>
    <w:p>
      <w:pPr>
        <w:pStyle w:val="Kicker"/>
      </w:pPr>
      <w:r>
        <w:t>6.3  RESTORE WITHOUT REPLAYING GAMEPLAY</w:t>
      </w:r>
    </w:p>
    <w:p>
      <w:bookmarkStart w:id="9" w:name="mvp_9"/>
      <w:pPr>
        <w:pStyle w:val="Heading1"/>
      </w:pPr>
      <w:r>
        <w:t>6. Persistence &amp; continuation</w:t>
      </w:r>
      <w:bookmarkEnd w:id="9"/>
    </w:p>
    <w:p>
      <w:pPr>
        <w:pStyle w:val="Heading2"/>
      </w:pPr>
      <w:r>
        <w:t>6.3.1 New Run and Continue are different paths</w:t>
      </w:r>
    </w:p>
    <w:p>
      <w:r>
        <w:t>New Run applies the selected scenario’s initial conditions once. Continue restores the saved run, including already-created requests, already-issued deliveries and consumed supplies. Re-instantiating the wing must not run the development seeding path over the loaded state. Preserve the editor-authored palette and separate legacy/review fixtures; do not delete them to achieve continuation. [D02–D03; PF §24.2]</w:t>
      </w:r>
    </w:p>
    <w:p>
      <w:r>
        <w:t>A loaded run is not regenerated by replaying its scenario from day one against empty storage. Existing commitments and fulfillment are restored; only future untriggered events remain eligible to run. Normal reconstruction must not itself emit new-consumption, new-return or midnight-resolution effects. This is a derived requirement of the agreed no-duplication contract. [D02–D05]</w:t>
      </w:r>
    </w:p>
    <w:p>
      <w:pPr>
        <w:pStyle w:val="Heading2"/>
      </w:pPr>
      <w:r>
        <w:t>6.3.2 Identity survives the process</w:t>
      </w:r>
    </w:p>
    <w:p>
      <w:r>
        <w:t>The accepted R-03 debug correction uses a process-local serial. It is correct for its approved repeat-within-one-execution scope, but a persisted run needs a cross-restart identity policy. A saved run identity and next-delivery sequence is a candidate, not a selected API. New commitments must be distinct after relaunch; reconstruction must retain old IDs. Do not change content seeds to manufacture identity uniqueness. [CR15; D02–D03]</w:t>
      </w:r>
    </w:p>
    <w:p>
      <w:pPr>
        <w:pStyle w:val="Heading2"/>
      </w:pPr>
      <w:r>
        <w:t>6.3.3 Existing logical owners remain owners</w:t>
      </w:r>
    </w:p>
    <w:p>
      <w:r>
        <w:t>ReceivingManager continues to own deposited batches and drain/FIFO accounting; AwaitingLiftAdmission owns upstream return admission and terminal status. Restoring those owners is not permission to bypass fairness, add a fourth deposited slot or re-prepare an already revealed haul. The exact restore entry points and stable identifiers for generated storage surfaces require source-led design before implementation. [PF §34.5; GDD §11]</w:t>
      </w:r>
    </w:p>
    <w:p>
      <w:pPr>
        <w:pStyle w:val="Heading2"/>
      </w:pPr>
      <w:r>
        <w:t>6.3.4 Pause, rebuild and resume coherently</w:t>
      </w:r>
    </w:p>
    <w:p>
      <w:r>
        <w:t>Loading may hold simulation and player interaction while constructing a coherent state and synchronizing presentation. That interval cannot age request deadlines or grant one subsystem time that others did not receive. Menu-induced pause and the saved run’s logical day/summary phase must not be conflated, leaving Continue permanently paused or skipping a pending summary. [D05; D08–D09]</w:t>
      </w:r>
    </w:p>
    <w:p>
      <w:r>
        <w:t>The first persistent Medical stage establishes saved state and manual continuation before the automatic day-clock stage. Live subsystem timing still needs a coherent saved representation; M1 must not quietly enable a full day scheduler just because later fields will be needed. [D03–D05; §13 here]</w:t>
      </w:r>
    </w:p>
    <w:p>
      <w:pPr>
        <w:pStyle w:val="Source"/>
      </w:pPr>
      <w:r>
        <w:t>Basis: [D02–D05, D08–D09]; [PF §§24.2, 25.4, 34.5]; [CR15]; [GDD §11].</w:t>
      </w:r>
    </w:p>
    <w:p>
      <w:r>
        <w:br w:type="page"/>
      </w:r>
    </w:p>
    <w:p>
      <w:pPr>
        <w:pStyle w:val="Kicker"/>
      </w:pPr>
      <w:r>
        <w:t>7.1  AUTHORITY AND SYNCHRONIZATION</w:t>
      </w:r>
    </w:p>
    <w:p>
      <w:bookmarkStart w:id="10" w:name="mvp_10"/>
      <w:pPr>
        <w:pStyle w:val="Heading1"/>
      </w:pPr>
      <w:r>
        <w:t>7. Gameplay time &amp; presentation</w:t>
      </w:r>
      <w:bookmarkEnd w:id="10"/>
    </w:p>
    <w:p>
      <w:pPr>
        <w:pStyle w:val="Callout"/>
        <w:shd w:fill="EDF3F3"/>
        <w:spacing w:before="120" w:after="200"/>
        <w:ind w:left="144" w:right="144"/>
      </w:pPr>
      <w:r>
        <w:rPr>
          <w:b/>
        </w:rPr>
        <w:t>Gameplay time is the immovable authority. Presentation time is subordinate.</w:t>
      </w:r>
      <w:r>
        <w:t xml:space="preserve"> Preserve the underlying simulation timestamp exactly, including sub-minute precision; never infer it from a clock label or restart independent subsystem timers on load. [D05]</w:t>
      </w:r>
    </w:p>
    <w:p>
      <w:pPr>
        <w:pStyle w:val="Heading2"/>
      </w:pPr>
      <w:r>
        <w:t>7.1.1 Approved example</w:t>
      </w:r>
    </w:p>
    <w:tbl>
      <w:tblPr>
        <w:tblW w:type="auto" w:w="0"/>
        <w:jc w:val="center"/>
        <w:tblLayout w:type="fixed"/>
        <w:tblLook w:firstColumn="1" w:firstRow="1" w:lastColumn="0" w:lastRow="0" w:noHBand="0" w:noVBand="1" w:val="04A0"/>
      </w:tblPr>
      <w:tblGrid>
        <w:gridCol w:w="2419"/>
        <w:gridCol w:w="1584"/>
        <w:gridCol w:w="5656"/>
      </w:tblGrid>
      <w:tr>
        <w:trPr>
          <w:cantSplit/>
          <w:tblHeader/>
        </w:trPr>
        <w:tc>
          <w:tcPr>
            <w:tcW w:type="dxa" w:w="2419"/>
            <w:vAlign w:val="top"/>
            <w:shd w:fill="243944"/>
            <w:tcMar>
              <w:top w:w="90" w:type="dxa"/>
              <w:left w:w="90" w:type="dxa"/>
              <w:bottom w:w="90" w:type="dxa"/>
              <w:right w:w="90" w:type="dxa"/>
            </w:tcMar>
          </w:tcPr>
          <w:p>
            <w:pPr>
              <w:pStyle w:val="TableHead"/>
            </w:pPr>
            <w:r>
              <w:t>Event</w:t>
            </w:r>
          </w:p>
        </w:tc>
        <w:tc>
          <w:tcPr>
            <w:tcW w:type="dxa" w:w="1584"/>
            <w:vAlign w:val="top"/>
            <w:shd w:fill="243944"/>
            <w:tcMar>
              <w:top w:w="90" w:type="dxa"/>
              <w:left w:w="90" w:type="dxa"/>
              <w:bottom w:w="90" w:type="dxa"/>
              <w:right w:w="90" w:type="dxa"/>
            </w:tcMar>
          </w:tcPr>
          <w:p>
            <w:pPr>
              <w:pStyle w:val="TableHead"/>
            </w:pPr>
            <w:r>
              <w:t>Gameplay time</w:t>
            </w:r>
          </w:p>
        </w:tc>
        <w:tc>
          <w:tcPr>
            <w:tcW w:type="dxa" w:w="5656"/>
            <w:vAlign w:val="top"/>
            <w:shd w:fill="243944"/>
            <w:tcMar>
              <w:top w:w="90" w:type="dxa"/>
              <w:left w:w="90" w:type="dxa"/>
              <w:bottom w:w="90" w:type="dxa"/>
              <w:right w:w="90" w:type="dxa"/>
            </w:tcMar>
          </w:tcPr>
          <w:p>
            <w:pPr>
              <w:pStyle w:val="TableHead"/>
            </w:pPr>
            <w:r>
              <w:t>Lift presentation</w:t>
            </w:r>
          </w:p>
        </w:tc>
      </w:tr>
      <w:tr>
        <w:trPr>
          <w:cantSplit/>
        </w:trPr>
        <w:tc>
          <w:tcPr>
            <w:tcW w:type="dxa" w:w="2419"/>
            <w:vAlign w:val="top"/>
            <w:shd w:fill="F0F5F5"/>
            <w:tcMar>
              <w:top w:w="90" w:type="dxa"/>
              <w:left w:w="90" w:type="dxa"/>
              <w:bottom w:w="90" w:type="dxa"/>
              <w:right w:w="90" w:type="dxa"/>
            </w:tcMar>
          </w:tcPr>
          <w:p>
            <w:pPr>
              <w:pStyle w:val="TableText"/>
            </w:pPr>
            <w:r>
              <w:t>Arrival begins</w:t>
            </w:r>
          </w:p>
        </w:tc>
        <w:tc>
          <w:tcPr>
            <w:tcW w:type="dxa" w:w="1584"/>
            <w:vAlign w:val="top"/>
            <w:shd w:fill="F0F5F5"/>
            <w:tcMar>
              <w:top w:w="90" w:type="dxa"/>
              <w:left w:w="90" w:type="dxa"/>
              <w:bottom w:w="90" w:type="dxa"/>
              <w:right w:w="90" w:type="dxa"/>
            </w:tcMar>
          </w:tcPr>
          <w:p>
            <w:pPr>
              <w:pStyle w:val="TableText"/>
            </w:pPr>
            <w:r>
              <w:t>10:00</w:t>
            </w:r>
          </w:p>
        </w:tc>
        <w:tc>
          <w:tcPr>
            <w:tcW w:type="dxa" w:w="5656"/>
            <w:vAlign w:val="top"/>
            <w:shd w:fill="F0F5F5"/>
            <w:tcMar>
              <w:top w:w="90" w:type="dxa"/>
              <w:left w:w="90" w:type="dxa"/>
              <w:bottom w:w="90" w:type="dxa"/>
              <w:right w:w="90" w:type="dxa"/>
            </w:tcMar>
          </w:tcPr>
          <w:p>
            <w:pPr>
              <w:pStyle w:val="TableText"/>
            </w:pPr>
            <w:r>
              <w:t>Theatre begins; bay/deck remain physically stationary.</w:t>
            </w:r>
          </w:p>
        </w:tc>
      </w:tr>
      <w:tr>
        <w:trPr>
          <w:cantSplit/>
        </w:trPr>
        <w:tc>
          <w:tcPr>
            <w:tcW w:type="dxa" w:w="2419"/>
            <w:vAlign w:val="top"/>
            <w:shd w:fill="FAFBFC"/>
            <w:tcMar>
              <w:top w:w="90" w:type="dxa"/>
              <w:left w:w="90" w:type="dxa"/>
              <w:bottom w:w="90" w:type="dxa"/>
              <w:right w:w="90" w:type="dxa"/>
            </w:tcMar>
          </w:tcPr>
          <w:p>
            <w:pPr>
              <w:pStyle w:val="TableText"/>
            </w:pPr>
            <w:r>
              <w:t>Save</w:t>
            </w:r>
          </w:p>
        </w:tc>
        <w:tc>
          <w:tcPr>
            <w:tcW w:type="dxa" w:w="1584"/>
            <w:vAlign w:val="top"/>
            <w:shd w:fill="FAFBFC"/>
            <w:tcMar>
              <w:top w:w="90" w:type="dxa"/>
              <w:left w:w="90" w:type="dxa"/>
              <w:bottom w:w="90" w:type="dxa"/>
              <w:right w:w="90" w:type="dxa"/>
            </w:tcMar>
          </w:tcPr>
          <w:p>
            <w:pPr>
              <w:pStyle w:val="TableText"/>
            </w:pPr>
            <w:r>
              <w:t>10:02</w:t>
            </w:r>
          </w:p>
        </w:tc>
        <w:tc>
          <w:tcPr>
            <w:tcW w:type="dxa" w:w="5656"/>
            <w:vAlign w:val="top"/>
            <w:shd w:fill="FAFBFC"/>
            <w:tcMar>
              <w:top w:w="90" w:type="dxa"/>
              <w:left w:w="90" w:type="dxa"/>
              <w:bottom w:w="90" w:type="dxa"/>
              <w:right w:w="90" w:type="dxa"/>
            </w:tcMar>
          </w:tcPr>
          <w:p>
            <w:pPr>
              <w:pStyle w:val="TableText"/>
            </w:pPr>
            <w:r>
              <w:t>Arrival is partly complete.</w:t>
            </w:r>
          </w:p>
        </w:tc>
      </w:tr>
      <w:tr>
        <w:trPr>
          <w:cantSplit/>
        </w:trPr>
        <w:tc>
          <w:tcPr>
            <w:tcW w:type="dxa" w:w="2419"/>
            <w:vAlign w:val="top"/>
            <w:shd w:fill="F0F5F5"/>
            <w:tcMar>
              <w:top w:w="90" w:type="dxa"/>
              <w:left w:w="90" w:type="dxa"/>
              <w:bottom w:w="90" w:type="dxa"/>
              <w:right w:w="90" w:type="dxa"/>
            </w:tcMar>
          </w:tcPr>
          <w:p>
            <w:pPr>
              <w:pStyle w:val="TableText"/>
            </w:pPr>
            <w:r>
              <w:t>Continue</w:t>
            </w:r>
          </w:p>
        </w:tc>
        <w:tc>
          <w:tcPr>
            <w:tcW w:type="dxa" w:w="1584"/>
            <w:vAlign w:val="top"/>
            <w:shd w:fill="F0F5F5"/>
            <w:tcMar>
              <w:top w:w="90" w:type="dxa"/>
              <w:left w:w="90" w:type="dxa"/>
              <w:bottom w:w="90" w:type="dxa"/>
              <w:right w:w="90" w:type="dxa"/>
            </w:tcMar>
          </w:tcPr>
          <w:p>
            <w:pPr>
              <w:pStyle w:val="TableText"/>
            </w:pPr>
            <w:r>
              <w:t>10:02</w:t>
            </w:r>
          </w:p>
        </w:tc>
        <w:tc>
          <w:tcPr>
            <w:tcW w:type="dxa" w:w="5656"/>
            <w:vAlign w:val="top"/>
            <w:shd w:fill="F0F5F5"/>
            <w:tcMar>
              <w:top w:w="90" w:type="dxa"/>
              <w:left w:w="90" w:type="dxa"/>
              <w:bottom w:w="90" w:type="dxa"/>
              <w:right w:w="90" w:type="dxa"/>
            </w:tcMar>
          </w:tcPr>
          <w:p>
            <w:pPr>
              <w:pStyle w:val="TableText"/>
            </w:pPr>
            <w:r>
              <w:t>Reconstruct an appropriate incoming presentation.</w:t>
            </w:r>
          </w:p>
        </w:tc>
      </w:tr>
      <w:tr>
        <w:trPr>
          <w:cantSplit/>
        </w:trPr>
        <w:tc>
          <w:tcPr>
            <w:tcW w:type="dxa" w:w="2419"/>
            <w:vAlign w:val="top"/>
            <w:shd w:fill="FAFBFC"/>
            <w:tcMar>
              <w:top w:w="90" w:type="dxa"/>
              <w:left w:w="90" w:type="dxa"/>
              <w:bottom w:w="90" w:type="dxa"/>
              <w:right w:w="90" w:type="dxa"/>
            </w:tcMar>
          </w:tcPr>
          <w:p>
            <w:pPr>
              <w:pStyle w:val="TableText"/>
            </w:pPr>
            <w:r>
              <w:t>Scheduled arrival endpoint</w:t>
            </w:r>
          </w:p>
        </w:tc>
        <w:tc>
          <w:tcPr>
            <w:tcW w:type="dxa" w:w="1584"/>
            <w:vAlign w:val="top"/>
            <w:shd w:fill="FAFBFC"/>
            <w:tcMar>
              <w:top w:w="90" w:type="dxa"/>
              <w:left w:w="90" w:type="dxa"/>
              <w:bottom w:w="90" w:type="dxa"/>
              <w:right w:w="90" w:type="dxa"/>
            </w:tcMar>
          </w:tcPr>
          <w:p>
            <w:pPr>
              <w:pStyle w:val="TableText"/>
            </w:pPr>
            <w:r>
              <w:t>10:04</w:t>
            </w:r>
          </w:p>
        </w:tc>
        <w:tc>
          <w:tcPr>
            <w:tcW w:type="dxa" w:w="5656"/>
            <w:vAlign w:val="top"/>
            <w:shd w:fill="FAFBFC"/>
            <w:tcMar>
              <w:top w:w="90" w:type="dxa"/>
              <w:left w:w="90" w:type="dxa"/>
              <w:bottom w:w="90" w:type="dxa"/>
              <w:right w:w="90" w:type="dxa"/>
            </w:tcMar>
          </w:tcPr>
          <w:p>
            <w:pPr>
              <w:pStyle w:val="TableText"/>
            </w:pPr>
            <w:r>
              <w:t>Proceed to the next valid logical phase at the original deadline.</w:t>
            </w:r>
          </w:p>
        </w:tc>
      </w:tr>
    </w:tbl>
    <w:p>
      <w:pPr>
        <w:pStyle w:val="Small"/>
        <w:spacing w:after="0"/>
      </w:pPr>
    </w:p>
    <w:p>
      <w:r>
        <w:t>The times are illustrative, not production cue lengths or a new day-rate setting. Replaying the whole journey while moving its completion later on every load is forbidden. Rewinding the world clock while retaining submissions or storage changes is also forbidden. Repeated save/load cycles must not accumulate timeline drift. [D05]</w:t>
      </w:r>
    </w:p>
    <w:p>
      <w:pPr>
        <w:pStyle w:val="Heading2"/>
      </w:pPr>
      <w:r>
        <w:t>7.1.2 Allowed presentation recovery</w:t>
      </w:r>
    </w:p>
    <w:p>
      <w:r>
        <w:t>Presentation may be reconstructed at an approximate offset, shortened or accelerated. A brief global simulation hold may be used to let presentation catch up, provided gameplay interactions and simulation-dependent systems are held together. That hold may add real-world loading time; it must not advance or rewind gameplay chronology, extend an event deadline, or give the player extra active gameplay time. [D05]</w:t>
      </w:r>
    </w:p>
    <w:p>
      <w:r>
        <w:t>A saved phase records enough logical progress, original timing/deadline and commitment identity to recover without restarting completed work. The exact fields, numeric representation and per-phase animation/audio mapping remain technical choices. Saving only displayed HH:MM is insufficient. [D05]</w:t>
      </w:r>
    </w:p>
    <w:p>
      <w:pPr>
        <w:pStyle w:val="Heading2"/>
      </w:pPr>
      <w:r>
        <w:t>7.1.3 Ordinary pause is not loading</w:t>
      </w:r>
    </w:p>
    <w:p>
      <w:r>
        <w:t>Opening ESC suspends the current session; closing it resumes from that point without reconstructing theatre. Approximate audiovisual recovery is for loading a saved run, not a shortcut every time the menu is opened. The pause and clock owners must not fight over elapsed time. [D09]</w:t>
      </w:r>
    </w:p>
    <w:p>
      <w:pPr>
        <w:pStyle w:val="Source"/>
      </w:pPr>
      <w:r>
        <w:t>Basis: [D05–D06, D09]; [GDD §§5.2–5.3, 11].</w:t>
      </w:r>
    </w:p>
    <w:p>
      <w:r>
        <w:br w:type="page"/>
      </w:r>
    </w:p>
    <w:p>
      <w:pPr>
        <w:pStyle w:val="Kicker"/>
      </w:pPr>
      <w:r>
        <w:t>7.2  RECEIVING CONTINUATION</w:t>
      </w:r>
    </w:p>
    <w:p>
      <w:bookmarkStart w:id="11" w:name="mvp_11"/>
      <w:pPr>
        <w:pStyle w:val="Heading1"/>
      </w:pPr>
      <w:r>
        <w:t>7. Gameplay time &amp; presentation</w:t>
      </w:r>
      <w:bookmarkEnd w:id="11"/>
    </w:p>
    <w:p>
      <w:r>
        <w:t>The approved time separation extends Receiving; it does not replace its ownership and interaction rules. There is one stationary bay/deck and permanent player barrier, with a moving shutter and four-cue travel illusion. Existing committed content, private surfaces and normal TAKE remain authoritative. [PF §34; D05]</w:t>
      </w:r>
    </w:p>
    <w:tbl>
      <w:tblPr>
        <w:tblW w:type="auto" w:w="0"/>
        <w:jc w:val="center"/>
        <w:tblLayout w:type="fixed"/>
        <w:tblLook w:firstColumn="1" w:firstRow="1" w:lastColumn="0" w:lastRow="0" w:noHBand="0" w:noVBand="1" w:val="04A0"/>
      </w:tblPr>
      <w:tblGrid>
        <w:gridCol w:w="2563"/>
        <w:gridCol w:w="7096"/>
      </w:tblGrid>
      <w:tr>
        <w:trPr>
          <w:cantSplit/>
          <w:tblHeader/>
        </w:trPr>
        <w:tc>
          <w:tcPr>
            <w:tcW w:type="dxa" w:w="2563"/>
            <w:vAlign w:val="top"/>
            <w:shd w:fill="243944"/>
            <w:tcMar>
              <w:top w:w="90" w:type="dxa"/>
              <w:left w:w="90" w:type="dxa"/>
              <w:bottom w:w="90" w:type="dxa"/>
              <w:right w:w="90" w:type="dxa"/>
            </w:tcMar>
          </w:tcPr>
          <w:p>
            <w:pPr>
              <w:pStyle w:val="TableHead"/>
            </w:pPr>
            <w:r>
              <w:t>Saved situation</w:t>
            </w:r>
          </w:p>
        </w:tc>
        <w:tc>
          <w:tcPr>
            <w:tcW w:type="dxa" w:w="7096"/>
            <w:vAlign w:val="top"/>
            <w:shd w:fill="243944"/>
            <w:tcMar>
              <w:top w:w="90" w:type="dxa"/>
              <w:left w:w="90" w:type="dxa"/>
              <w:bottom w:w="90" w:type="dxa"/>
              <w:right w:w="90" w:type="dxa"/>
            </w:tcMar>
          </w:tcPr>
          <w:p>
            <w:pPr>
              <w:pStyle w:val="TableHead"/>
            </w:pPr>
            <w:r>
              <w:t>Required logical restoration; audiovisual recovery is subordinate</w:t>
            </w:r>
          </w:p>
        </w:tc>
      </w:tr>
      <w:tr>
        <w:trPr>
          <w:cantSplit/>
        </w:trPr>
        <w:tc>
          <w:tcPr>
            <w:tcW w:type="dxa" w:w="2563"/>
            <w:vAlign w:val="top"/>
            <w:shd w:fill="F0F5F5"/>
            <w:tcMar>
              <w:top w:w="90" w:type="dxa"/>
              <w:left w:w="90" w:type="dxa"/>
              <w:bottom w:w="90" w:type="dxa"/>
              <w:right w:w="90" w:type="dxa"/>
            </w:tcMar>
          </w:tcPr>
          <w:p>
            <w:pPr>
              <w:pStyle w:val="TableText"/>
            </w:pPr>
            <w:r>
              <w:t>SEALED_EMPTY / idle</w:t>
            </w:r>
          </w:p>
        </w:tc>
        <w:tc>
          <w:tcPr>
            <w:tcW w:type="dxa" w:w="7096"/>
            <w:vAlign w:val="top"/>
            <w:shd w:fill="F0F5F5"/>
            <w:tcMar>
              <w:top w:w="90" w:type="dxa"/>
              <w:left w:w="90" w:type="dxa"/>
              <w:bottom w:w="90" w:type="dxa"/>
              <w:right w:w="90" w:type="dxa"/>
            </w:tcMar>
          </w:tcPr>
          <w:p>
            <w:pPr>
              <w:pStyle w:val="TableText"/>
            </w:pPr>
            <w:r>
              <w:t>Retain whether the lift is genuinely free or internally busy in outbound turnaround. IDLE alone is insufficient.</w:t>
            </w:r>
          </w:p>
        </w:tc>
      </w:tr>
      <w:tr>
        <w:trPr>
          <w:cantSplit/>
        </w:trPr>
        <w:tc>
          <w:tcPr>
            <w:tcW w:type="dxa" w:w="2563"/>
            <w:vAlign w:val="top"/>
            <w:shd w:fill="FAFBFC"/>
            <w:tcMar>
              <w:top w:w="90" w:type="dxa"/>
              <w:left w:w="90" w:type="dxa"/>
              <w:bottom w:w="90" w:type="dxa"/>
              <w:right w:w="90" w:type="dxa"/>
            </w:tcMar>
          </w:tcPr>
          <w:p>
            <w:pPr>
              <w:pStyle w:val="TableText"/>
            </w:pPr>
            <w:r>
              <w:t>ARRIVAL / SEALED_READY</w:t>
            </w:r>
          </w:p>
        </w:tc>
        <w:tc>
          <w:tcPr>
            <w:tcW w:type="dxa" w:w="7096"/>
            <w:vAlign w:val="top"/>
            <w:shd w:fill="FAFBFC"/>
            <w:tcMar>
              <w:top w:w="90" w:type="dxa"/>
              <w:left w:w="90" w:type="dxa"/>
              <w:bottom w:w="90" w:type="dxa"/>
              <w:right w:w="90" w:type="dxa"/>
            </w:tcMar>
          </w:tcPr>
          <w:p>
            <w:pPr>
              <w:pStyle w:val="TableText"/>
            </w:pPr>
            <w:r>
              <w:t>Restore incoming/committed cargo and original logical progress. No early reveal, item replacement or new batch identity.</w:t>
            </w:r>
          </w:p>
        </w:tc>
      </w:tr>
      <w:tr>
        <w:trPr>
          <w:cantSplit/>
        </w:trPr>
        <w:tc>
          <w:tcPr>
            <w:tcW w:type="dxa" w:w="2563"/>
            <w:vAlign w:val="top"/>
            <w:shd w:fill="F0F5F5"/>
            <w:tcMar>
              <w:top w:w="90" w:type="dxa"/>
              <w:left w:w="90" w:type="dxa"/>
              <w:bottom w:w="90" w:type="dxa"/>
              <w:right w:w="90" w:type="dxa"/>
            </w:tcMar>
          </w:tcPr>
          <w:p>
            <w:pPr>
              <w:pStyle w:val="TableText"/>
            </w:pPr>
            <w:r>
              <w:t>REVEALING</w:t>
            </w:r>
          </w:p>
        </w:tc>
        <w:tc>
          <w:tcPr>
            <w:tcW w:type="dxa" w:w="7096"/>
            <w:vAlign w:val="top"/>
            <w:shd w:fill="F0F5F5"/>
            <w:tcMar>
              <w:top w:w="90" w:type="dxa"/>
              <w:left w:w="90" w:type="dxa"/>
              <w:bottom w:w="90" w:type="dxa"/>
              <w:right w:w="90" w:type="dxa"/>
            </w:tcMar>
          </w:tcPr>
          <w:p>
            <w:pPr>
              <w:pStyle w:val="TableText"/>
            </w:pPr>
            <w:r>
              <w:t>Restore the original endpoint deadline and disable targeting/TAKE until the fully OPEN condition is satisfied. Resolve any necessary presentation catch-up without changing chronology.</w:t>
            </w:r>
          </w:p>
        </w:tc>
      </w:tr>
      <w:tr>
        <w:trPr>
          <w:cantSplit/>
        </w:trPr>
        <w:tc>
          <w:tcPr>
            <w:tcW w:type="dxa" w:w="2563"/>
            <w:vAlign w:val="top"/>
            <w:shd w:fill="FAFBFC"/>
            <w:tcMar>
              <w:top w:w="90" w:type="dxa"/>
              <w:left w:w="90" w:type="dxa"/>
              <w:bottom w:w="90" w:type="dxa"/>
              <w:right w:w="90" w:type="dxa"/>
            </w:tcMar>
          </w:tcPr>
          <w:p>
            <w:pPr>
              <w:pStyle w:val="TableText"/>
            </w:pPr>
            <w:r>
              <w:t>OPEN</w:t>
            </w:r>
          </w:p>
        </w:tc>
        <w:tc>
          <w:tcPr>
            <w:tcW w:type="dxa" w:w="7096"/>
            <w:vAlign w:val="top"/>
            <w:shd w:fill="FAFBFC"/>
            <w:tcMar>
              <w:top w:w="90" w:type="dxa"/>
              <w:left w:w="90" w:type="dxa"/>
              <w:bottom w:w="90" w:type="dxa"/>
              <w:right w:w="90" w:type="dxa"/>
            </w:tcMar>
          </w:tcPr>
          <w:p>
            <w:pPr>
              <w:pStyle w:val="TableText"/>
            </w:pPr>
            <w:r>
              <w:t>Restore fully OPEN with exactly the remaining items and accepted arrangement. OPEN waits indefinitely for successful unloading; no timer is added.</w:t>
            </w:r>
          </w:p>
        </w:tc>
      </w:tr>
      <w:tr>
        <w:trPr>
          <w:cantSplit/>
        </w:trPr>
        <w:tc>
          <w:tcPr>
            <w:tcW w:type="dxa" w:w="2563"/>
            <w:vAlign w:val="top"/>
            <w:shd w:fill="F0F5F5"/>
            <w:tcMar>
              <w:top w:w="90" w:type="dxa"/>
              <w:left w:w="90" w:type="dxa"/>
              <w:bottom w:w="90" w:type="dxa"/>
              <w:right w:w="90" w:type="dxa"/>
            </w:tcMar>
          </w:tcPr>
          <w:p>
            <w:pPr>
              <w:pStyle w:val="TableText"/>
            </w:pPr>
            <w:r>
              <w:t>CLOSING / outbound</w:t>
            </w:r>
          </w:p>
        </w:tc>
        <w:tc>
          <w:tcPr>
            <w:tcW w:type="dxa" w:w="7096"/>
            <w:vAlign w:val="top"/>
            <w:shd w:fill="F0F5F5"/>
            <w:tcMar>
              <w:top w:w="90" w:type="dxa"/>
              <w:left w:w="90" w:type="dxa"/>
              <w:bottom w:w="90" w:type="dxa"/>
              <w:right w:w="90" w:type="dxa"/>
            </w:tcMar>
          </w:tcPr>
          <w:p>
            <w:pPr>
              <w:pStyle w:val="TableText"/>
            </w:pPr>
            <w:r>
              <w:t>Retain drained active ownership and fixtures through remaining logical turnaround. Do not free capacity or promote FIFO twice, early, or only because a shortened clip ended.</w:t>
            </w:r>
          </w:p>
        </w:tc>
      </w:tr>
      <w:tr>
        <w:trPr>
          <w:cantSplit/>
        </w:trPr>
        <w:tc>
          <w:tcPr>
            <w:tcW w:type="dxa" w:w="2563"/>
            <w:vAlign w:val="top"/>
            <w:shd w:fill="FAFBFC"/>
            <w:tcMar>
              <w:top w:w="90" w:type="dxa"/>
              <w:left w:w="90" w:type="dxa"/>
              <w:bottom w:w="90" w:type="dxa"/>
              <w:right w:w="90" w:type="dxa"/>
            </w:tcMar>
          </w:tcPr>
          <w:p>
            <w:pPr>
              <w:pStyle w:val="TableText"/>
            </w:pPr>
            <w:r>
              <w:t>Queued / Awaiting Lift</w:t>
            </w:r>
          </w:p>
        </w:tc>
        <w:tc>
          <w:tcPr>
            <w:tcW w:type="dxa" w:w="7096"/>
            <w:vAlign w:val="top"/>
            <w:shd w:fill="FAFBFC"/>
            <w:tcMar>
              <w:top w:w="90" w:type="dxa"/>
              <w:left w:w="90" w:type="dxa"/>
              <w:bottom w:w="90" w:type="dxa"/>
              <w:right w:w="90" w:type="dxa"/>
            </w:tcMar>
          </w:tcPr>
          <w:p>
            <w:pPr>
              <w:pStyle w:val="TableText"/>
            </w:pPr>
            <w:r>
              <w:t>Preserve deposited FIFO and oldest-waiting admission, commitment identities and terminal dispositions. Loading is not a fresh return submission.</w:t>
            </w:r>
          </w:p>
        </w:tc>
      </w:tr>
    </w:tbl>
    <w:p>
      <w:pPr>
        <w:pStyle w:val="Small"/>
        <w:spacing w:after="0"/>
      </w:pPr>
    </w:p>
    <w:p>
      <w:pPr>
        <w:pStyle w:val="Heading2"/>
      </w:pPr>
      <w:r>
        <w:t>7.2.1 Full turnaround remains a logical obligation</w:t>
      </w:r>
    </w:p>
    <w:p>
      <w:r>
        <w:t>The previous accepted cue lengths and shutter contact timing remain the ordinary runtime baseline. A reconstructed clip may be shorter, but the saved logical departure must still complete before retirement and FIFO handoff. Conversely, late presentation must not silently move that logical event later. The phase-specific synchronization policy must reconcile both constraints explicitly. [PF §34.2; D05]</w:t>
      </w:r>
    </w:p>
    <w:p>
      <w:pPr>
        <w:pStyle w:val="Heading2"/>
      </w:pPr>
      <w:r>
        <w:t>7.2.2 No hidden capacity or return simulator</w:t>
      </w:r>
    </w:p>
    <w:p>
      <w:r>
        <w:t>One active plus two deposited queued batches remains the capacity. Uncollected deposited cargo persists across midnight. The existing explicit midnight hook affects only still-awaiting returns; the first clock integration supplies that event where applicable. Scenario-controlled arrival wiring does not implement Expedition travel, injuries or a real roster. [PF §§34.5–34.6; GDD §11; D01, D04]</w:t>
      </w:r>
    </w:p>
    <w:p>
      <w:pPr>
        <w:pStyle w:val="Source"/>
      </w:pPr>
      <w:r>
        <w:t>Basis: [PF §§27, 34.2, 34.5–34.7]; [GDD §11]; [D04–D05].</w:t>
      </w:r>
    </w:p>
    <w:p>
      <w:r>
        <w:br w:type="page"/>
      </w:r>
    </w:p>
    <w:p>
      <w:pPr>
        <w:pStyle w:val="Kicker"/>
      </w:pPr>
      <w:r>
        <w:t>SCHEDULING CONTRACT</w:t>
      </w:r>
    </w:p>
    <w:p>
      <w:bookmarkStart w:id="12" w:name="mvp_12"/>
      <w:pPr>
        <w:pStyle w:val="Heading1"/>
      </w:pPr>
      <w:r>
        <w:t>8. Day clock &amp; midnight auto-save</w:t>
      </w:r>
      <w:bookmarkEnd w:id="12"/>
    </w:p>
    <w:p>
      <w:pPr>
        <w:pStyle w:val="Heading2"/>
      </w:pPr>
      <w:r>
        <w:t>8.1 Basic automatic day structure</w:t>
      </w:r>
    </w:p>
    <w:p>
      <w:r>
        <w:t>After the persistent Medical slice, introduce one basic automatic clock for day/time progression and configured request and delivery events. The established structure is 07:00 to midnight, a paused summary, then the next day at 07:00. The later Kitchen anchors are 09:00, 14:00 and 18:00; loadout uses the 07:00–09:00 provisioning window without simulating a journey. [D04; GDD §§3.3, 5.2]</w:t>
      </w:r>
    </w:p>
    <w:p>
      <w:r>
        <w:t>No simulation time passes while the application is closed. Request deadlines do not cross midnight. The GDD’s 25–30 real-minute day is provisional; the actual initial rate and optional development acceleration remain configuration decisions, not fixed acceptance values. [GDD §5.3; D04, D06]</w:t>
      </w:r>
    </w:p>
    <w:p>
      <w:pPr>
        <w:pStyle w:val="Heading2"/>
      </w:pPr>
      <w:r>
        <w:t>8.2 Ordered transition</w:t>
      </w:r>
    </w:p>
    <w:tbl>
      <w:tblPr>
        <w:tblW w:type="auto" w:w="0"/>
        <w:jc w:val="center"/>
        <w:tblLayout w:type="fixed"/>
        <w:tblLook w:firstColumn="1" w:firstRow="1" w:lastColumn="0" w:lastRow="0" w:noHBand="0" w:noVBand="1" w:val="04A0"/>
      </w:tblPr>
      <w:tblGrid>
        <w:gridCol w:w="2131"/>
        <w:gridCol w:w="7528"/>
      </w:tblGrid>
      <w:tr>
        <w:trPr>
          <w:cantSplit/>
          <w:tblHeader/>
        </w:trPr>
        <w:tc>
          <w:tcPr>
            <w:tcW w:type="dxa" w:w="2131"/>
            <w:vAlign w:val="top"/>
            <w:shd w:fill="243944"/>
            <w:tcMar>
              <w:top w:w="90" w:type="dxa"/>
              <w:left w:w="90" w:type="dxa"/>
              <w:bottom w:w="90" w:type="dxa"/>
              <w:right w:w="90" w:type="dxa"/>
            </w:tcMar>
          </w:tcPr>
          <w:p>
            <w:pPr>
              <w:pStyle w:val="TableHead"/>
            </w:pPr>
            <w:r>
              <w:t>Order</w:t>
            </w:r>
          </w:p>
        </w:tc>
        <w:tc>
          <w:tcPr>
            <w:tcW w:type="dxa" w:w="7528"/>
            <w:vAlign w:val="top"/>
            <w:shd w:fill="243944"/>
            <w:tcMar>
              <w:top w:w="90" w:type="dxa"/>
              <w:left w:w="90" w:type="dxa"/>
              <w:bottom w:w="90" w:type="dxa"/>
              <w:right w:w="90" w:type="dxa"/>
            </w:tcMar>
          </w:tcPr>
          <w:p>
            <w:pPr>
              <w:pStyle w:val="TableHead"/>
            </w:pPr>
            <w:r>
              <w:t>Required behavior</w:t>
            </w:r>
          </w:p>
        </w:tc>
      </w:tr>
      <w:tr>
        <w:trPr>
          <w:cantSplit/>
        </w:trPr>
        <w:tc>
          <w:tcPr>
            <w:tcW w:type="dxa" w:w="2131"/>
            <w:vAlign w:val="top"/>
            <w:shd w:fill="F0F5F5"/>
            <w:tcMar>
              <w:top w:w="90" w:type="dxa"/>
              <w:left w:w="90" w:type="dxa"/>
              <w:bottom w:w="90" w:type="dxa"/>
              <w:right w:w="90" w:type="dxa"/>
            </w:tcMar>
          </w:tcPr>
          <w:p>
            <w:pPr>
              <w:pStyle w:val="TableText"/>
            </w:pPr>
            <w:r>
              <w:t>1 — Reach midnight</w:t>
            </w:r>
          </w:p>
        </w:tc>
        <w:tc>
          <w:tcPr>
            <w:tcW w:type="dxa" w:w="7528"/>
            <w:vAlign w:val="top"/>
            <w:shd w:fill="F0F5F5"/>
            <w:tcMar>
              <w:top w:w="90" w:type="dxa"/>
              <w:left w:w="90" w:type="dxa"/>
              <w:bottom w:w="90" w:type="dxa"/>
              <w:right w:w="90" w:type="dxa"/>
            </w:tcMar>
          </w:tcPr>
          <w:p>
            <w:pPr>
              <w:pStyle w:val="TableText"/>
            </w:pPr>
            <w:r>
              <w:t>Stop normal active-day processing at the transition boundary.</w:t>
            </w:r>
          </w:p>
        </w:tc>
      </w:tr>
      <w:tr>
        <w:trPr>
          <w:cantSplit/>
        </w:trPr>
        <w:tc>
          <w:tcPr>
            <w:tcW w:type="dxa" w:w="2131"/>
            <w:vAlign w:val="top"/>
            <w:shd w:fill="FAFBFC"/>
            <w:tcMar>
              <w:top w:w="90" w:type="dxa"/>
              <w:left w:w="90" w:type="dxa"/>
              <w:bottom w:w="90" w:type="dxa"/>
              <w:right w:w="90" w:type="dxa"/>
            </w:tcMar>
          </w:tcPr>
          <w:p>
            <w:pPr>
              <w:pStyle w:val="TableText"/>
            </w:pPr>
            <w:r>
              <w:t>2 — Finalize / prepare</w:t>
            </w:r>
          </w:p>
        </w:tc>
        <w:tc>
          <w:tcPr>
            <w:tcW w:type="dxa" w:w="7528"/>
            <w:vAlign w:val="top"/>
            <w:shd w:fill="FAFBFC"/>
            <w:tcMar>
              <w:top w:w="90" w:type="dxa"/>
              <w:left w:w="90" w:type="dxa"/>
              <w:bottom w:w="90" w:type="dxa"/>
              <w:right w:w="90" w:type="dxa"/>
            </w:tcMar>
          </w:tcPr>
          <w:p>
            <w:pPr>
              <w:pStyle w:val="TableText"/>
            </w:pPr>
            <w:r>
              <w:t>Resolve that day’s simplified request results and prepare next-day state. Preserve supplies, storage organization, deposited cargo and prior commitments.</w:t>
            </w:r>
          </w:p>
        </w:tc>
      </w:tr>
      <w:tr>
        <w:trPr>
          <w:cantSplit/>
        </w:trPr>
        <w:tc>
          <w:tcPr>
            <w:tcW w:type="dxa" w:w="2131"/>
            <w:vAlign w:val="top"/>
            <w:shd w:fill="F0F5F5"/>
            <w:tcMar>
              <w:top w:w="90" w:type="dxa"/>
              <w:left w:w="90" w:type="dxa"/>
              <w:bottom w:w="90" w:type="dxa"/>
              <w:right w:w="90" w:type="dxa"/>
            </w:tcMar>
          </w:tcPr>
          <w:p>
            <w:pPr>
              <w:pStyle w:val="TableText"/>
            </w:pPr>
            <w:r>
              <w:t>3 — Save</w:t>
            </w:r>
          </w:p>
        </w:tc>
        <w:tc>
          <w:tcPr>
            <w:tcW w:type="dxa" w:w="7528"/>
            <w:vAlign w:val="top"/>
            <w:shd w:fill="F0F5F5"/>
            <w:tcMar>
              <w:top w:w="90" w:type="dxa"/>
              <w:left w:w="90" w:type="dxa"/>
              <w:bottom w:w="90" w:type="dxa"/>
              <w:right w:w="90" w:type="dxa"/>
            </w:tcMar>
          </w:tcPr>
          <w:p>
            <w:pPr>
              <w:pStyle w:val="TableText"/>
            </w:pPr>
            <w:r>
              <w:t>Invoke the same save operation used manually, once the transitioned state is coherent.</w:t>
            </w:r>
          </w:p>
        </w:tc>
      </w:tr>
      <w:tr>
        <w:trPr>
          <w:cantSplit/>
        </w:trPr>
        <w:tc>
          <w:tcPr>
            <w:tcW w:type="dxa" w:w="2131"/>
            <w:vAlign w:val="top"/>
            <w:shd w:fill="FAFBFC"/>
            <w:tcMar>
              <w:top w:w="90" w:type="dxa"/>
              <w:left w:w="90" w:type="dxa"/>
              <w:bottom w:w="90" w:type="dxa"/>
              <w:right w:w="90" w:type="dxa"/>
            </w:tcMar>
          </w:tcPr>
          <w:p>
            <w:pPr>
              <w:pStyle w:val="TableText"/>
            </w:pPr>
            <w:r>
              <w:t>4 — Present</w:t>
            </w:r>
          </w:p>
        </w:tc>
        <w:tc>
          <w:tcPr>
            <w:tcW w:type="dxa" w:w="7528"/>
            <w:vAlign w:val="top"/>
            <w:shd w:fill="FAFBFC"/>
            <w:tcMar>
              <w:top w:w="90" w:type="dxa"/>
              <w:left w:w="90" w:type="dxa"/>
              <w:bottom w:w="90" w:type="dxa"/>
              <w:right w:w="90" w:type="dxa"/>
            </w:tcMar>
          </w:tcPr>
          <w:p>
            <w:pPr>
              <w:pStyle w:val="TableText"/>
            </w:pPr>
            <w:r>
              <w:t>Show the paused summary; continue into the already-prepared next day without resolving midnight again.</w:t>
            </w:r>
          </w:p>
        </w:tc>
      </w:tr>
    </w:tbl>
    <w:p>
      <w:pPr>
        <w:pStyle w:val="Small"/>
        <w:spacing w:after="0"/>
      </w:pPr>
    </w:p>
    <w:p>
      <w:r>
        <w:t>The saved state must identify that midnight was processed and whether the summary is pending. Closing at the summary and continuing later cannot consume inputs again, award request credit again, issue duplicate deliveries or prepare the next day twice. Exact same-timestamp ordering among request closure, arrival/admission and the midnight hook remains to be specified before M2. [D04–D05; §17]</w:t>
      </w:r>
    </w:p>
    <w:p>
      <w:pPr>
        <w:pStyle w:val="Heading2"/>
      </w:pPr>
      <w:r>
        <w:t>8.3 Ordinary auto-save failure</w:t>
      </w:r>
    </w:p>
    <w:p>
      <w:r>
        <w:t>Display a visible failure warning; do not claim the run was saved. The previous successful save remains the last durable continuation point. The agreed warning/preservation behavior does not add crash recovery. Retry controls or whether play remains paused after this particular warning require a bounded UI choice; Save &amp; Exit’s failure behavior is already fixed in §9. [D04; D09]</w:t>
      </w:r>
    </w:p>
    <w:p>
      <w:pPr>
        <w:pStyle w:val="Source"/>
      </w:pPr>
      <w:r>
        <w:t>Basis: [D04–D06, D09]; [GDD §§3.3, 5.2–5.5, 11.5]; [PF §34.5].</w:t>
      </w:r>
    </w:p>
    <w:p>
      <w:r>
        <w:br w:type="page"/>
      </w:r>
    </w:p>
    <w:p>
      <w:pPr>
        <w:pStyle w:val="Kicker"/>
      </w:pPr>
      <w:r>
        <w:t>PLAYER-FACING FOUNDATION</w:t>
      </w:r>
    </w:p>
    <w:p>
      <w:bookmarkStart w:id="13" w:name="mvp_13"/>
      <w:pPr>
        <w:pStyle w:val="Heading1"/>
      </w:pPr>
      <w:r>
        <w:t>9. Minimal menu, pause &amp; clock HUD</w:t>
      </w:r>
      <w:bookmarkEnd w:id="13"/>
    </w:p>
    <w:p>
      <w:pPr>
        <w:pStyle w:val="Heading2"/>
      </w:pPr>
      <w:r>
        <w:t>9.1 Barebones launch and ESC menu</w:t>
      </w:r>
    </w:p>
    <w:tbl>
      <w:tblPr>
        <w:tblW w:type="auto" w:w="0"/>
        <w:jc w:val="center"/>
        <w:tblLayout w:type="fixed"/>
        <w:tblLook w:firstColumn="1" w:firstRow="1" w:lastColumn="0" w:lastRow="0" w:noHBand="0" w:noVBand="1" w:val="04A0"/>
      </w:tblPr>
      <w:tblGrid>
        <w:gridCol w:w="2736"/>
        <w:gridCol w:w="6923"/>
      </w:tblGrid>
      <w:tr>
        <w:trPr>
          <w:cantSplit/>
          <w:tblHeader/>
        </w:trPr>
        <w:tc>
          <w:tcPr>
            <w:tcW w:type="dxa" w:w="2736"/>
            <w:vAlign w:val="top"/>
            <w:shd w:fill="243944"/>
            <w:tcMar>
              <w:top w:w="90" w:type="dxa"/>
              <w:left w:w="90" w:type="dxa"/>
              <w:bottom w:w="90" w:type="dxa"/>
              <w:right w:w="90" w:type="dxa"/>
            </w:tcMar>
          </w:tcPr>
          <w:p>
            <w:pPr>
              <w:pStyle w:val="TableHead"/>
            </w:pPr>
            <w:r>
              <w:t>Context</w:t>
            </w:r>
          </w:p>
        </w:tc>
        <w:tc>
          <w:tcPr>
            <w:tcW w:type="dxa" w:w="6923"/>
            <w:vAlign w:val="top"/>
            <w:shd w:fill="243944"/>
            <w:tcMar>
              <w:top w:w="90" w:type="dxa"/>
              <w:left w:w="90" w:type="dxa"/>
              <w:bottom w:w="90" w:type="dxa"/>
              <w:right w:w="90" w:type="dxa"/>
            </w:tcMar>
          </w:tcPr>
          <w:p>
            <w:pPr>
              <w:pStyle w:val="TableHead"/>
            </w:pPr>
            <w:r>
              <w:t>Actions / behavior</w:t>
            </w:r>
          </w:p>
        </w:tc>
      </w:tr>
      <w:tr>
        <w:trPr>
          <w:cantSplit/>
        </w:trPr>
        <w:tc>
          <w:tcPr>
            <w:tcW w:type="dxa" w:w="2736"/>
            <w:vAlign w:val="top"/>
            <w:shd w:fill="F0F5F5"/>
            <w:tcMar>
              <w:top w:w="90" w:type="dxa"/>
              <w:left w:w="90" w:type="dxa"/>
              <w:bottom w:w="90" w:type="dxa"/>
              <w:right w:w="90" w:type="dxa"/>
            </w:tcMar>
          </w:tcPr>
          <w:p>
            <w:pPr>
              <w:pStyle w:val="TableText"/>
            </w:pPr>
            <w:r>
              <w:t>Launch</w:t>
            </w:r>
          </w:p>
        </w:tc>
        <w:tc>
          <w:tcPr>
            <w:tcW w:type="dxa" w:w="6923"/>
            <w:vAlign w:val="top"/>
            <w:shd w:fill="F0F5F5"/>
            <w:tcMar>
              <w:top w:w="90" w:type="dxa"/>
              <w:left w:w="90" w:type="dxa"/>
              <w:bottom w:w="90" w:type="dxa"/>
              <w:right w:w="90" w:type="dxa"/>
            </w:tcMar>
          </w:tcPr>
          <w:p>
            <w:pPr>
              <w:pStyle w:val="TableText"/>
            </w:pPr>
            <w:r>
              <w:t>New Run; Continue restores the single active compatible save. With no valid save, Continue is greyed out and cannot be selected.</w:t>
            </w:r>
          </w:p>
        </w:tc>
      </w:tr>
      <w:tr>
        <w:trPr>
          <w:cantSplit/>
        </w:trPr>
        <w:tc>
          <w:tcPr>
            <w:tcW w:type="dxa" w:w="2736"/>
            <w:vAlign w:val="top"/>
            <w:shd w:fill="FAFBFC"/>
            <w:tcMar>
              <w:top w:w="90" w:type="dxa"/>
              <w:left w:w="90" w:type="dxa"/>
              <w:bottom w:w="90" w:type="dxa"/>
              <w:right w:w="90" w:type="dxa"/>
            </w:tcMar>
          </w:tcPr>
          <w:p>
            <w:pPr>
              <w:pStyle w:val="TableText"/>
            </w:pPr>
            <w:r>
              <w:t>In-game ESC</w:t>
            </w:r>
          </w:p>
        </w:tc>
        <w:tc>
          <w:tcPr>
            <w:tcW w:type="dxa" w:w="6923"/>
            <w:vAlign w:val="top"/>
            <w:shd w:fill="FAFBFC"/>
            <w:tcMar>
              <w:top w:w="90" w:type="dxa"/>
              <w:left w:w="90" w:type="dxa"/>
              <w:bottom w:w="90" w:type="dxa"/>
              <w:right w:w="90" w:type="dxa"/>
            </w:tcMar>
          </w:tcPr>
          <w:p>
            <w:pPr>
              <w:pStyle w:val="TableText"/>
            </w:pPr>
            <w:r>
              <w:t>Resume; Save &amp; Exit; New Run.</w:t>
            </w:r>
          </w:p>
        </w:tc>
      </w:tr>
      <w:tr>
        <w:trPr>
          <w:cantSplit/>
        </w:trPr>
        <w:tc>
          <w:tcPr>
            <w:tcW w:type="dxa" w:w="2736"/>
            <w:vAlign w:val="top"/>
            <w:shd w:fill="F0F5F5"/>
            <w:tcMar>
              <w:top w:w="90" w:type="dxa"/>
              <w:left w:w="90" w:type="dxa"/>
              <w:bottom w:w="90" w:type="dxa"/>
              <w:right w:w="90" w:type="dxa"/>
            </w:tcMar>
          </w:tcPr>
          <w:p>
            <w:pPr>
              <w:pStyle w:val="TableText"/>
            </w:pPr>
            <w:r>
              <w:t>Resume / ESC again</w:t>
            </w:r>
          </w:p>
        </w:tc>
        <w:tc>
          <w:tcPr>
            <w:tcW w:type="dxa" w:w="6923"/>
            <w:vAlign w:val="top"/>
            <w:shd w:fill="F0F5F5"/>
            <w:tcMar>
              <w:top w:w="90" w:type="dxa"/>
              <w:left w:w="90" w:type="dxa"/>
              <w:bottom w:w="90" w:type="dxa"/>
              <w:right w:w="90" w:type="dxa"/>
            </w:tcMar>
          </w:tcPr>
          <w:p>
            <w:pPr>
              <w:pStyle w:val="TableText"/>
            </w:pPr>
            <w:r>
              <w:t>Resume the paused session from the same state, with no elapsed simulation time or catch-up.</w:t>
            </w:r>
          </w:p>
        </w:tc>
      </w:tr>
      <w:tr>
        <w:trPr>
          <w:cantSplit/>
        </w:trPr>
        <w:tc>
          <w:tcPr>
            <w:tcW w:type="dxa" w:w="2736"/>
            <w:vAlign w:val="top"/>
            <w:shd w:fill="FAFBFC"/>
            <w:tcMar>
              <w:top w:w="90" w:type="dxa"/>
              <w:left w:w="90" w:type="dxa"/>
              <w:bottom w:w="90" w:type="dxa"/>
              <w:right w:w="90" w:type="dxa"/>
            </w:tcMar>
          </w:tcPr>
          <w:p>
            <w:pPr>
              <w:pStyle w:val="TableText"/>
            </w:pPr>
            <w:r>
              <w:t>New Run with an existing save</w:t>
            </w:r>
          </w:p>
        </w:tc>
        <w:tc>
          <w:tcPr>
            <w:tcW w:type="dxa" w:w="6923"/>
            <w:vAlign w:val="top"/>
            <w:shd w:fill="FAFBFC"/>
            <w:tcMar>
              <w:top w:w="90" w:type="dxa"/>
              <w:left w:w="90" w:type="dxa"/>
              <w:bottom w:w="90" w:type="dxa"/>
              <w:right w:w="90" w:type="dxa"/>
            </w:tcMar>
          </w:tcPr>
          <w:p>
            <w:pPr>
              <w:pStyle w:val="TableText"/>
            </w:pPr>
            <w:r>
              <w:t>Confirm before replacing the single slot. Continue must never perform this reset.</w:t>
            </w:r>
          </w:p>
        </w:tc>
      </w:tr>
      <w:tr>
        <w:trPr>
          <w:cantSplit/>
        </w:trPr>
        <w:tc>
          <w:tcPr>
            <w:tcW w:type="dxa" w:w="2736"/>
            <w:vAlign w:val="top"/>
            <w:shd w:fill="F0F5F5"/>
            <w:tcMar>
              <w:top w:w="90" w:type="dxa"/>
              <w:left w:w="90" w:type="dxa"/>
              <w:bottom w:w="90" w:type="dxa"/>
              <w:right w:w="90" w:type="dxa"/>
            </w:tcMar>
          </w:tcPr>
          <w:p>
            <w:pPr>
              <w:pStyle w:val="TableText"/>
            </w:pPr>
            <w:r>
              <w:t>Save &amp; Exit succeeds</w:t>
            </w:r>
          </w:p>
        </w:tc>
        <w:tc>
          <w:tcPr>
            <w:tcW w:type="dxa" w:w="6923"/>
            <w:vAlign w:val="top"/>
            <w:shd w:fill="F0F5F5"/>
            <w:tcMar>
              <w:top w:w="90" w:type="dxa"/>
              <w:left w:w="90" w:type="dxa"/>
              <w:bottom w:w="90" w:type="dxa"/>
              <w:right w:w="90" w:type="dxa"/>
            </w:tcMar>
          </w:tcPr>
          <w:p>
            <w:pPr>
              <w:pStyle w:val="TableText"/>
            </w:pPr>
            <w:r>
              <w:t>Save the current coherent state, then leave the active run and return to the launch menu.</w:t>
            </w:r>
          </w:p>
        </w:tc>
      </w:tr>
      <w:tr>
        <w:trPr>
          <w:cantSplit/>
        </w:trPr>
        <w:tc>
          <w:tcPr>
            <w:tcW w:type="dxa" w:w="2736"/>
            <w:vAlign w:val="top"/>
            <w:shd w:fill="FAFBFC"/>
            <w:tcMar>
              <w:top w:w="90" w:type="dxa"/>
              <w:left w:w="90" w:type="dxa"/>
              <w:bottom w:w="90" w:type="dxa"/>
              <w:right w:w="90" w:type="dxa"/>
            </w:tcMar>
          </w:tcPr>
          <w:p>
            <w:pPr>
              <w:pStyle w:val="TableText"/>
            </w:pPr>
            <w:r>
              <w:t>Save &amp; Exit fails</w:t>
            </w:r>
          </w:p>
        </w:tc>
        <w:tc>
          <w:tcPr>
            <w:tcW w:type="dxa" w:w="6923"/>
            <w:vAlign w:val="top"/>
            <w:shd w:fill="FAFBFC"/>
            <w:tcMar>
              <w:top w:w="90" w:type="dxa"/>
              <w:left w:w="90" w:type="dxa"/>
              <w:bottom w:w="90" w:type="dxa"/>
              <w:right w:w="90" w:type="dxa"/>
            </w:tcMar>
          </w:tcPr>
          <w:p>
            <w:pPr>
              <w:pStyle w:val="TableText"/>
            </w:pPr>
            <w:r>
              <w:t>Stay paused in the current run and show an error instead of leaving it.</w:t>
            </w:r>
          </w:p>
        </w:tc>
      </w:tr>
    </w:tbl>
    <w:p>
      <w:pPr>
        <w:pStyle w:val="Small"/>
        <w:spacing w:after="0"/>
      </w:pPr>
    </w:p>
    <w:p>
      <w:r>
        <w:t>Use a conventional centered, minimal ESC menu over a semi-transparent dark overlay. Subtle blur is optional only if inexpensive under the retained Compatibility renderer. Continue is disabled and visually greyed out with no valid saved run, at launch and wherever the control appears. The agreed player saving control is Save &amp; Exit; a separate Save/Quick Save is not part of M1 or the intended final Ironman-style player UI. Do not introduce rollback slots through timestamped filenames. [D08–D09, D11]</w:t>
      </w:r>
    </w:p>
    <w:p>
      <w:pPr>
        <w:pStyle w:val="Heading2"/>
      </w:pPr>
      <w:r>
        <w:t>9.2 ESC is a full gameplay pause</w:t>
      </w:r>
    </w:p>
    <w:p>
      <w:r>
        <w:t>Pause the authoritative clock, scheduled events/deadlines, player movement and interactions, transfers, Receiving logical progression, shutter animation and its associated audio. Resume the existing theatre rather than rebuilding it. Zoning retains its established pause behavior; menu/modal ownership must prevent one overlay from unpausing another. Ordinary request handling does not pause time. [D09; GDD §5.3]</w:t>
      </w:r>
    </w:p>
    <w:p>
      <w:pPr>
        <w:pStyle w:val="Heading2"/>
      </w:pPr>
      <w:r>
        <w:t>9.3 Persistent development digital clock</w:t>
      </w:r>
    </w:p>
    <w:p>
      <w:r>
        <w:t>From the clock stage, show a compact digital day/time HUD independently of room, viewpoint or any physical clock asset. Read the authoritative clock directly; do not maintain a second timer. Seconds are available for development timing checks, with a clear paused/time-acceleration indication where applicable. Placement and the earlier large mock clock were illustrative, not locked UI. [D06]</w:t>
      </w:r>
    </w:p>
    <w:p>
      <w:r>
        <w:t>Later in-world clock objects can read the same source. Removing or hiding the development overlay must not require changing simulation chronology. Physical clock assets and their room installation are not prerequisites for timing validation. The development overlay is an explicit MVP exception to the otherwise restrained persistent-HUD design. [D06; GDD §16.2; VDD §§7, 14]</w:t>
      </w:r>
    </w:p>
    <w:p>
      <w:pPr>
        <w:pStyle w:val="Source"/>
      </w:pPr>
      <w:r>
        <w:t>Basis: [D06, D08–D09]; [GDD §§5.3, 16.2]; [VDD §§7, 14].</w:t>
      </w:r>
    </w:p>
    <w:p>
      <w:r>
        <w:br w:type="page"/>
      </w:r>
    </w:p>
    <w:p>
      <w:pPr>
        <w:pStyle w:val="Kicker"/>
      </w:pPr>
      <w:r>
        <w:t>CONTROLLED INPUTS, PERSISTENT RUN</w:t>
      </w:r>
    </w:p>
    <w:p>
      <w:bookmarkStart w:id="14" w:name="mvp_14"/>
      <w:pPr>
        <w:pStyle w:val="Heading1"/>
      </w:pPr>
      <w:r>
        <w:t>10. Authored multi-day scenarios</w:t>
      </w:r>
      <w:bookmarkEnd w:id="14"/>
    </w:p>
    <w:p>
      <w:pPr>
        <w:pStyle w:val="Callout"/>
        <w:shd w:fill="EDF3F3"/>
        <w:spacing w:before="120" w:after="200"/>
        <w:ind w:left="144" w:right="144"/>
      </w:pPr>
      <w:r>
        <w:rPr>
          <w:b/>
        </w:rPr>
        <w:t>The scenario describes what should happen. The saved run records what has happened.</w:t>
      </w:r>
      <w:r>
        <w:t xml:space="preserve"> Continue never regenerates starting supplies, clears request progress or replays already-triggered events. [D02, D07]</w:t>
      </w:r>
    </w:p>
    <w:tbl>
      <w:tblPr>
        <w:tblW w:type="auto" w:w="0"/>
        <w:jc w:val="center"/>
        <w:tblLayout w:type="fixed"/>
        <w:tblLook w:firstColumn="1" w:firstRow="1" w:lastColumn="0" w:lastRow="0" w:noHBand="0" w:noVBand="1" w:val="04A0"/>
      </w:tblPr>
      <w:tblGrid>
        <w:gridCol w:w="2419"/>
        <w:gridCol w:w="7240"/>
      </w:tblGrid>
      <w:tr>
        <w:trPr>
          <w:cantSplit/>
          <w:tblHeader/>
        </w:trPr>
        <w:tc>
          <w:tcPr>
            <w:tcW w:type="dxa" w:w="2419"/>
            <w:vAlign w:val="top"/>
            <w:shd w:fill="243944"/>
            <w:tcMar>
              <w:top w:w="90" w:type="dxa"/>
              <w:left w:w="90" w:type="dxa"/>
              <w:bottom w:w="90" w:type="dxa"/>
              <w:right w:w="90" w:type="dxa"/>
            </w:tcMar>
          </w:tcPr>
          <w:p>
            <w:pPr>
              <w:pStyle w:val="TableHead"/>
            </w:pPr>
            <w:r>
              <w:t>Authored input</w:t>
            </w:r>
          </w:p>
        </w:tc>
        <w:tc>
          <w:tcPr>
            <w:tcW w:type="dxa" w:w="7240"/>
            <w:vAlign w:val="top"/>
            <w:shd w:fill="243944"/>
            <w:tcMar>
              <w:top w:w="90" w:type="dxa"/>
              <w:left w:w="90" w:type="dxa"/>
              <w:bottom w:w="90" w:type="dxa"/>
              <w:right w:w="90" w:type="dxa"/>
            </w:tcMar>
          </w:tcPr>
          <w:p>
            <w:pPr>
              <w:pStyle w:val="TableHead"/>
            </w:pPr>
            <w:r>
              <w:t>Boundary</w:t>
            </w:r>
          </w:p>
        </w:tc>
      </w:tr>
      <w:tr>
        <w:trPr>
          <w:cantSplit/>
        </w:trPr>
        <w:tc>
          <w:tcPr>
            <w:tcW w:type="dxa" w:w="2419"/>
            <w:vAlign w:val="top"/>
            <w:shd w:fill="F0F5F5"/>
            <w:tcMar>
              <w:top w:w="90" w:type="dxa"/>
              <w:left w:w="90" w:type="dxa"/>
              <w:bottom w:w="90" w:type="dxa"/>
              <w:right w:w="90" w:type="dxa"/>
            </w:tcMar>
          </w:tcPr>
          <w:p>
            <w:pPr>
              <w:pStyle w:val="TableText"/>
            </w:pPr>
            <w:r>
              <w:t>Initial conditions</w:t>
            </w:r>
          </w:p>
        </w:tc>
        <w:tc>
          <w:tcPr>
            <w:tcW w:type="dxa" w:w="7240"/>
            <w:vAlign w:val="top"/>
            <w:shd w:fill="F0F5F5"/>
            <w:tcMar>
              <w:top w:w="90" w:type="dxa"/>
              <w:left w:w="90" w:type="dxa"/>
              <w:bottom w:w="90" w:type="dxa"/>
              <w:right w:w="90" w:type="dxa"/>
            </w:tcMar>
          </w:tcPr>
          <w:p>
            <w:pPr>
              <w:pStyle w:val="TableText"/>
            </w:pPr>
            <w:r>
              <w:t>One-time starting supplies and supported storage setup for New Run; not a repeating daily grant.</w:t>
            </w:r>
          </w:p>
        </w:tc>
      </w:tr>
      <w:tr>
        <w:trPr>
          <w:cantSplit/>
        </w:trPr>
        <w:tc>
          <w:tcPr>
            <w:tcW w:type="dxa" w:w="2419"/>
            <w:vAlign w:val="top"/>
            <w:shd w:fill="FAFBFC"/>
            <w:tcMar>
              <w:top w:w="90" w:type="dxa"/>
              <w:left w:w="90" w:type="dxa"/>
              <w:bottom w:w="90" w:type="dxa"/>
              <w:right w:w="90" w:type="dxa"/>
            </w:tcMar>
          </w:tcPr>
          <w:p>
            <w:pPr>
              <w:pStyle w:val="TableText"/>
            </w:pPr>
            <w:r>
              <w:t>Incoming deliveries</w:t>
            </w:r>
          </w:p>
        </w:tc>
        <w:tc>
          <w:tcPr>
            <w:tcW w:type="dxa" w:w="7240"/>
            <w:vAlign w:val="top"/>
            <w:shd w:fill="FAFBFC"/>
            <w:tcMar>
              <w:top w:w="90" w:type="dxa"/>
              <w:left w:w="90" w:type="dxa"/>
              <w:bottom w:w="90" w:type="dxa"/>
              <w:right w:w="90" w:type="dxa"/>
            </w:tcMar>
          </w:tcPr>
          <w:p>
            <w:pPr>
              <w:pStyle w:val="TableText"/>
            </w:pPr>
            <w:r>
              <w:t>Specific committed batches and event times, using existing Receiving presentation and ownership.</w:t>
            </w:r>
          </w:p>
        </w:tc>
      </w:tr>
      <w:tr>
        <w:trPr>
          <w:cantSplit/>
        </w:trPr>
        <w:tc>
          <w:tcPr>
            <w:tcW w:type="dxa" w:w="2419"/>
            <w:vAlign w:val="top"/>
            <w:shd w:fill="F0F5F5"/>
            <w:tcMar>
              <w:top w:w="90" w:type="dxa"/>
              <w:left w:w="90" w:type="dxa"/>
              <w:bottom w:w="90" w:type="dxa"/>
              <w:right w:w="90" w:type="dxa"/>
            </w:tcMar>
          </w:tcPr>
          <w:p>
            <w:pPr>
              <w:pStyle w:val="TableText"/>
            </w:pPr>
            <w:r>
              <w:t>Medical requirements</w:t>
            </w:r>
          </w:p>
        </w:tc>
        <w:tc>
          <w:tcPr>
            <w:tcW w:type="dxa" w:w="7240"/>
            <w:vAlign w:val="top"/>
            <w:shd w:fill="F0F5F5"/>
            <w:tcMar>
              <w:top w:w="90" w:type="dxa"/>
              <w:left w:w="90" w:type="dxa"/>
              <w:bottom w:w="90" w:type="dxa"/>
              <w:right w:w="90" w:type="dxa"/>
            </w:tcMar>
          </w:tcPr>
          <w:p>
            <w:pPr>
              <w:pStyle w:val="TableText"/>
            </w:pPr>
            <w:r>
              <w:t>Configured per-day requirements; no patient model is implied.</w:t>
            </w:r>
          </w:p>
        </w:tc>
      </w:tr>
      <w:tr>
        <w:trPr>
          <w:cantSplit/>
        </w:trPr>
        <w:tc>
          <w:tcPr>
            <w:tcW w:type="dxa" w:w="2419"/>
            <w:vAlign w:val="top"/>
            <w:shd w:fill="FAFBFC"/>
            <w:tcMar>
              <w:top w:w="90" w:type="dxa"/>
              <w:left w:w="90" w:type="dxa"/>
              <w:bottom w:w="90" w:type="dxa"/>
              <w:right w:w="90" w:type="dxa"/>
            </w:tcMar>
          </w:tcPr>
          <w:p>
            <w:pPr>
              <w:pStyle w:val="TableText"/>
            </w:pPr>
            <w:r>
              <w:t>Kitchen requirements</w:t>
            </w:r>
          </w:p>
        </w:tc>
        <w:tc>
          <w:tcPr>
            <w:tcW w:type="dxa" w:w="7240"/>
            <w:vAlign w:val="top"/>
            <w:shd w:fill="FAFBFC"/>
            <w:tcMar>
              <w:top w:w="90" w:type="dxa"/>
              <w:left w:w="90" w:type="dxa"/>
              <w:bottom w:w="90" w:type="dxa"/>
              <w:right w:w="90" w:type="dxa"/>
            </w:tcMar>
          </w:tcPr>
          <w:p>
            <w:pPr>
              <w:pStyle w:val="TableText"/>
            </w:pPr>
            <w:r>
              <w:t>Food/Hydration targets at meal events; no actual kitchen consumption simulation is needed.</w:t>
            </w:r>
          </w:p>
        </w:tc>
      </w:tr>
      <w:tr>
        <w:trPr>
          <w:cantSplit/>
        </w:trPr>
        <w:tc>
          <w:tcPr>
            <w:tcW w:type="dxa" w:w="2419"/>
            <w:vAlign w:val="top"/>
            <w:shd w:fill="F0F5F5"/>
            <w:tcMar>
              <w:top w:w="90" w:type="dxa"/>
              <w:left w:w="90" w:type="dxa"/>
              <w:bottom w:w="90" w:type="dxa"/>
              <w:right w:w="90" w:type="dxa"/>
            </w:tcMar>
          </w:tcPr>
          <w:p>
            <w:pPr>
              <w:pStyle w:val="TableText"/>
            </w:pPr>
            <w:r>
              <w:t>Loadout requirements</w:t>
            </w:r>
          </w:p>
        </w:tc>
        <w:tc>
          <w:tcPr>
            <w:tcW w:type="dxa" w:w="7240"/>
            <w:vAlign w:val="top"/>
            <w:shd w:fill="F0F5F5"/>
            <w:tcMar>
              <w:top w:w="90" w:type="dxa"/>
              <w:left w:w="90" w:type="dxa"/>
              <w:bottom w:w="90" w:type="dxa"/>
              <w:right w:w="90" w:type="dxa"/>
            </w:tcMar>
          </w:tcPr>
          <w:p>
            <w:pPr>
              <w:pStyle w:val="TableText"/>
            </w:pPr>
            <w:r>
              <w:t>Team-labelled five-lane requests and capacity values; no underlying population or travel roster is required.</w:t>
            </w:r>
          </w:p>
        </w:tc>
      </w:tr>
      <w:tr>
        <w:trPr>
          <w:cantSplit/>
        </w:trPr>
        <w:tc>
          <w:tcPr>
            <w:tcW w:type="dxa" w:w="2419"/>
            <w:vAlign w:val="top"/>
            <w:shd w:fill="FAFBFC"/>
            <w:tcMar>
              <w:top w:w="90" w:type="dxa"/>
              <w:left w:w="90" w:type="dxa"/>
              <w:bottom w:w="90" w:type="dxa"/>
              <w:right w:w="90" w:type="dxa"/>
            </w:tcMar>
          </w:tcPr>
          <w:p>
            <w:pPr>
              <w:pStyle w:val="TableText"/>
            </w:pPr>
            <w:r>
              <w:t>Progression</w:t>
            </w:r>
          </w:p>
        </w:tc>
        <w:tc>
          <w:tcPr>
            <w:tcW w:type="dxa" w:w="7240"/>
            <w:vAlign w:val="top"/>
            <w:shd w:fill="FAFBFC"/>
            <w:tcMar>
              <w:top w:w="90" w:type="dxa"/>
              <w:left w:w="90" w:type="dxa"/>
              <w:bottom w:w="90" w:type="dxa"/>
              <w:right w:w="90" w:type="dxa"/>
            </w:tcMar>
          </w:tcPr>
          <w:p>
            <w:pPr>
              <w:pStyle w:val="TableText"/>
            </w:pPr>
            <w:r>
              <w:t>A deterministic multi-day sequence with deliberate variations in scarcity and competing obligations.</w:t>
            </w:r>
          </w:p>
        </w:tc>
      </w:tr>
    </w:tbl>
    <w:p>
      <w:pPr>
        <w:pStyle w:val="Small"/>
        <w:spacing w:after="0"/>
      </w:pPr>
    </w:p>
    <w:p>
      <w:pPr>
        <w:pStyle w:val="Heading2"/>
      </w:pPr>
      <w:r>
        <w:t>10.1 Separate scenario data from runtime state</w:t>
      </w:r>
    </w:p>
    <w:p>
      <w:r>
        <w:t>An event requires a stable identity and a saved occurrence/progress state sufficient to prevent duplicate issue on load. New cargo receives fresh identities independently of content determinism; a saved commitment retains its original identity and arrangement. The concrete definition format, event order and commitment timing belong in the slice design, not an improvised second gameplay path. [D02–D03, D07]</w:t>
      </w:r>
    </w:p>
    <w:p>
      <w:r>
        <w:t>Supplies are not reset per launch or day, topped up whenever the player runs low, or rerolled merely because a batch is awkward to present. Incoming assortment and all numerical targets are testing inputs, not final economy specifications. Configure unsupported-category inflow deliberately so Fuel/Morale/Electronics accumulation is not mistaken for evidence about a three-consumer economy. [D01–D02, D07]</w:t>
      </w:r>
    </w:p>
    <w:p>
      <w:pPr>
        <w:pStyle w:val="Heading2"/>
      </w:pPr>
      <w:r>
        <w:t>10.2 Fallback, not parallel implementation</w:t>
      </w:r>
    </w:p>
    <w:p>
      <w:r>
        <w:t>Authored scenarios are sufficient initially. A parameterized generator controlling quantities, Bulk, Utility and timing is a fallback only if authored scenarios prove too rigid. It should feed the same definitions, requests and delivery infrastructure. No generator, live-balancing dashboard or full Expedition outcome model is part of this edition’s initial build. [D07]</w:t>
      </w:r>
    </w:p>
    <w:p>
      <w:pPr>
        <w:pStyle w:val="Small"/>
      </w:pPr>
      <w:r>
        <w:t>Scenario duration, starting inventory, actual daily targets, precise delivery composition, future-demand visibility and end-of-scenario behavior are not yet approved numerical or UX choices. They remain explicit entries in §17.</w:t>
      </w:r>
    </w:p>
    <w:p>
      <w:pPr>
        <w:pStyle w:val="Source"/>
      </w:pPr>
      <w:r>
        <w:t>Basis: [D01–D03, D07]; [GDD §§6, 8, 11, 19]; [H14 §5].</w:t>
      </w:r>
    </w:p>
    <w:p>
      <w:r>
        <w:br w:type="page"/>
      </w:r>
    </w:p>
    <w:p>
      <w:pPr>
        <w:pStyle w:val="Kicker"/>
      </w:pPr>
      <w:r>
        <w:t>SHARED COLLECTION, SIMPLE RESULTS</w:t>
      </w:r>
    </w:p>
    <w:p>
      <w:bookmarkStart w:id="15" w:name="mvp_15"/>
      <w:pPr>
        <w:pStyle w:val="Heading1"/>
      </w:pPr>
      <w:r>
        <w:t>11. Medical &amp; Kitchen consumers</w:t>
      </w:r>
      <w:bookmarkEnd w:id="15"/>
    </w:p>
    <w:p>
      <w:pPr>
        <w:pStyle w:val="Heading2"/>
      </w:pPr>
      <w:r>
        <w:t>11.1 Medical first</w:t>
      </w:r>
    </w:p>
    <w:p>
      <w:r>
        <w:t>M1 uses the existing MedicalInterface placeholder in the accepted Medical Supply Anteroom as the real physical collection point. New Run creates exactly one already-open Medical request (no clock or deadline in M1). The first E press at the proxy opens its non-pausing contribution panel, showing required, credited and projected Medical Utility for the selected carried item; the second E attempts the one-item submission. Eligibility comes from actual item Utility at the Medical destination, never from Storage Category. Reaching the target immediately closes the request; the closed result remains inspectable and persists after loading. [D01–D02, D13–D15]</w:t>
      </w:r>
    </w:p>
    <w:p>
      <w:r>
        <w:t>There are no actual injured scavengers consuming supplies, patient cohorts, triage, treatment stages, Meal-related treatment rolls or mortality checks in this initial consumer. Those remain later GDD behavior. The earlier suggestion to start with a treatment-eligible Light-injury cohort was superseded by the developer’s simplified-consumption direction. [D01; GDD §13]</w:t>
      </w:r>
    </w:p>
    <w:p>
      <w:r>
        <w:t>M1 needs no temporary player-facing open/close or request-regeneration controls. The fixed initially open request tests eligible contribution, ineligible or closed rejection, partial progress, exact completion, last-item excess waste and normal save/reload; no balance or ongoing Medical demand generation is asserted. A small representative subset of eligible catalogue definitions needs provisional positive Medical Utility, since Storage Category alone does not establish it. M2 later activates new requests through the authoritative clock without replacing the collector. [D13–D14; P01]</w:t>
      </w:r>
    </w:p>
    <w:p>
      <w:pPr>
        <w:pStyle w:val="Heading2"/>
      </w:pPr>
      <w:r>
        <w:t>11.2 Kitchen second</w:t>
      </w:r>
    </w:p>
    <w:p>
      <w:r>
        <w:t>Kitchen (M3) uses the existing KitchenInterface placeholder, opening the same request/contribution panel with separate Food and Hydration lanes. It reuses the collector, per-item E submission, committed-versus-preview segments, ineligible warning, caps/waste and save mechanisms. An item may affect at most one active Kitchen lane and cannot be auto-chosen from the carried bundle. Requests follow the established meal anchors once the clock exists; targets remain scenario-authored rather than population-derived. [D01–D02, D13–D15; GDD §12.2]</w:t>
      </w:r>
    </w:p>
    <w:p>
      <w:r>
        <w:t>Preserve separate Food/Hydration accounting and partial fulfillment. The GDD defines daily Meal Coverage as the average of the six capped lane coverages across three meals; an aggregate may be reported without claiming that treatment or Workshop effects are operating. Ration conversion, overnight physical ration output and output-capacity blocking remain later work. [GDD §§12.2–12.3]</w:t>
      </w:r>
    </w:p>
    <w:p>
      <w:pPr>
        <w:pStyle w:val="Heading2"/>
      </w:pPr>
      <w:r>
        <w:t>11.3 Real destinations, not floating test sinks</w:t>
      </w:r>
    </w:p>
    <w:p>
      <w:r>
        <w:t>The existing saved proxies MedicalInterface and KitchenInterface are the initial departmental collection points; DispatchWorkSurface serves the same purpose for M4 Loadout. E opens a clear Request / Contribution UI at the active proxy without committing the held item. All three remain in accepted playable service or work space and do not become off-map buttons, extra storage or modeled staffed interiors. The first pass requires readable work visibility, interaction reach and lightweight meter feedback, not new furnishings, bespoke terminals, route geometry, extra lighting or a production-art milestone. [D13–D15; GDD §4.8; VDD §§16, 18–19]</w:t>
      </w:r>
    </w:p>
    <w:p>
      <w:r>
        <w:t>The reuse test is concrete: adding Kitchen should configure another destination and another lane, not fork the Medical transaction implementation. Future dynamic demand and real outcomes attach at the agreed boundaries. [D02]</w:t>
      </w:r>
    </w:p>
    <w:p>
      <w:pPr>
        <w:pStyle w:val="Source"/>
      </w:pPr>
      <w:r>
        <w:t>Basis: [D01–D04]; [GDD §§4.8, 8, 12–13]; [VDD §§16, 18–19].</w:t>
      </w:r>
    </w:p>
    <w:p>
      <w:r>
        <w:br w:type="page"/>
      </w:r>
    </w:p>
    <w:p>
      <w:pPr>
        <w:pStyle w:val="Kicker"/>
      </w:pPr>
      <w:r>
        <w:t>THE THIRD COMPETING DEMAND</w:t>
      </w:r>
    </w:p>
    <w:p>
      <w:bookmarkStart w:id="16" w:name="mvp_16"/>
      <w:pPr>
        <w:pStyle w:val="Heading1"/>
      </w:pPr>
      <w:r>
        <w:t>12. Expedition Loadout consumer</w:t>
      </w:r>
      <w:bookmarkEnd w:id="16"/>
    </w:p>
    <w:p>
      <w:pPr>
        <w:pStyle w:val="Heading2"/>
      </w:pPr>
      <w:r>
        <w:t>12.1 Included behavior</w:t>
      </w:r>
    </w:p>
    <w:p>
      <w:r>
        <w:t>Create scenario-defined team-labelled requests with Food, Hydration, Medical, Weapons and Protection lanes. Use the common collector and persistent request state, while tracking submitted items’ Outgoing Bulk and the configured Team Load Capacity. The initial team label is a request context, not evidence that a scavenger roster exists. [D01–D02]</w:t>
      </w:r>
    </w:p>
    <w:p>
      <w:r>
        <w:t xml:space="preserve">Retain the GDD relationship: </w:t>
      </w:r>
      <w:r>
        <w:rPr>
          <w:b/>
        </w:rPr>
        <w:t>Return Capacity = Team Load Capacity − Outgoing Bulk</w:t>
      </w:r>
      <w:r>
        <w:t>. Accounting for this cost makes bulky and compact items meaningfully different at submission. It does not require generating return loot or applying a capacity-to-haul model now. All submitted loadout items are spent; weapons and tools do not automatically reappear after a fictitious journey. [GDD §10.1]</w:t>
      </w:r>
    </w:p>
    <w:p>
      <w:pPr>
        <w:pStyle w:val="Heading2"/>
      </w:pPr>
      <w:r>
        <w:t>12.2 Shared system, destination-specific policy</w:t>
      </w:r>
    </w:p>
    <w:p>
      <w:r>
        <w:t>All three consumers use one request/transfer/persistence path with destination-specific eligibility and targets. The shared proposed default is cap-and-waste on whole-item submission: only remaining lane Utility is credited; no surplus is retained, no exact-sum constraint is imposed, and no held-E batch transfer is allowed. A loadout still charges the item’s full Bulk and rejects submissions exceeding its remaining Team Load Capacity. The GDD’s historical modest loadout overfill/bonus remains a separate M4 choice: the developer currently leans toward removing it for consistency, but this has not yet been promoted as final M4 policy. Keep that policy configurable; do not implement a bonus prematurely or silently treat it as cancelled. [D14; P01; GDD §§6.3, 8.4, 10.2–10.4]</w:t>
      </w:r>
    </w:p>
    <w:p>
      <w:pPr>
        <w:pStyle w:val="Heading2"/>
      </w:pPr>
      <w:r>
        <w:t>12.3 Explicitly outside this consumer</w:t>
      </w:r>
    </w:p>
    <w:p>
      <w:r>
        <w:t>No population-derived team formation, actual dispatch journey, destination selection, duration calculation, injury/death/recruitment model, return-time calculation or provisioning-derived incoming haul is required. The 07:00–09:00 request window can close/finalize a loadout without launching those systems. Scenario-controlled deliveries remain independent test inputs. [D01–D02; GDD §§9–10]</w:t>
      </w:r>
    </w:p>
    <w:p>
      <w:r>
        <w:t>Do not display an invented improvement to injuries, loot or survival merely because a lane is full. The initial evidence is what was spent, what requirements were met, and what remains for other demands. Future OutcomeProfiles consume that result when their systems are implemented.</w:t>
      </w:r>
    </w:p>
    <w:p>
      <w:pPr>
        <w:pStyle w:val="Heading2"/>
      </w:pPr>
      <w:r>
        <w:t>12.4 Validation threshold</w:t>
      </w:r>
    </w:p>
    <w:p>
      <w:r>
        <w:t>With all three consumers present, test the same finite stock over several days and application sessions. Observe Medical-versus-loadout supply pressure, meals-versus-future-provisioning decisions, equipment/Bulk choices, and whether layout reduces retrieval cost. The test should permit deliberate shortfalls; it should not imply that every request must always be filled. [D01–D02]</w:t>
      </w:r>
    </w:p>
    <w:p>
      <w:pPr>
        <w:pStyle w:val="Source"/>
      </w:pPr>
      <w:r>
        <w:t>Basis: [D01–D02]; [GDD §§6.3, 8.4, 9–10, 19–21].</w:t>
      </w:r>
    </w:p>
    <w:p>
      <w:r>
        <w:br w:type="page"/>
      </w:r>
    </w:p>
    <w:p>
      <w:pPr>
        <w:pStyle w:val="Kicker"/>
      </w:pPr>
      <w:r>
        <w:t>DESIGN ORDER, NOT EXECUTION AUTHORIZATION</w:t>
      </w:r>
    </w:p>
    <w:p>
      <w:bookmarkStart w:id="17" w:name="mvp_17"/>
      <w:pPr>
        <w:pStyle w:val="Heading1"/>
      </w:pPr>
      <w:r>
        <w:t>13. Delivery stages &amp; dependencies</w:t>
      </w:r>
      <w:bookmarkEnd w:id="17"/>
    </w:p>
    <w:p>
      <w:r>
        <w:t>Stage labels M1–M5 are document tracking identifiers. They do not rename accepted Receiving stages or imply a new review hierarchy. Each slice receives a bounded implementation brief after its unresolved details are settled. [D02–D09; WG]</w:t>
      </w:r>
    </w:p>
    <w:tbl>
      <w:tblPr>
        <w:tblW w:type="auto" w:w="0"/>
        <w:jc w:val="center"/>
        <w:tblLayout w:type="fixed"/>
        <w:tblLook w:firstColumn="1" w:firstRow="1" w:lastColumn="0" w:lastRow="0" w:noHBand="0" w:noVBand="1" w:val="04A0"/>
      </w:tblPr>
      <w:tblGrid>
        <w:gridCol w:w="1526"/>
        <w:gridCol w:w="4378"/>
        <w:gridCol w:w="3755"/>
      </w:tblGrid>
      <w:tr>
        <w:trPr>
          <w:cantSplit/>
          <w:tblHeader/>
        </w:trPr>
        <w:tc>
          <w:tcPr>
            <w:tcW w:type="dxa" w:w="1526"/>
            <w:vAlign w:val="top"/>
            <w:shd w:fill="243944"/>
            <w:tcMar>
              <w:top w:w="90" w:type="dxa"/>
              <w:left w:w="90" w:type="dxa"/>
              <w:bottom w:w="90" w:type="dxa"/>
              <w:right w:w="90" w:type="dxa"/>
            </w:tcMar>
          </w:tcPr>
          <w:p>
            <w:pPr>
              <w:pStyle w:val="TableHead"/>
            </w:pPr>
            <w:r>
              <w:t>Stage</w:t>
            </w:r>
          </w:p>
        </w:tc>
        <w:tc>
          <w:tcPr>
            <w:tcW w:type="dxa" w:w="4378"/>
            <w:vAlign w:val="top"/>
            <w:shd w:fill="243944"/>
            <w:tcMar>
              <w:top w:w="90" w:type="dxa"/>
              <w:left w:w="90" w:type="dxa"/>
              <w:bottom w:w="90" w:type="dxa"/>
              <w:right w:w="90" w:type="dxa"/>
            </w:tcMar>
          </w:tcPr>
          <w:p>
            <w:pPr>
              <w:pStyle w:val="TableHead"/>
            </w:pPr>
            <w:r>
              <w:t>Deliverable</w:t>
            </w:r>
          </w:p>
        </w:tc>
        <w:tc>
          <w:tcPr>
            <w:tcW w:type="dxa" w:w="3755"/>
            <w:vAlign w:val="top"/>
            <w:shd w:fill="243944"/>
            <w:tcMar>
              <w:top w:w="90" w:type="dxa"/>
              <w:left w:w="90" w:type="dxa"/>
              <w:bottom w:w="90" w:type="dxa"/>
              <w:right w:w="90" w:type="dxa"/>
            </w:tcMar>
          </w:tcPr>
          <w:p>
            <w:pPr>
              <w:pStyle w:val="TableHead"/>
            </w:pPr>
            <w:r>
              <w:t>Exit evidence</w:t>
            </w:r>
          </w:p>
        </w:tc>
      </w:tr>
      <w:tr>
        <w:trPr>
          <w:cantSplit/>
        </w:trPr>
        <w:tc>
          <w:tcPr>
            <w:tcW w:type="dxa" w:w="1526"/>
            <w:vAlign w:val="top"/>
            <w:shd w:fill="F0F5F5"/>
            <w:tcMar>
              <w:top w:w="90" w:type="dxa"/>
              <w:left w:w="90" w:type="dxa"/>
              <w:bottom w:w="90" w:type="dxa"/>
              <w:right w:w="90" w:type="dxa"/>
            </w:tcMar>
          </w:tcPr>
          <w:p>
            <w:pPr>
              <w:pStyle w:val="TableText"/>
            </w:pPr>
            <w:r>
              <w:t>M1</w:t>
              <w:br/>
              <w:t>Persistent Medical</w:t>
            </w:r>
          </w:p>
        </w:tc>
        <w:tc>
          <w:tcPr>
            <w:tcW w:type="dxa" w:w="4378"/>
            <w:vAlign w:val="top"/>
            <w:shd w:fill="F0F5F5"/>
            <w:tcMar>
              <w:top w:w="90" w:type="dxa"/>
              <w:left w:w="90" w:type="dxa"/>
              <w:bottom w:w="90" w:type="dxa"/>
              <w:right w:w="90" w:type="dxa"/>
            </w:tcMar>
          </w:tcPr>
          <w:p>
            <w:pPr>
              <w:pStyle w:val="TableText"/>
            </w:pPr>
            <w:r>
              <w:t>Shared request/submission state, one open Medical request at MedicalInterface, explicit E-open/E-submit preview, cap-and-waste credit, single-slot Save &amp; Exit/Continue, paused ESC menu and exact player/storage/Receiving restoration.</w:t>
            </w:r>
          </w:p>
        </w:tc>
        <w:tc>
          <w:tcPr>
            <w:tcW w:type="dxa" w:w="3755"/>
            <w:vAlign w:val="top"/>
            <w:shd w:fill="F0F5F5"/>
            <w:tcMar>
              <w:top w:w="90" w:type="dxa"/>
              <w:left w:w="90" w:type="dxa"/>
              <w:bottom w:w="90" w:type="dxa"/>
              <w:right w:w="90" w:type="dxa"/>
            </w:tcMar>
          </w:tcPr>
          <w:p>
            <w:pPr>
              <w:pStyle w:val="TableText"/>
            </w:pPr>
            <w:r>
              <w:t>Valid/invalid/closed submission and projected UI; saved mid-request/after closure; normal quit/reopen preserves exact owner, storage policy, player selection/pose and ladder state (or documented attached-base fallback).</w:t>
            </w:r>
          </w:p>
        </w:tc>
      </w:tr>
      <w:tr>
        <w:trPr>
          <w:cantSplit/>
        </w:trPr>
        <w:tc>
          <w:tcPr>
            <w:tcW w:type="dxa" w:w="1526"/>
            <w:vAlign w:val="top"/>
            <w:shd w:fill="FAFBFC"/>
            <w:tcMar>
              <w:top w:w="90" w:type="dxa"/>
              <w:left w:w="90" w:type="dxa"/>
              <w:bottom w:w="90" w:type="dxa"/>
              <w:right w:w="90" w:type="dxa"/>
            </w:tcMar>
          </w:tcPr>
          <w:p>
            <w:pPr>
              <w:pStyle w:val="TableText"/>
            </w:pPr>
            <w:r>
              <w:t>M2</w:t>
              <w:br/>
              <w:t>Clock &amp; midnight</w:t>
            </w:r>
          </w:p>
        </w:tc>
        <w:tc>
          <w:tcPr>
            <w:tcW w:type="dxa" w:w="4378"/>
            <w:vAlign w:val="top"/>
            <w:shd w:fill="FAFBFC"/>
            <w:tcMar>
              <w:top w:w="90" w:type="dxa"/>
              <w:left w:w="90" w:type="dxa"/>
              <w:bottom w:w="90" w:type="dxa"/>
              <w:right w:w="90" w:type="dxa"/>
            </w:tcMar>
          </w:tcPr>
          <w:p>
            <w:pPr>
              <w:pStyle w:val="TableText"/>
            </w:pPr>
            <w:r>
              <w:t>Authoritative day progression, development clock HUD, authored events, simplified summary and midnight auto-save; gameplay/presentation synchronization.</w:t>
            </w:r>
          </w:p>
        </w:tc>
        <w:tc>
          <w:tcPr>
            <w:tcW w:type="dxa" w:w="3755"/>
            <w:vAlign w:val="top"/>
            <w:shd w:fill="FAFBFC"/>
            <w:tcMar>
              <w:top w:w="90" w:type="dxa"/>
              <w:left w:w="90" w:type="dxa"/>
              <w:bottom w:w="90" w:type="dxa"/>
              <w:right w:w="90" w:type="dxa"/>
            </w:tcMar>
          </w:tcPr>
          <w:p>
            <w:pPr>
              <w:pStyle w:val="TableText"/>
            </w:pPr>
            <w:r>
              <w:t>Stable deadlines through load; full pause; single transition/save; no duplicated requests/deliveries or drift.</w:t>
            </w:r>
          </w:p>
        </w:tc>
      </w:tr>
      <w:tr>
        <w:trPr>
          <w:cantSplit/>
        </w:trPr>
        <w:tc>
          <w:tcPr>
            <w:tcW w:type="dxa" w:w="1526"/>
            <w:vAlign w:val="top"/>
            <w:shd w:fill="F0F5F5"/>
            <w:tcMar>
              <w:top w:w="90" w:type="dxa"/>
              <w:left w:w="90" w:type="dxa"/>
              <w:bottom w:w="90" w:type="dxa"/>
              <w:right w:w="90" w:type="dxa"/>
            </w:tcMar>
          </w:tcPr>
          <w:p>
            <w:pPr>
              <w:pStyle w:val="TableText"/>
            </w:pPr>
            <w:r>
              <w:t>M3</w:t>
              <w:br/>
              <w:t>Kitchen</w:t>
            </w:r>
          </w:p>
        </w:tc>
        <w:tc>
          <w:tcPr>
            <w:tcW w:type="dxa" w:w="4378"/>
            <w:vAlign w:val="top"/>
            <w:shd w:fill="F0F5F5"/>
            <w:tcMar>
              <w:top w:w="90" w:type="dxa"/>
              <w:left w:w="90" w:type="dxa"/>
              <w:bottom w:w="90" w:type="dxa"/>
              <w:right w:w="90" w:type="dxa"/>
            </w:tcMar>
          </w:tcPr>
          <w:p>
            <w:pPr>
              <w:pStyle w:val="TableText"/>
            </w:pPr>
            <w:r>
              <w:t>Food/Hydration requests at meal times through the existing collector and persistence.</w:t>
            </w:r>
          </w:p>
        </w:tc>
        <w:tc>
          <w:tcPr>
            <w:tcW w:type="dxa" w:w="3755"/>
            <w:vAlign w:val="top"/>
            <w:shd w:fill="F0F5F5"/>
            <w:tcMar>
              <w:top w:w="90" w:type="dxa"/>
              <w:left w:w="90" w:type="dxa"/>
              <w:bottom w:w="90" w:type="dxa"/>
              <w:right w:w="90" w:type="dxa"/>
            </w:tcMar>
          </w:tcPr>
          <w:p>
            <w:pPr>
              <w:pStyle w:val="TableText"/>
            </w:pPr>
            <w:r>
              <w:t>Shared-code reuse, lane/cap behavior, partial fulfillment and saved request progression.</w:t>
            </w:r>
          </w:p>
        </w:tc>
      </w:tr>
      <w:tr>
        <w:trPr>
          <w:cantSplit/>
        </w:trPr>
        <w:tc>
          <w:tcPr>
            <w:tcW w:type="dxa" w:w="1526"/>
            <w:vAlign w:val="top"/>
            <w:shd w:fill="FAFBFC"/>
            <w:tcMar>
              <w:top w:w="90" w:type="dxa"/>
              <w:left w:w="90" w:type="dxa"/>
              <w:bottom w:w="90" w:type="dxa"/>
              <w:right w:w="90" w:type="dxa"/>
            </w:tcMar>
          </w:tcPr>
          <w:p>
            <w:pPr>
              <w:pStyle w:val="TableText"/>
            </w:pPr>
            <w:r>
              <w:t>M4</w:t>
              <w:br/>
              <w:t>Loadout</w:t>
            </w:r>
          </w:p>
        </w:tc>
        <w:tc>
          <w:tcPr>
            <w:tcW w:type="dxa" w:w="4378"/>
            <w:vAlign w:val="top"/>
            <w:shd w:fill="FAFBFC"/>
            <w:tcMar>
              <w:top w:w="90" w:type="dxa"/>
              <w:left w:w="90" w:type="dxa"/>
              <w:bottom w:w="90" w:type="dxa"/>
              <w:right w:w="90" w:type="dxa"/>
            </w:tcMar>
          </w:tcPr>
          <w:p>
            <w:pPr>
              <w:pStyle w:val="TableText"/>
            </w:pPr>
            <w:r>
              <w:t>Team-labelled five-lane requests, Outgoing Bulk/capacity and approved destination policy; no Expedition simulation.</w:t>
            </w:r>
          </w:p>
        </w:tc>
        <w:tc>
          <w:tcPr>
            <w:tcW w:type="dxa" w:w="3755"/>
            <w:vAlign w:val="top"/>
            <w:shd w:fill="FAFBFC"/>
            <w:tcMar>
              <w:top w:w="90" w:type="dxa"/>
              <w:left w:w="90" w:type="dxa"/>
              <w:bottom w:w="90" w:type="dxa"/>
              <w:right w:w="90" w:type="dxa"/>
            </w:tcMar>
          </w:tcPr>
          <w:p>
            <w:pPr>
              <w:pStyle w:val="TableText"/>
            </w:pPr>
            <w:r>
              <w:t>Cross-destination competition, exact expenditure and continued identities/accounting after restart.</w:t>
            </w:r>
          </w:p>
        </w:tc>
      </w:tr>
      <w:tr>
        <w:trPr>
          <w:cantSplit/>
        </w:trPr>
        <w:tc>
          <w:tcPr>
            <w:tcW w:type="dxa" w:w="1526"/>
            <w:vAlign w:val="top"/>
            <w:shd w:fill="F0F5F5"/>
            <w:tcMar>
              <w:top w:w="90" w:type="dxa"/>
              <w:left w:w="90" w:type="dxa"/>
              <w:bottom w:w="90" w:type="dxa"/>
              <w:right w:w="90" w:type="dxa"/>
            </w:tcMar>
          </w:tcPr>
          <w:p>
            <w:pPr>
              <w:pStyle w:val="TableText"/>
            </w:pPr>
            <w:r>
              <w:t>M5</w:t>
              <w:br/>
              <w:t>Combined scenarios</w:t>
            </w:r>
          </w:p>
        </w:tc>
        <w:tc>
          <w:tcPr>
            <w:tcW w:type="dxa" w:w="4378"/>
            <w:vAlign w:val="top"/>
            <w:shd w:fill="F0F5F5"/>
            <w:tcMar>
              <w:top w:w="90" w:type="dxa"/>
              <w:left w:w="90" w:type="dxa"/>
              <w:bottom w:w="90" w:type="dxa"/>
              <w:right w:w="90" w:type="dxa"/>
            </w:tcMar>
          </w:tcPr>
          <w:p>
            <w:pPr>
              <w:pStyle w:val="TableText"/>
            </w:pPr>
            <w:r>
              <w:t>Authored multi-day test sequence using all three consumers, continuing stock and organization.</w:t>
            </w:r>
          </w:p>
        </w:tc>
        <w:tc>
          <w:tcPr>
            <w:tcW w:type="dxa" w:w="3755"/>
            <w:vAlign w:val="top"/>
            <w:shd w:fill="F0F5F5"/>
            <w:tcMar>
              <w:top w:w="90" w:type="dxa"/>
              <w:left w:w="90" w:type="dxa"/>
              <w:bottom w:w="90" w:type="dxa"/>
              <w:right w:w="90" w:type="dxa"/>
            </w:tcMar>
          </w:tcPr>
          <w:p>
            <w:pPr>
              <w:pStyle w:val="TableText"/>
            </w:pPr>
            <w:r>
              <w:t>Developer and later unfamiliar-player observations of reserves, tradeoffs, retrieval and causal understanding.</w:t>
            </w:r>
          </w:p>
        </w:tc>
      </w:tr>
    </w:tbl>
    <w:p>
      <w:pPr>
        <w:pStyle w:val="Small"/>
        <w:spacing w:after="0"/>
      </w:pPr>
    </w:p>
    <w:p>
      <w:pPr>
        <w:pStyle w:val="Heading2"/>
      </w:pPr>
      <w:r>
        <w:t>13.1 Dependencies, not unrelated cleanup</w:t>
      </w:r>
    </w:p>
    <w:p>
      <w:r>
        <w:t>R-04’s menu/reload trigger is now reached by M1; review and bound that lifetime correction where the implementation actually replaces scenes. Cross-restart identity allocation and safe reconstruction are also real persistence dependencies. They are not reasons to redo R-01–R-03, relight Receiving, change assets or reopen the prototype architecture. [CR15; D02–D03]</w:t>
      </w:r>
    </w:p>
    <w:p>
      <w:pPr>
        <w:pStyle w:val="Heading2"/>
      </w:pPr>
      <w:r>
        <w:t>13.2 Technical checkpoints versus gameplay claims</w:t>
      </w:r>
    </w:p>
    <w:p>
      <w:r>
        <w:t>M1–M4 each establish their own correct operation. The broader allocation claim is reserved for M5. The full Systems MVP target in the GDD remains larger than M5 and includes later real systems and stronger saves; completing this foundation does not complete that target. [D01–D02; GDD §20.2]</w:t>
      </w:r>
    </w:p>
    <w:p>
      <w:pPr>
        <w:pStyle w:val="Source"/>
      </w:pPr>
      <w:r>
        <w:t>Basis: [D01–D09]; [CR15]; [GDD §20.2]; [WG; ER14 §§11–12].</w:t>
      </w:r>
    </w:p>
    <w:p>
      <w:r>
        <w:br w:type="page"/>
      </w:r>
    </w:p>
    <w:p>
      <w:pPr>
        <w:pStyle w:val="Kicker"/>
      </w:pPr>
      <w:r>
        <w:t>14.1  PERSISTENCE AND TRANSACTIONS</w:t>
      </w:r>
    </w:p>
    <w:p>
      <w:bookmarkStart w:id="18" w:name="mvp_18"/>
      <w:pPr>
        <w:pStyle w:val="Heading1"/>
      </w:pPr>
      <w:r>
        <w:t>14. Acceptance &amp; evidence plan</w:t>
      </w:r>
      <w:bookmarkEnd w:id="18"/>
    </w:p>
    <w:p>
      <w:r>
        <w:t>These are required future checks, not executed results. Use actual owner and player paths where relevant; record when a fixture bypasses native input, physics, held rendering or full-cue timing. Strong expectations concern identity, accounting and event order, not merely PASS text. [ER14; CR15]</w:t>
      </w:r>
    </w:p>
    <w:tbl>
      <w:tblPr>
        <w:tblW w:type="auto" w:w="0"/>
        <w:jc w:val="center"/>
        <w:tblLayout w:type="fixed"/>
        <w:tblLook w:firstColumn="1" w:firstRow="1" w:lastColumn="0" w:lastRow="0" w:noHBand="0" w:noVBand="1" w:val="04A0"/>
      </w:tblPr>
      <w:tblGrid>
        <w:gridCol w:w="2448"/>
        <w:gridCol w:w="7211"/>
      </w:tblGrid>
      <w:tr>
        <w:trPr>
          <w:cantSplit/>
          <w:tblHeader/>
        </w:trPr>
        <w:tc>
          <w:tcPr>
            <w:tcW w:type="dxa" w:w="2448"/>
            <w:vAlign w:val="top"/>
            <w:shd w:fill="243944"/>
            <w:tcMar>
              <w:top w:w="90" w:type="dxa"/>
              <w:left w:w="90" w:type="dxa"/>
              <w:bottom w:w="90" w:type="dxa"/>
              <w:right w:w="90" w:type="dxa"/>
            </w:tcMar>
          </w:tcPr>
          <w:p>
            <w:pPr>
              <w:pStyle w:val="TableHead"/>
            </w:pPr>
            <w:r>
              <w:t>Check</w:t>
            </w:r>
          </w:p>
        </w:tc>
        <w:tc>
          <w:tcPr>
            <w:tcW w:type="dxa" w:w="7211"/>
            <w:vAlign w:val="top"/>
            <w:shd w:fill="243944"/>
            <w:tcMar>
              <w:top w:w="90" w:type="dxa"/>
              <w:left w:w="90" w:type="dxa"/>
              <w:bottom w:w="90" w:type="dxa"/>
              <w:right w:w="90" w:type="dxa"/>
            </w:tcMar>
          </w:tcPr>
          <w:p>
            <w:pPr>
              <w:pStyle w:val="TableHead"/>
            </w:pPr>
            <w:r>
              <w:t>Expected observation</w:t>
            </w:r>
          </w:p>
        </w:tc>
      </w:tr>
      <w:tr>
        <w:trPr>
          <w:cantSplit/>
        </w:trPr>
        <w:tc>
          <w:tcPr>
            <w:tcW w:type="dxa" w:w="2448"/>
            <w:vAlign w:val="top"/>
            <w:shd w:fill="F0F5F5"/>
            <w:tcMar>
              <w:top w:w="90" w:type="dxa"/>
              <w:left w:w="90" w:type="dxa"/>
              <w:bottom w:w="90" w:type="dxa"/>
              <w:right w:w="90" w:type="dxa"/>
            </w:tcMar>
          </w:tcPr>
          <w:p>
            <w:pPr>
              <w:pStyle w:val="TableText"/>
            </w:pPr>
            <w:r>
              <w:t>New Run versus Continue</w:t>
            </w:r>
          </w:p>
        </w:tc>
        <w:tc>
          <w:tcPr>
            <w:tcW w:type="dxa" w:w="7211"/>
            <w:vAlign w:val="top"/>
            <w:shd w:fill="F0F5F5"/>
            <w:tcMar>
              <w:top w:w="90" w:type="dxa"/>
              <w:left w:w="90" w:type="dxa"/>
              <w:bottom w:w="90" w:type="dxa"/>
              <w:right w:w="90" w:type="dxa"/>
            </w:tcMar>
          </w:tcPr>
          <w:p>
            <w:pPr>
              <w:pStyle w:val="TableText"/>
            </w:pPr>
            <w:r>
              <w:t>Starting supplies occur once; loading does not re-seed the wing or reissue a committed delivery.</w:t>
            </w:r>
          </w:p>
        </w:tc>
      </w:tr>
      <w:tr>
        <w:trPr>
          <w:cantSplit/>
        </w:trPr>
        <w:tc>
          <w:tcPr>
            <w:tcW w:type="dxa" w:w="2448"/>
            <w:vAlign w:val="top"/>
            <w:shd w:fill="FAFBFC"/>
            <w:tcMar>
              <w:top w:w="90" w:type="dxa"/>
              <w:left w:w="90" w:type="dxa"/>
              <w:bottom w:w="90" w:type="dxa"/>
              <w:right w:w="90" w:type="dxa"/>
            </w:tcMar>
          </w:tcPr>
          <w:p>
            <w:pPr>
              <w:pStyle w:val="TableText"/>
            </w:pPr>
            <w:r>
              <w:t>Partial Medical save</w:t>
            </w:r>
          </w:p>
        </w:tc>
        <w:tc>
          <w:tcPr>
            <w:tcW w:type="dxa" w:w="7211"/>
            <w:vAlign w:val="top"/>
            <w:shd w:fill="FAFBFC"/>
            <w:tcMar>
              <w:top w:w="90" w:type="dxa"/>
              <w:left w:w="90" w:type="dxa"/>
              <w:bottom w:w="90" w:type="dxa"/>
              <w:right w:w="90" w:type="dxa"/>
            </w:tcMar>
          </w:tcPr>
          <w:p>
            <w:pPr>
              <w:pStyle w:val="TableText"/>
            </w:pPr>
            <w:r>
              <w:t>Supply part of a request, save, exit, reopen. Remaining items, exact contribution and unresolved request match.</w:t>
            </w:r>
          </w:p>
        </w:tc>
      </w:tr>
      <w:tr>
        <w:trPr>
          <w:cantSplit/>
        </w:trPr>
        <w:tc>
          <w:tcPr>
            <w:tcW w:type="dxa" w:w="2448"/>
            <w:vAlign w:val="top"/>
            <w:shd w:fill="F0F5F5"/>
            <w:tcMar>
              <w:top w:w="90" w:type="dxa"/>
              <w:left w:w="90" w:type="dxa"/>
              <w:bottom w:w="90" w:type="dxa"/>
              <w:right w:w="90" w:type="dxa"/>
            </w:tcMar>
          </w:tcPr>
          <w:p>
            <w:pPr>
              <w:pStyle w:val="TableText"/>
            </w:pPr>
            <w:r>
              <w:t>Organized-storage round trip</w:t>
            </w:r>
          </w:p>
        </w:tc>
        <w:tc>
          <w:tcPr>
            <w:tcW w:type="dxa" w:w="7211"/>
            <w:vAlign w:val="top"/>
            <w:shd w:fill="F0F5F5"/>
            <w:tcMar>
              <w:top w:w="90" w:type="dxa"/>
              <w:left w:w="90" w:type="dxa"/>
              <w:bottom w:w="90" w:type="dxa"/>
              <w:right w:w="90" w:type="dxa"/>
            </w:tcMar>
          </w:tcPr>
          <w:p>
            <w:pPr>
              <w:pStyle w:val="TableText"/>
            </w:pPr>
            <w:r>
              <w:t>Restore stack membership, reservations, orientation, zone arrays, erased cells, names, carried slots and selection; no auto-packing or silent migration.</w:t>
            </w:r>
          </w:p>
        </w:tc>
      </w:tr>
      <w:tr>
        <w:trPr>
          <w:cantSplit/>
        </w:trPr>
        <w:tc>
          <w:tcPr>
            <w:tcW w:type="dxa" w:w="2448"/>
            <w:vAlign w:val="top"/>
            <w:shd w:fill="FAFBFC"/>
            <w:tcMar>
              <w:top w:w="90" w:type="dxa"/>
              <w:left w:w="90" w:type="dxa"/>
              <w:bottom w:w="90" w:type="dxa"/>
              <w:right w:w="90" w:type="dxa"/>
            </w:tcMar>
          </w:tcPr>
          <w:p>
            <w:pPr>
              <w:pStyle w:val="TableText"/>
            </w:pPr>
            <w:r>
              <w:t>Rejection and credit</w:t>
            </w:r>
          </w:p>
        </w:tc>
        <w:tc>
          <w:tcPr>
            <w:tcW w:type="dxa" w:w="7211"/>
            <w:vAlign w:val="top"/>
            <w:shd w:fill="FAFBFC"/>
            <w:tcMar>
              <w:top w:w="90" w:type="dxa"/>
              <w:left w:w="90" w:type="dxa"/>
              <w:bottom w:w="90" w:type="dxa"/>
              <w:right w:w="90" w:type="dxa"/>
            </w:tcMar>
          </w:tcPr>
          <w:p>
            <w:pPr>
              <w:pStyle w:val="TableText"/>
            </w:pPr>
            <w:r>
              <w:t>Closed/full/ineligible or failed submission leaves the item and request consistent; accepted transfer credits once and cannot be retried as fresh ownership.</w:t>
            </w:r>
          </w:p>
        </w:tc>
      </w:tr>
      <w:tr>
        <w:trPr>
          <w:cantSplit/>
        </w:trPr>
        <w:tc>
          <w:tcPr>
            <w:tcW w:type="dxa" w:w="2448"/>
            <w:vAlign w:val="top"/>
            <w:shd w:fill="F0F5F5"/>
            <w:tcMar>
              <w:top w:w="90" w:type="dxa"/>
              <w:left w:w="90" w:type="dxa"/>
              <w:bottom w:w="90" w:type="dxa"/>
              <w:right w:w="90" w:type="dxa"/>
            </w:tcMar>
          </w:tcPr>
          <w:p>
            <w:pPr>
              <w:pStyle w:val="TableText"/>
            </w:pPr>
            <w:r>
              <w:t>Restoring changed zoning</w:t>
            </w:r>
          </w:p>
        </w:tc>
        <w:tc>
          <w:tcPr>
            <w:tcW w:type="dxa" w:w="7211"/>
            <w:vAlign w:val="top"/>
            <w:shd w:fill="F0F5F5"/>
            <w:tcMar>
              <w:top w:w="90" w:type="dxa"/>
              <w:left w:w="90" w:type="dxa"/>
              <w:bottom w:w="90" w:type="dxa"/>
              <w:right w:w="90" w:type="dxa"/>
            </w:tcMar>
          </w:tcPr>
          <w:p>
            <w:pPr>
              <w:pStyle w:val="TableText"/>
            </w:pPr>
            <w:r>
              <w:t>An existing stored item survives even where cells were subsequently disabled or reassigned. Future placement still obeys current zoning.</w:t>
            </w:r>
          </w:p>
        </w:tc>
      </w:tr>
      <w:tr>
        <w:trPr>
          <w:cantSplit/>
        </w:trPr>
        <w:tc>
          <w:tcPr>
            <w:tcW w:type="dxa" w:w="2448"/>
            <w:vAlign w:val="top"/>
            <w:shd w:fill="FAFBFC"/>
            <w:tcMar>
              <w:top w:w="90" w:type="dxa"/>
              <w:left w:w="90" w:type="dxa"/>
              <w:bottom w:w="90" w:type="dxa"/>
              <w:right w:w="90" w:type="dxa"/>
            </w:tcMar>
          </w:tcPr>
          <w:p>
            <w:pPr>
              <w:pStyle w:val="TableText"/>
            </w:pPr>
            <w:r>
              <w:t>Live Receiving cargo</w:t>
            </w:r>
          </w:p>
        </w:tc>
        <w:tc>
          <w:tcPr>
            <w:tcW w:type="dxa" w:w="7211"/>
            <w:vAlign w:val="top"/>
            <w:shd w:fill="FAFBFC"/>
            <w:tcMar>
              <w:top w:w="90" w:type="dxa"/>
              <w:left w:w="90" w:type="dxa"/>
              <w:bottom w:w="90" w:type="dxa"/>
              <w:right w:w="90" w:type="dxa"/>
            </w:tcMar>
          </w:tcPr>
          <w:p>
            <w:pPr>
              <w:pStyle w:val="TableText"/>
            </w:pPr>
            <w:r>
              <w:t>Save representative incoming/OPEN/closing/departing states and retained FIFO/upstream data. Restore remaining exact cargo, gates, ownership and original logical progress.</w:t>
            </w:r>
          </w:p>
        </w:tc>
      </w:tr>
      <w:tr>
        <w:trPr>
          <w:cantSplit/>
        </w:trPr>
        <w:tc>
          <w:tcPr>
            <w:tcW w:type="dxa" w:w="2448"/>
            <w:vAlign w:val="top"/>
            <w:shd w:fill="F0F5F5"/>
            <w:tcMar>
              <w:top w:w="90" w:type="dxa"/>
              <w:left w:w="90" w:type="dxa"/>
              <w:bottom w:w="90" w:type="dxa"/>
              <w:right w:w="90" w:type="dxa"/>
            </w:tcMar>
          </w:tcPr>
          <w:p>
            <w:pPr>
              <w:pStyle w:val="TableText"/>
            </w:pPr>
            <w:r>
              <w:t>New identity after restart</w:t>
            </w:r>
          </w:p>
        </w:tc>
        <w:tc>
          <w:tcPr>
            <w:tcW w:type="dxa" w:w="7211"/>
            <w:vAlign w:val="top"/>
            <w:shd w:fill="F0F5F5"/>
            <w:tcMar>
              <w:top w:w="90" w:type="dxa"/>
              <w:left w:w="90" w:type="dxa"/>
              <w:bottom w:w="90" w:type="dxa"/>
              <w:right w:w="90" w:type="dxa"/>
            </w:tcMar>
          </w:tcPr>
          <w:p>
            <w:pPr>
              <w:pStyle w:val="TableText"/>
            </w:pPr>
            <w:r>
              <w:t>Keep an old haul, save/relaunch, then issue a genuinely new delivery. IDs are disjoint while saved commitments keep their IDs.</w:t>
            </w:r>
          </w:p>
        </w:tc>
      </w:tr>
      <w:tr>
        <w:trPr>
          <w:cantSplit/>
        </w:trPr>
        <w:tc>
          <w:tcPr>
            <w:tcW w:type="dxa" w:w="2448"/>
            <w:vAlign w:val="top"/>
            <w:shd w:fill="FAFBFC"/>
            <w:tcMar>
              <w:top w:w="90" w:type="dxa"/>
              <w:left w:w="90" w:type="dxa"/>
              <w:bottom w:w="90" w:type="dxa"/>
              <w:right w:w="90" w:type="dxa"/>
            </w:tcMar>
          </w:tcPr>
          <w:p>
            <w:pPr>
              <w:pStyle w:val="TableText"/>
            </w:pPr>
            <w:r>
              <w:t>Ordinary save/load errors</w:t>
            </w:r>
          </w:p>
        </w:tc>
        <w:tc>
          <w:tcPr>
            <w:tcW w:type="dxa" w:w="7211"/>
            <w:vAlign w:val="top"/>
            <w:shd w:fill="FAFBFC"/>
            <w:tcMar>
              <w:top w:w="90" w:type="dxa"/>
              <w:left w:w="90" w:type="dxa"/>
              <w:bottom w:w="90" w:type="dxa"/>
              <w:right w:w="90" w:type="dxa"/>
            </w:tcMar>
          </w:tcPr>
          <w:p>
            <w:pPr>
              <w:pStyle w:val="TableText"/>
            </w:pPr>
            <w:r>
              <w:t>No false success or silent new run; Save &amp; Exit remains paused on failure. No crash or anti-tamper claim is added.</w:t>
            </w:r>
          </w:p>
        </w:tc>
      </w:tr>
      <w:tr>
        <w:trPr>
          <w:cantSplit/>
        </w:trPr>
        <w:tc>
          <w:tcPr>
            <w:tcW w:type="dxa" w:w="2448"/>
          </w:tcPr>
          <w:p>
            <w:r>
              <w:t>Two-step contribution preview</w:t>
            </w:r>
          </w:p>
        </w:tc>
        <w:tc>
          <w:tcPr>
            <w:tcW w:type="dxa" w:w="7211"/>
          </w:tcPr>
          <w:p>
            <w:r>
              <w:t>First E opens without consuming. Selected eligible item previews predicted pips/total and waste, second E commits exactly one item; hold E does not repeat; ineligible item produces red warning and no item/request mutation.</w:t>
            </w:r>
          </w:p>
        </w:tc>
      </w:tr>
      <w:tr>
        <w:trPr>
          <w:cantSplit/>
        </w:trPr>
        <w:tc>
          <w:tcPr>
            <w:tcW w:type="dxa" w:w="2448"/>
          </w:tcPr>
          <w:p>
            <w:r>
              <w:t>Player/ladder continuation</w:t>
            </w:r>
          </w:p>
        </w:tc>
        <w:tc>
          <w:tcPr>
            <w:tcW w:type="dxa" w:w="7211"/>
          </w:tcPr>
          <w:p>
            <w:r>
              <w:t>Position/camera/selected held item survive close/reopen. Restore attached ladder/height, or report the bounded attached-base fallback; transient UI does not accidentally submit or unpause.</w:t>
            </w:r>
          </w:p>
        </w:tc>
      </w:tr>
    </w:tbl>
    <w:p>
      <w:pPr>
        <w:pStyle w:val="Small"/>
        <w:spacing w:after="0"/>
      </w:pPr>
    </w:p>
    <w:p>
      <w:pPr>
        <w:pStyle w:val="Heading2"/>
      </w:pPr>
      <w:r>
        <w:t>Evidence classes remain separate</w:t>
      </w:r>
    </w:p>
    <w:p>
      <w:r>
        <w:t>A serialization round-trip assertion is not a rendered scene continuation test. A deterministic direct-handler test is not native keyboard/mouse testing. A human confirmation applies to the scenarios actually tried, not an exhaustive guarantee. Store exact source/engine/mode context with the focused result record. [ER14 §§7–8, 12]</w:t>
      </w:r>
    </w:p>
    <w:p>
      <w:pPr>
        <w:pStyle w:val="Source"/>
      </w:pPr>
      <w:r>
        <w:t>Basis: [D02–D05, D08–D09]; [GDD §§7, 11, 18.5]; [ER14 §§7–8, 12].</w:t>
      </w:r>
    </w:p>
    <w:p>
      <w:r>
        <w:br w:type="page"/>
      </w:r>
    </w:p>
    <w:p>
      <w:pPr>
        <w:pStyle w:val="Kicker"/>
      </w:pPr>
      <w:r>
        <w:t>14.2  TIME, PAUSE AND COMBINED PLAY</w:t>
      </w:r>
    </w:p>
    <w:p>
      <w:bookmarkStart w:id="19" w:name="mvp_19"/>
      <w:pPr>
        <w:pStyle w:val="Heading1"/>
      </w:pPr>
      <w:r>
        <w:t>14. Acceptance &amp; evidence plan</w:t>
      </w:r>
      <w:bookmarkEnd w:id="19"/>
    </w:p>
    <w:tbl>
      <w:tblPr>
        <w:tblW w:type="auto" w:w="0"/>
        <w:jc w:val="center"/>
        <w:tblLayout w:type="fixed"/>
        <w:tblLook w:firstColumn="1" w:firstRow="1" w:lastColumn="0" w:lastRow="0" w:noHBand="0" w:noVBand="1" w:val="04A0"/>
      </w:tblPr>
      <w:tblGrid>
        <w:gridCol w:w="2448"/>
        <w:gridCol w:w="7211"/>
      </w:tblGrid>
      <w:tr>
        <w:trPr>
          <w:cantSplit/>
          <w:tblHeader/>
        </w:trPr>
        <w:tc>
          <w:tcPr>
            <w:tcW w:type="dxa" w:w="2448"/>
            <w:vAlign w:val="top"/>
            <w:shd w:fill="243944"/>
            <w:tcMar>
              <w:top w:w="90" w:type="dxa"/>
              <w:left w:w="90" w:type="dxa"/>
              <w:bottom w:w="90" w:type="dxa"/>
              <w:right w:w="90" w:type="dxa"/>
            </w:tcMar>
          </w:tcPr>
          <w:p>
            <w:pPr>
              <w:pStyle w:val="TableHead"/>
            </w:pPr>
            <w:r>
              <w:t>Check</w:t>
            </w:r>
          </w:p>
        </w:tc>
        <w:tc>
          <w:tcPr>
            <w:tcW w:type="dxa" w:w="7211"/>
            <w:vAlign w:val="top"/>
            <w:shd w:fill="243944"/>
            <w:tcMar>
              <w:top w:w="90" w:type="dxa"/>
              <w:left w:w="90" w:type="dxa"/>
              <w:bottom w:w="90" w:type="dxa"/>
              <w:right w:w="90" w:type="dxa"/>
            </w:tcMar>
          </w:tcPr>
          <w:p>
            <w:pPr>
              <w:pStyle w:val="TableHead"/>
            </w:pPr>
            <w:r>
              <w:t>Expected observation</w:t>
            </w:r>
          </w:p>
        </w:tc>
      </w:tr>
      <w:tr>
        <w:trPr>
          <w:cantSplit/>
        </w:trPr>
        <w:tc>
          <w:tcPr>
            <w:tcW w:type="dxa" w:w="2448"/>
            <w:vAlign w:val="top"/>
            <w:shd w:fill="F0F5F5"/>
            <w:tcMar>
              <w:top w:w="90" w:type="dxa"/>
              <w:left w:w="90" w:type="dxa"/>
              <w:bottom w:w="90" w:type="dxa"/>
              <w:right w:w="90" w:type="dxa"/>
            </w:tcMar>
          </w:tcPr>
          <w:p>
            <w:pPr>
              <w:pStyle w:val="TableText"/>
            </w:pPr>
            <w:r>
              <w:t>Midnight, summary, reload</w:t>
            </w:r>
          </w:p>
        </w:tc>
        <w:tc>
          <w:tcPr>
            <w:tcW w:type="dxa" w:w="7211"/>
            <w:vAlign w:val="top"/>
            <w:shd w:fill="F0F5F5"/>
            <w:tcMar>
              <w:top w:w="90" w:type="dxa"/>
              <w:left w:w="90" w:type="dxa"/>
              <w:bottom w:w="90" w:type="dxa"/>
              <w:right w:w="90" w:type="dxa"/>
            </w:tcMar>
          </w:tcPr>
          <w:p>
            <w:pPr>
              <w:pStyle w:val="TableText"/>
            </w:pPr>
            <w:r>
              <w:t>Transition completes once, auto-save uses the manual save path, and Continue from the summary does not repeat day resolution or next-day setup.</w:t>
            </w:r>
          </w:p>
        </w:tc>
      </w:tr>
      <w:tr>
        <w:trPr>
          <w:cantSplit/>
        </w:trPr>
        <w:tc>
          <w:tcPr>
            <w:tcW w:type="dxa" w:w="2448"/>
            <w:vAlign w:val="top"/>
            <w:shd w:fill="FAFBFC"/>
            <w:tcMar>
              <w:top w:w="90" w:type="dxa"/>
              <w:left w:w="90" w:type="dxa"/>
              <w:bottom w:w="90" w:type="dxa"/>
              <w:right w:w="90" w:type="dxa"/>
            </w:tcMar>
          </w:tcPr>
          <w:p>
            <w:pPr>
              <w:pStyle w:val="TableText"/>
            </w:pPr>
            <w:r>
              <w:t>Repeated mid-phase load</w:t>
            </w:r>
          </w:p>
        </w:tc>
        <w:tc>
          <w:tcPr>
            <w:tcW w:type="dxa" w:w="7211"/>
            <w:vAlign w:val="top"/>
            <w:shd w:fill="FAFBFC"/>
            <w:tcMar>
              <w:top w:w="90" w:type="dxa"/>
              <w:left w:w="90" w:type="dxa"/>
              <w:bottom w:w="90" w:type="dxa"/>
              <w:right w:w="90" w:type="dxa"/>
            </w:tcMar>
          </w:tcPr>
          <w:p>
            <w:pPr>
              <w:pStyle w:val="TableText"/>
            </w:pPr>
            <w:r>
              <w:t>Using the approved 10:02/10:04 example or equivalent actual timing, repeated saves/loads do not move the clock or endpoint deadline.</w:t>
            </w:r>
          </w:p>
        </w:tc>
      </w:tr>
      <w:tr>
        <w:trPr>
          <w:cantSplit/>
        </w:trPr>
        <w:tc>
          <w:tcPr>
            <w:tcW w:type="dxa" w:w="2448"/>
            <w:vAlign w:val="top"/>
            <w:shd w:fill="F0F5F5"/>
            <w:tcMar>
              <w:top w:w="90" w:type="dxa"/>
              <w:left w:w="90" w:type="dxa"/>
              <w:bottom w:w="90" w:type="dxa"/>
              <w:right w:w="90" w:type="dxa"/>
            </w:tcMar>
          </w:tcPr>
          <w:p>
            <w:pPr>
              <w:pStyle w:val="TableText"/>
            </w:pPr>
            <w:r>
              <w:t>Pause during lift work</w:t>
            </w:r>
          </w:p>
        </w:tc>
        <w:tc>
          <w:tcPr>
            <w:tcW w:type="dxa" w:w="7211"/>
            <w:vAlign w:val="top"/>
            <w:shd w:fill="F0F5F5"/>
            <w:tcMar>
              <w:top w:w="90" w:type="dxa"/>
              <w:left w:w="90" w:type="dxa"/>
              <w:bottom w:w="90" w:type="dxa"/>
              <w:right w:w="90" w:type="dxa"/>
            </w:tcMar>
          </w:tcPr>
          <w:p>
            <w:pPr>
              <w:pStyle w:val="TableText"/>
            </w:pPr>
            <w:r>
              <w:t>ESC suspends clock, input/transfers, logical lift progress, shutter and cue. Resume continues the same theatre without catch-up.</w:t>
            </w:r>
          </w:p>
        </w:tc>
      </w:tr>
      <w:tr>
        <w:trPr>
          <w:cantSplit/>
        </w:trPr>
        <w:tc>
          <w:tcPr>
            <w:tcW w:type="dxa" w:w="2448"/>
            <w:vAlign w:val="top"/>
            <w:shd w:fill="FAFBFC"/>
            <w:tcMar>
              <w:top w:w="90" w:type="dxa"/>
              <w:left w:w="90" w:type="dxa"/>
              <w:bottom w:w="90" w:type="dxa"/>
              <w:right w:w="90" w:type="dxa"/>
            </w:tcMar>
          </w:tcPr>
          <w:p>
            <w:pPr>
              <w:pStyle w:val="TableText"/>
            </w:pPr>
            <w:r>
              <w:t>Zoning and menu interaction</w:t>
            </w:r>
          </w:p>
        </w:tc>
        <w:tc>
          <w:tcPr>
            <w:tcW w:type="dxa" w:w="7211"/>
            <w:vAlign w:val="top"/>
            <w:shd w:fill="FAFBFC"/>
            <w:tcMar>
              <w:top w:w="90" w:type="dxa"/>
              <w:left w:w="90" w:type="dxa"/>
              <w:bottom w:w="90" w:type="dxa"/>
              <w:right w:w="90" w:type="dxa"/>
            </w:tcMar>
          </w:tcPr>
          <w:p>
            <w:pPr>
              <w:pStyle w:val="TableText"/>
            </w:pPr>
            <w:r>
              <w:t>Closing one paused overlay does not resume gameplay while another still owns a pause. No accidental submission occurs through the menu.</w:t>
            </w:r>
          </w:p>
        </w:tc>
      </w:tr>
      <w:tr>
        <w:trPr>
          <w:cantSplit/>
        </w:trPr>
        <w:tc>
          <w:tcPr>
            <w:tcW w:type="dxa" w:w="2448"/>
            <w:vAlign w:val="top"/>
            <w:shd w:fill="F0F5F5"/>
            <w:tcMar>
              <w:top w:w="90" w:type="dxa"/>
              <w:left w:w="90" w:type="dxa"/>
              <w:bottom w:w="90" w:type="dxa"/>
              <w:right w:w="90" w:type="dxa"/>
            </w:tcMar>
          </w:tcPr>
          <w:p>
            <w:pPr>
              <w:pStyle w:val="TableText"/>
            </w:pPr>
            <w:r>
              <w:t>Clock visibility</w:t>
            </w:r>
          </w:p>
        </w:tc>
        <w:tc>
          <w:tcPr>
            <w:tcW w:type="dxa" w:w="7211"/>
            <w:vAlign w:val="top"/>
            <w:shd w:fill="F0F5F5"/>
            <w:tcMar>
              <w:top w:w="90" w:type="dxa"/>
              <w:left w:w="90" w:type="dxa"/>
              <w:bottom w:w="90" w:type="dxa"/>
              <w:right w:w="90" w:type="dxa"/>
            </w:tcMar>
          </w:tcPr>
          <w:p>
            <w:pPr>
              <w:pStyle w:val="TableText"/>
            </w:pPr>
            <w:r>
              <w:t>The development digital clock remains available independent of room and reads the authoritative day/time, including pause indications.</w:t>
            </w:r>
          </w:p>
        </w:tc>
      </w:tr>
      <w:tr>
        <w:trPr>
          <w:cantSplit/>
        </w:trPr>
        <w:tc>
          <w:tcPr>
            <w:tcW w:type="dxa" w:w="2448"/>
            <w:vAlign w:val="top"/>
            <w:shd w:fill="FAFBFC"/>
            <w:tcMar>
              <w:top w:w="90" w:type="dxa"/>
              <w:left w:w="90" w:type="dxa"/>
              <w:bottom w:w="90" w:type="dxa"/>
              <w:right w:w="90" w:type="dxa"/>
            </w:tcMar>
          </w:tcPr>
          <w:p>
            <w:pPr>
              <w:pStyle w:val="TableText"/>
            </w:pPr>
            <w:r>
              <w:t>Shared consumers</w:t>
            </w:r>
          </w:p>
        </w:tc>
        <w:tc>
          <w:tcPr>
            <w:tcW w:type="dxa" w:w="7211"/>
            <w:vAlign w:val="top"/>
            <w:shd w:fill="FAFBFC"/>
            <w:tcMar>
              <w:top w:w="90" w:type="dxa"/>
              <w:left w:w="90" w:type="dxa"/>
              <w:bottom w:w="90" w:type="dxa"/>
              <w:right w:w="90" w:type="dxa"/>
            </w:tcMar>
          </w:tcPr>
          <w:p>
            <w:pPr>
              <w:pStyle w:val="TableText"/>
            </w:pPr>
            <w:r>
              <w:t>Kitchen and Loadout use the same submission and persistence contracts. Their different lanes and capacity/cap rules do not duplicate or double-consume inputs.</w:t>
            </w:r>
          </w:p>
        </w:tc>
      </w:tr>
      <w:tr>
        <w:trPr>
          <w:cantSplit/>
        </w:trPr>
        <w:tc>
          <w:tcPr>
            <w:tcW w:type="dxa" w:w="2448"/>
            <w:vAlign w:val="top"/>
            <w:shd w:fill="F0F5F5"/>
            <w:tcMar>
              <w:top w:w="90" w:type="dxa"/>
              <w:left w:w="90" w:type="dxa"/>
              <w:bottom w:w="90" w:type="dxa"/>
              <w:right w:w="90" w:type="dxa"/>
            </w:tcMar>
          </w:tcPr>
          <w:p>
            <w:pPr>
              <w:pStyle w:val="TableText"/>
            </w:pPr>
            <w:r>
              <w:t>Multi-day continuity</w:t>
            </w:r>
          </w:p>
        </w:tc>
        <w:tc>
          <w:tcPr>
            <w:tcW w:type="dxa" w:w="7211"/>
            <w:vAlign w:val="top"/>
            <w:shd w:fill="F0F5F5"/>
            <w:tcMar>
              <w:top w:w="90" w:type="dxa"/>
              <w:left w:w="90" w:type="dxa"/>
              <w:bottom w:w="90" w:type="dxa"/>
              <w:right w:w="90" w:type="dxa"/>
            </w:tcMar>
          </w:tcPr>
          <w:p>
            <w:pPr>
              <w:pStyle w:val="TableText"/>
            </w:pPr>
            <w:r>
              <w:t>Today’s expenditure reduces tomorrow’s available stock; new supplies occur only through authored events, not automatic top-up or restart.</w:t>
            </w:r>
          </w:p>
        </w:tc>
      </w:tr>
      <w:tr>
        <w:trPr>
          <w:cantSplit/>
        </w:trPr>
        <w:tc>
          <w:tcPr>
            <w:tcW w:type="dxa" w:w="2448"/>
            <w:vAlign w:val="top"/>
            <w:shd w:fill="FAFBFC"/>
            <w:tcMar>
              <w:top w:w="90" w:type="dxa"/>
              <w:left w:w="90" w:type="dxa"/>
              <w:bottom w:w="90" w:type="dxa"/>
              <w:right w:w="90" w:type="dxa"/>
            </w:tcMar>
          </w:tcPr>
          <w:p>
            <w:pPr>
              <w:pStyle w:val="TableText"/>
            </w:pPr>
            <w:r>
              <w:t>Allocation playtest</w:t>
            </w:r>
          </w:p>
        </w:tc>
        <w:tc>
          <w:tcPr>
            <w:tcW w:type="dxa" w:w="7211"/>
            <w:vAlign w:val="top"/>
            <w:shd w:fill="FAFBFC"/>
            <w:tcMar>
              <w:top w:w="90" w:type="dxa"/>
              <w:left w:w="90" w:type="dxa"/>
              <w:bottom w:w="90" w:type="dxa"/>
              <w:right w:w="90" w:type="dxa"/>
            </w:tcMar>
          </w:tcPr>
          <w:p>
            <w:pPr>
              <w:pStyle w:val="TableText"/>
            </w:pPr>
            <w:r>
              <w:t>Observe chosen shortfalls, retained reserves, retrieval friction and organization changes with all three consumers. Do not claim real treatment or expedition balance.</w:t>
            </w:r>
          </w:p>
        </w:tc>
      </w:tr>
    </w:tbl>
    <w:p>
      <w:pPr>
        <w:pStyle w:val="Small"/>
        <w:spacing w:after="0"/>
      </w:pPr>
    </w:p>
    <w:p>
      <w:pPr>
        <w:pStyle w:val="Heading2"/>
      </w:pPr>
      <w:r>
        <w:t>14.3 A proportionate completion record</w:t>
      </w:r>
    </w:p>
    <w:p>
      <w:r>
        <w:t>For each slice, record the source revision, change boundaries, executed checks and actual outputs, relevant reused evidence, human findings, unresolved limits and disposition. Keep one concise result/playtest record with supporting raw logs. Retain deliberate rejection signatures by exact case; an unrelated error is not excused by an old warning. [WG; ER14]</w:t>
      </w:r>
    </w:p>
    <w:p>
      <w:r>
        <w:t>Do not turn this design task into an engine rerun. During implementation, focused tests and one appropriate contextual review are the default; later behavioral corrections receive affected follow-up checks. Unchanged game tests are not repeated solely for documentation or packaging. [WG]</w:t>
      </w:r>
    </w:p>
    <w:p>
      <w:pPr>
        <w:pStyle w:val="Source"/>
      </w:pPr>
      <w:r>
        <w:t>Basis: [D02–D09]; [WG]; [ER14 §§7–12]; [CR15].</w:t>
      </w:r>
    </w:p>
    <w:p>
      <w:r>
        <w:br w:type="page"/>
      </w:r>
    </w:p>
    <w:p>
      <w:pPr>
        <w:pStyle w:val="Kicker"/>
      </w:pPr>
      <w:r>
        <w:t>LIVING EVIDENCE HOME</w:t>
      </w:r>
    </w:p>
    <w:p>
      <w:bookmarkStart w:id="20" w:name="mvp_20"/>
      <w:pPr>
        <w:pStyle w:val="Heading1"/>
      </w:pPr>
      <w:r>
        <w:t>15. Active MVP progress record</w:t>
      </w:r>
      <w:bookmarkEnd w:id="20"/>
    </w:p>
    <w:p>
      <w:r>
        <w:t>This section replaces Prototype Findings as the active phase tracker. Dated evidence remains external to the master when detailed, and current status is updated here. The table is populated only with established evidence; it contains no projected test result. [D10]</w:t>
      </w:r>
    </w:p>
    <w:tbl>
      <w:tblPr>
        <w:tblW w:type="auto" w:w="0"/>
        <w:jc w:val="center"/>
        <w:tblLayout w:type="fixed"/>
        <w:tblLook w:firstColumn="1" w:firstRow="1" w:lastColumn="0" w:lastRow="0" w:noHBand="0" w:noVBand="1" w:val="04A0"/>
      </w:tblPr>
      <w:tblGrid>
        <w:gridCol w:w="2563"/>
        <w:gridCol w:w="2923"/>
        <w:gridCol w:w="4173"/>
      </w:tblGrid>
      <w:tr>
        <w:trPr>
          <w:cantSplit/>
          <w:tblHeader/>
        </w:trPr>
        <w:tc>
          <w:tcPr>
            <w:tcW w:type="dxa" w:w="2563"/>
            <w:vAlign w:val="top"/>
            <w:shd w:fill="243944"/>
            <w:tcMar>
              <w:top w:w="90" w:type="dxa"/>
              <w:left w:w="90" w:type="dxa"/>
              <w:bottom w:w="90" w:type="dxa"/>
              <w:right w:w="90" w:type="dxa"/>
            </w:tcMar>
          </w:tcPr>
          <w:p>
            <w:pPr>
              <w:pStyle w:val="TableHead"/>
            </w:pPr>
            <w:r>
              <w:t>Workstream</w:t>
            </w:r>
          </w:p>
        </w:tc>
        <w:tc>
          <w:tcPr>
            <w:tcW w:type="dxa" w:w="2923"/>
            <w:vAlign w:val="top"/>
            <w:shd w:fill="243944"/>
            <w:tcMar>
              <w:top w:w="90" w:type="dxa"/>
              <w:left w:w="90" w:type="dxa"/>
              <w:bottom w:w="90" w:type="dxa"/>
              <w:right w:w="90" w:type="dxa"/>
            </w:tcMar>
          </w:tcPr>
          <w:p>
            <w:pPr>
              <w:pStyle w:val="TableHead"/>
            </w:pPr>
            <w:r>
              <w:t>Status at v0.1</w:t>
            </w:r>
          </w:p>
        </w:tc>
        <w:tc>
          <w:tcPr>
            <w:tcW w:type="dxa" w:w="4173"/>
            <w:vAlign w:val="top"/>
            <w:shd w:fill="243944"/>
            <w:tcMar>
              <w:top w:w="90" w:type="dxa"/>
              <w:left w:w="90" w:type="dxa"/>
              <w:bottom w:w="90" w:type="dxa"/>
              <w:right w:w="90" w:type="dxa"/>
            </w:tcMar>
          </w:tcPr>
          <w:p>
            <w:pPr>
              <w:pStyle w:val="TableHead"/>
            </w:pPr>
            <w:r>
              <w:t>Evidence / next boundary</w:t>
            </w:r>
          </w:p>
        </w:tc>
      </w:tr>
      <w:tr>
        <w:trPr>
          <w:cantSplit/>
        </w:trPr>
        <w:tc>
          <w:tcPr>
            <w:tcW w:type="dxa" w:w="2563"/>
            <w:vAlign w:val="top"/>
            <w:shd w:fill="F0F5F5"/>
            <w:tcMar>
              <w:top w:w="90" w:type="dxa"/>
              <w:left w:w="90" w:type="dxa"/>
              <w:bottom w:w="90" w:type="dxa"/>
              <w:right w:w="90" w:type="dxa"/>
            </w:tcMar>
          </w:tcPr>
          <w:p>
            <w:pPr>
              <w:pStyle w:val="TableText"/>
            </w:pPr>
            <w:r>
              <w:t>Prototype foundations</w:t>
            </w:r>
          </w:p>
        </w:tc>
        <w:tc>
          <w:tcPr>
            <w:tcW w:type="dxa" w:w="2923"/>
            <w:vAlign w:val="top"/>
            <w:shd w:fill="F0F5F5"/>
            <w:tcMar>
              <w:top w:w="90" w:type="dxa"/>
              <w:left w:w="90" w:type="dxa"/>
              <w:bottom w:w="90" w:type="dxa"/>
              <w:right w:w="90" w:type="dxa"/>
            </w:tcMar>
          </w:tcPr>
          <w:p>
            <w:pPr>
              <w:pStyle w:val="TableText"/>
            </w:pPr>
            <w:r>
              <w:t>HUMAN-PROMOTED in recorded scopes</w:t>
            </w:r>
          </w:p>
        </w:tc>
        <w:tc>
          <w:tcPr>
            <w:tcW w:type="dxa" w:w="4173"/>
            <w:vAlign w:val="top"/>
            <w:shd w:fill="F0F5F5"/>
            <w:tcMar>
              <w:top w:w="90" w:type="dxa"/>
              <w:left w:w="90" w:type="dxa"/>
              <w:bottom w:w="90" w:type="dxa"/>
              <w:right w:w="90" w:type="dxa"/>
            </w:tcMar>
          </w:tcPr>
          <w:p>
            <w:pPr>
              <w:pStyle w:val="TableText"/>
            </w:pPr>
            <w:r>
              <w:t>PF v0.14 §§24–30, 34; retained history, not a new acceptance task.</w:t>
            </w:r>
          </w:p>
        </w:tc>
      </w:tr>
      <w:tr>
        <w:trPr>
          <w:cantSplit/>
        </w:trPr>
        <w:tc>
          <w:tcPr>
            <w:tcW w:type="dxa" w:w="2563"/>
            <w:vAlign w:val="top"/>
            <w:shd w:fill="FAFBFC"/>
            <w:tcMar>
              <w:top w:w="90" w:type="dxa"/>
              <w:left w:w="90" w:type="dxa"/>
              <w:bottom w:w="90" w:type="dxa"/>
              <w:right w:w="90" w:type="dxa"/>
            </w:tcMar>
          </w:tcPr>
          <w:p>
            <w:pPr>
              <w:pStyle w:val="TableText"/>
            </w:pPr>
            <w:r>
              <w:t>Pre-MVP review + repairs</w:t>
            </w:r>
          </w:p>
        </w:tc>
        <w:tc>
          <w:tcPr>
            <w:tcW w:type="dxa" w:w="2923"/>
            <w:vAlign w:val="top"/>
            <w:shd w:fill="FAFBFC"/>
            <w:tcMar>
              <w:top w:w="90" w:type="dxa"/>
              <w:left w:w="90" w:type="dxa"/>
              <w:bottom w:w="90" w:type="dxa"/>
              <w:right w:w="90" w:type="dxa"/>
            </w:tcMar>
          </w:tcPr>
          <w:p>
            <w:pPr>
              <w:pStyle w:val="TableText"/>
            </w:pPr>
            <w:r>
              <w:t>HUMAN-PROMOTED / PUBLISHED</w:t>
            </w:r>
          </w:p>
        </w:tc>
        <w:tc>
          <w:tcPr>
            <w:tcW w:type="dxa" w:w="4173"/>
            <w:vAlign w:val="top"/>
            <w:shd w:fill="FAFBFC"/>
            <w:tcMar>
              <w:top w:w="90" w:type="dxa"/>
              <w:left w:w="90" w:type="dxa"/>
              <w:bottom w:w="90" w:type="dxa"/>
              <w:right w:w="90" w:type="dxa"/>
            </w:tcMar>
          </w:tcPr>
          <w:p>
            <w:pPr>
              <w:pStyle w:val="TableText"/>
            </w:pPr>
            <w:r>
              <w:t>CR15; main 800fd41 verified for this draft. R-04 remains separate.</w:t>
            </w:r>
          </w:p>
        </w:tc>
      </w:tr>
      <w:tr>
        <w:trPr>
          <w:cantSplit/>
        </w:trPr>
        <w:tc>
          <w:tcPr>
            <w:tcW w:type="dxa" w:w="2563"/>
            <w:vAlign w:val="top"/>
            <w:shd w:fill="F0F5F5"/>
            <w:tcMar>
              <w:top w:w="90" w:type="dxa"/>
              <w:left w:w="90" w:type="dxa"/>
              <w:bottom w:w="90" w:type="dxa"/>
              <w:right w:w="90" w:type="dxa"/>
            </w:tcMar>
          </w:tcPr>
          <w:p>
            <w:pPr>
              <w:pStyle w:val="TableText"/>
            </w:pPr>
            <w:r>
              <w:t>MVP foundation contracts</w:t>
            </w:r>
          </w:p>
        </w:tc>
        <w:tc>
          <w:tcPr>
            <w:tcW w:type="dxa" w:w="2923"/>
            <w:vAlign w:val="top"/>
            <w:shd w:fill="F0F5F5"/>
            <w:tcMar>
              <w:top w:w="90" w:type="dxa"/>
              <w:left w:w="90" w:type="dxa"/>
              <w:bottom w:w="90" w:type="dxa"/>
              <w:right w:w="90" w:type="dxa"/>
            </w:tcMar>
          </w:tcPr>
          <w:p>
            <w:pPr>
              <w:pStyle w:val="TableText"/>
            </w:pPr>
            <w:r>
              <w:t>CONFIRMED IN CONVERSATION; document DRAFT</w:t>
            </w:r>
          </w:p>
        </w:tc>
        <w:tc>
          <w:tcPr>
            <w:tcW w:type="dxa" w:w="4173"/>
            <w:vAlign w:val="top"/>
            <w:shd w:fill="F0F5F5"/>
            <w:tcMar>
              <w:top w:w="90" w:type="dxa"/>
              <w:left w:w="90" w:type="dxa"/>
              <w:bottom w:w="90" w:type="dxa"/>
              <w:right w:w="90" w:type="dxa"/>
            </w:tcMar>
          </w:tcPr>
          <w:p>
            <w:pPr>
              <w:pStyle w:val="TableText"/>
            </w:pPr>
            <w:r>
              <w:t>D01–D10. Review this master; no source implementation claimed.</w:t>
            </w:r>
          </w:p>
        </w:tc>
      </w:tr>
      <w:tr>
        <w:trPr>
          <w:cantSplit/>
        </w:trPr>
        <w:tc>
          <w:tcPr>
            <w:tcW w:type="dxa" w:w="2563"/>
            <w:vAlign w:val="top"/>
            <w:shd w:fill="FAFBFC"/>
            <w:tcMar>
              <w:top w:w="90" w:type="dxa"/>
              <w:left w:w="90" w:type="dxa"/>
              <w:bottom w:w="90" w:type="dxa"/>
              <w:right w:w="90" w:type="dxa"/>
            </w:tcMar>
          </w:tcPr>
          <w:p>
            <w:pPr>
              <w:pStyle w:val="TableText"/>
            </w:pPr>
            <w:r>
              <w:t>M1 persistent Medical</w:t>
            </w:r>
          </w:p>
        </w:tc>
        <w:tc>
          <w:tcPr>
            <w:tcW w:type="dxa" w:w="2923"/>
            <w:vAlign w:val="top"/>
            <w:shd w:fill="FAFBFC"/>
            <w:tcMar>
              <w:top w:w="90" w:type="dxa"/>
              <w:left w:w="90" w:type="dxa"/>
              <w:bottom w:w="90" w:type="dxa"/>
              <w:right w:w="90" w:type="dxa"/>
            </w:tcMar>
          </w:tcPr>
          <w:p>
            <w:pPr>
              <w:pStyle w:val="TableText"/>
            </w:pPr>
            <w:r>
              <w:t>NOT IMPLEMENTED</w:t>
            </w:r>
          </w:p>
        </w:tc>
        <w:tc>
          <w:tcPr>
            <w:tcW w:type="dxa" w:w="4173"/>
            <w:vAlign w:val="top"/>
            <w:shd w:fill="FAFBFC"/>
            <w:tcMar>
              <w:top w:w="90" w:type="dxa"/>
              <w:left w:w="90" w:type="dxa"/>
              <w:bottom w:w="90" w:type="dxa"/>
              <w:right w:w="90" w:type="dxa"/>
            </w:tcMar>
          </w:tcPr>
          <w:p>
            <w:pPr>
              <w:pStyle w:val="TableText"/>
            </w:pPr>
            <w:r>
              <w:t>M1 player-facing choices confirmed on 16 October; technical serialization/restore integration to be designed against local source. No implementation or verification yet.</w:t>
            </w:r>
          </w:p>
        </w:tc>
      </w:tr>
      <w:tr>
        <w:trPr>
          <w:cantSplit/>
        </w:trPr>
        <w:tc>
          <w:tcPr>
            <w:tcW w:type="dxa" w:w="2563"/>
            <w:vAlign w:val="top"/>
            <w:shd w:fill="F0F5F5"/>
            <w:tcMar>
              <w:top w:w="90" w:type="dxa"/>
              <w:left w:w="90" w:type="dxa"/>
              <w:bottom w:w="90" w:type="dxa"/>
              <w:right w:w="90" w:type="dxa"/>
            </w:tcMar>
          </w:tcPr>
          <w:p>
            <w:pPr>
              <w:pStyle w:val="TableText"/>
            </w:pPr>
            <w:r>
              <w:t>M2 clock / midnight / HUD</w:t>
            </w:r>
          </w:p>
        </w:tc>
        <w:tc>
          <w:tcPr>
            <w:tcW w:type="dxa" w:w="2923"/>
            <w:vAlign w:val="top"/>
            <w:shd w:fill="F0F5F5"/>
            <w:tcMar>
              <w:top w:w="90" w:type="dxa"/>
              <w:left w:w="90" w:type="dxa"/>
              <w:bottom w:w="90" w:type="dxa"/>
              <w:right w:w="90" w:type="dxa"/>
            </w:tcMar>
          </w:tcPr>
          <w:p>
            <w:pPr>
              <w:pStyle w:val="TableText"/>
            </w:pPr>
            <w:r>
              <w:t>NOT IMPLEMENTED</w:t>
            </w:r>
          </w:p>
        </w:tc>
        <w:tc>
          <w:tcPr>
            <w:tcW w:type="dxa" w:w="4173"/>
            <w:vAlign w:val="top"/>
            <w:shd w:fill="F0F5F5"/>
            <w:tcMar>
              <w:top w:w="90" w:type="dxa"/>
              <w:left w:w="90" w:type="dxa"/>
              <w:bottom w:w="90" w:type="dxa"/>
              <w:right w:w="90" w:type="dxa"/>
            </w:tcMar>
          </w:tcPr>
          <w:p>
            <w:pPr>
              <w:pStyle w:val="TableText"/>
            </w:pPr>
            <w:r>
              <w:t>After M1; exact event ordering and synchronization policy must be defined.</w:t>
            </w:r>
          </w:p>
        </w:tc>
      </w:tr>
      <w:tr>
        <w:trPr>
          <w:cantSplit/>
        </w:trPr>
        <w:tc>
          <w:tcPr>
            <w:tcW w:type="dxa" w:w="2563"/>
            <w:vAlign w:val="top"/>
            <w:shd w:fill="FAFBFC"/>
            <w:tcMar>
              <w:top w:w="90" w:type="dxa"/>
              <w:left w:w="90" w:type="dxa"/>
              <w:bottom w:w="90" w:type="dxa"/>
              <w:right w:w="90" w:type="dxa"/>
            </w:tcMar>
          </w:tcPr>
          <w:p>
            <w:pPr>
              <w:pStyle w:val="TableText"/>
            </w:pPr>
            <w:r>
              <w:t>M3 Kitchen</w:t>
            </w:r>
          </w:p>
        </w:tc>
        <w:tc>
          <w:tcPr>
            <w:tcW w:type="dxa" w:w="2923"/>
            <w:vAlign w:val="top"/>
            <w:shd w:fill="FAFBFC"/>
            <w:tcMar>
              <w:top w:w="90" w:type="dxa"/>
              <w:left w:w="90" w:type="dxa"/>
              <w:bottom w:w="90" w:type="dxa"/>
              <w:right w:w="90" w:type="dxa"/>
            </w:tcMar>
          </w:tcPr>
          <w:p>
            <w:pPr>
              <w:pStyle w:val="TableText"/>
            </w:pPr>
            <w:r>
              <w:t>NOT IMPLEMENTED</w:t>
            </w:r>
          </w:p>
        </w:tc>
        <w:tc>
          <w:tcPr>
            <w:tcW w:type="dxa" w:w="4173"/>
            <w:vAlign w:val="top"/>
            <w:shd w:fill="FAFBFC"/>
            <w:tcMar>
              <w:top w:w="90" w:type="dxa"/>
              <w:left w:w="90" w:type="dxa"/>
              <w:bottom w:w="90" w:type="dxa"/>
              <w:right w:w="90" w:type="dxa"/>
            </w:tcMar>
          </w:tcPr>
          <w:p>
            <w:pPr>
              <w:pStyle w:val="TableText"/>
            </w:pPr>
            <w:r>
              <w:t>Reuses foundation; detailed scenario targets and acceptance policy remain open.</w:t>
            </w:r>
          </w:p>
        </w:tc>
      </w:tr>
      <w:tr>
        <w:trPr>
          <w:cantSplit/>
        </w:trPr>
        <w:tc>
          <w:tcPr>
            <w:tcW w:type="dxa" w:w="2563"/>
            <w:vAlign w:val="top"/>
            <w:shd w:fill="F0F5F5"/>
            <w:tcMar>
              <w:top w:w="90" w:type="dxa"/>
              <w:left w:w="90" w:type="dxa"/>
              <w:bottom w:w="90" w:type="dxa"/>
              <w:right w:w="90" w:type="dxa"/>
            </w:tcMar>
          </w:tcPr>
          <w:p>
            <w:pPr>
              <w:pStyle w:val="TableText"/>
            </w:pPr>
            <w:r>
              <w:t>M4 Expedition Loadout</w:t>
            </w:r>
          </w:p>
        </w:tc>
        <w:tc>
          <w:tcPr>
            <w:tcW w:type="dxa" w:w="2923"/>
            <w:vAlign w:val="top"/>
            <w:shd w:fill="F0F5F5"/>
            <w:tcMar>
              <w:top w:w="90" w:type="dxa"/>
              <w:left w:w="90" w:type="dxa"/>
              <w:bottom w:w="90" w:type="dxa"/>
              <w:right w:w="90" w:type="dxa"/>
            </w:tcMar>
          </w:tcPr>
          <w:p>
            <w:pPr>
              <w:pStyle w:val="TableText"/>
            </w:pPr>
            <w:r>
              <w:t>NOT IMPLEMENTED</w:t>
            </w:r>
          </w:p>
        </w:tc>
        <w:tc>
          <w:tcPr>
            <w:tcW w:type="dxa" w:w="4173"/>
            <w:vAlign w:val="top"/>
            <w:shd w:fill="F0F5F5"/>
            <w:tcMar>
              <w:top w:w="90" w:type="dxa"/>
              <w:left w:w="90" w:type="dxa"/>
              <w:bottom w:w="90" w:type="dxa"/>
              <w:right w:w="90" w:type="dxa"/>
            </w:tcMar>
          </w:tcPr>
          <w:p>
            <w:pPr>
              <w:pStyle w:val="TableText"/>
            </w:pPr>
            <w:r>
              <w:t>Reuses foundation; capacity/cap values and team-labelled scenario inputs remain open.</w:t>
            </w:r>
          </w:p>
        </w:tc>
      </w:tr>
      <w:tr>
        <w:trPr>
          <w:cantSplit/>
        </w:trPr>
        <w:tc>
          <w:tcPr>
            <w:tcW w:type="dxa" w:w="2563"/>
            <w:vAlign w:val="top"/>
            <w:shd w:fill="FAFBFC"/>
            <w:tcMar>
              <w:top w:w="90" w:type="dxa"/>
              <w:left w:w="90" w:type="dxa"/>
              <w:bottom w:w="90" w:type="dxa"/>
              <w:right w:w="90" w:type="dxa"/>
            </w:tcMar>
          </w:tcPr>
          <w:p>
            <w:pPr>
              <w:pStyle w:val="TableText"/>
            </w:pPr>
            <w:r>
              <w:t>M5 combined allocation</w:t>
            </w:r>
          </w:p>
        </w:tc>
        <w:tc>
          <w:tcPr>
            <w:tcW w:type="dxa" w:w="2923"/>
            <w:vAlign w:val="top"/>
            <w:shd w:fill="FAFBFC"/>
            <w:tcMar>
              <w:top w:w="90" w:type="dxa"/>
              <w:left w:w="90" w:type="dxa"/>
              <w:bottom w:w="90" w:type="dxa"/>
              <w:right w:w="90" w:type="dxa"/>
            </w:tcMar>
          </w:tcPr>
          <w:p>
            <w:pPr>
              <w:pStyle w:val="TableText"/>
            </w:pPr>
            <w:r>
              <w:t>NOT RUN</w:t>
            </w:r>
          </w:p>
        </w:tc>
        <w:tc>
          <w:tcPr>
            <w:tcW w:type="dxa" w:w="4173"/>
            <w:vAlign w:val="top"/>
            <w:shd w:fill="FAFBFC"/>
            <w:tcMar>
              <w:top w:w="90" w:type="dxa"/>
              <w:left w:w="90" w:type="dxa"/>
              <w:bottom w:w="90" w:type="dxa"/>
              <w:right w:w="90" w:type="dxa"/>
            </w:tcMar>
          </w:tcPr>
          <w:p>
            <w:pPr>
              <w:pStyle w:val="TableText"/>
            </w:pPr>
            <w:r>
              <w:t>Requires the continuing three-consumer scenario; no broad survival/economy conclusion yet.</w:t>
            </w:r>
          </w:p>
        </w:tc>
      </w:tr>
    </w:tbl>
    <w:p>
      <w:pPr>
        <w:pStyle w:val="Small"/>
        <w:spacing w:after="0"/>
      </w:pPr>
    </w:p>
    <w:p>
      <w:pPr>
        <w:pStyle w:val="Heading2"/>
      </w:pPr>
      <w:r>
        <w:t>15.1 Update each stage without rewriting history</w:t>
      </w:r>
    </w:p>
    <w:p>
      <w:r>
        <w:t>Each subsequent entry should state what changed, the reviewed revision, what ran, what did not run, the human result and the final disposition. Keep implementation, technical evidence, independent review, human acceptance and publication separate. Retain a REVISE and its correction rather than replacing the earlier result with an invented earlier PASS.</w:t>
      </w:r>
    </w:p>
    <w:p>
      <w:r>
        <w:t>Carry-forward IDs in §16 remain stable references. Mark work resolved only with a specific later result; mark a design changed only with a new developer decision. Confirmed later work should not disappear when its implementation stage has not yet been selected. No evidence-quota, quality score or general cleanup backlog is introduced. [D10; ER14 §8]</w:t>
      </w:r>
    </w:p>
    <w:p>
      <w:pPr>
        <w:pStyle w:val="Source"/>
      </w:pPr>
      <w:r>
        <w:t>Basis: [D10]; [PF §1]; [CR15; R15]; [ER14 §§8, 10–12].</w:t>
      </w:r>
    </w:p>
    <w:p>
      <w:r>
        <w:br w:type="page"/>
      </w:r>
    </w:p>
    <w:p>
      <w:pPr>
        <w:pStyle w:val="Kicker"/>
      </w:pPr>
      <w:r>
        <w:t>16.1  DEPENDENCIES REACHED BY THIS FOUNDATION</w:t>
      </w:r>
    </w:p>
    <w:p>
      <w:bookmarkStart w:id="21" w:name="mvp_21"/>
      <w:pPr>
        <w:pStyle w:val="Heading1"/>
      </w:pPr>
      <w:r>
        <w:t>16. Carry-forward register</w:t>
      </w:r>
      <w:bookmarkEnd w:id="21"/>
    </w:p>
    <w:p>
      <w:r>
        <w:t>This register groups inherited obligations by their present disposition. It does not import obsolete pending statements or declare all historical issues current. Its entries complement, rather than replace, the preserved source record. Triggers below describe when the work becomes relevant; no completion is claimed. [D10]</w:t>
      </w:r>
    </w:p>
    <w:tbl>
      <w:tblPr>
        <w:tblW w:type="auto" w:w="0"/>
        <w:jc w:val="center"/>
        <w:tblLayout w:type="fixed"/>
        <w:tblLook w:firstColumn="1" w:firstRow="1" w:lastColumn="0" w:lastRow="0" w:noHBand="0" w:noVBand="1" w:val="04A0"/>
      </w:tblPr>
      <w:tblGrid>
        <w:gridCol w:w="1699"/>
        <w:gridCol w:w="4147"/>
        <w:gridCol w:w="3813"/>
      </w:tblGrid>
      <w:tr>
        <w:trPr>
          <w:cantSplit/>
          <w:tblHeader/>
        </w:trPr>
        <w:tc>
          <w:tcPr>
            <w:tcW w:type="dxa" w:w="1699"/>
            <w:vAlign w:val="top"/>
            <w:shd w:fill="243944"/>
            <w:tcMar>
              <w:top w:w="90" w:type="dxa"/>
              <w:left w:w="90" w:type="dxa"/>
              <w:bottom w:w="90" w:type="dxa"/>
              <w:right w:w="90" w:type="dxa"/>
            </w:tcMar>
          </w:tcPr>
          <w:p>
            <w:pPr>
              <w:pStyle w:val="TableHead"/>
            </w:pPr>
            <w:r>
              <w:t>ID / source</w:t>
            </w:r>
          </w:p>
        </w:tc>
        <w:tc>
          <w:tcPr>
            <w:tcW w:type="dxa" w:w="4147"/>
            <w:vAlign w:val="top"/>
            <w:shd w:fill="243944"/>
            <w:tcMar>
              <w:top w:w="90" w:type="dxa"/>
              <w:left w:w="90" w:type="dxa"/>
              <w:bottom w:w="90" w:type="dxa"/>
              <w:right w:w="90" w:type="dxa"/>
            </w:tcMar>
          </w:tcPr>
          <w:p>
            <w:pPr>
              <w:pStyle w:val="TableHead"/>
            </w:pPr>
            <w:r>
              <w:t>Carried-forward obligation</w:t>
            </w:r>
          </w:p>
        </w:tc>
        <w:tc>
          <w:tcPr>
            <w:tcW w:type="dxa" w:w="3813"/>
            <w:vAlign w:val="top"/>
            <w:shd w:fill="243944"/>
            <w:tcMar>
              <w:top w:w="90" w:type="dxa"/>
              <w:left w:w="90" w:type="dxa"/>
              <w:bottom w:w="90" w:type="dxa"/>
              <w:right w:w="90" w:type="dxa"/>
            </w:tcMar>
          </w:tcPr>
          <w:p>
            <w:pPr>
              <w:pStyle w:val="TableHead"/>
            </w:pPr>
            <w:r>
              <w:t>Current disposition</w:t>
            </w:r>
          </w:p>
        </w:tc>
      </w:tr>
      <w:tr>
        <w:trPr>
          <w:cantSplit/>
        </w:trPr>
        <w:tc>
          <w:tcPr>
            <w:tcW w:type="dxa" w:w="1699"/>
            <w:vAlign w:val="top"/>
            <w:shd w:fill="F0F5F5"/>
            <w:tcMar>
              <w:top w:w="90" w:type="dxa"/>
              <w:left w:w="90" w:type="dxa"/>
              <w:bottom w:w="90" w:type="dxa"/>
              <w:right w:w="90" w:type="dxa"/>
            </w:tcMar>
          </w:tcPr>
          <w:p>
            <w:pPr>
              <w:pStyle w:val="TableText"/>
            </w:pPr>
            <w:r>
              <w:t>CF-01</w:t>
              <w:br/>
              <w:t>CR15; ER-RESULT R-04</w:t>
            </w:r>
          </w:p>
        </w:tc>
        <w:tc>
          <w:tcPr>
            <w:tcW w:type="dxa" w:w="4147"/>
            <w:vAlign w:val="top"/>
            <w:shd w:fill="F0F5F5"/>
            <w:tcMar>
              <w:top w:w="90" w:type="dxa"/>
              <w:left w:w="90" w:type="dxa"/>
              <w:bottom w:w="90" w:type="dxa"/>
              <w:right w:w="90" w:type="dxa"/>
            </w:tcMar>
          </w:tcPr>
          <w:p>
            <w:pPr>
              <w:pStyle w:val="TableText"/>
            </w:pPr>
            <w:r>
              <w:t>Reflection frame-wait work can resume after its owner is freed. Timer-cooldown deletion was quiet; no item loss or persistent GPU failure was established.</w:t>
            </w:r>
          </w:p>
        </w:tc>
        <w:tc>
          <w:tcPr>
            <w:tcW w:type="dxa" w:w="3813"/>
            <w:vAlign w:val="top"/>
            <w:shd w:fill="F0F5F5"/>
            <w:tcMar>
              <w:top w:w="90" w:type="dxa"/>
              <w:left w:w="90" w:type="dxa"/>
              <w:bottom w:w="90" w:type="dxa"/>
              <w:right w:w="90" w:type="dxa"/>
            </w:tcMar>
          </w:tcPr>
          <w:p>
            <w:pPr>
              <w:pStyle w:val="TableText"/>
            </w:pPr>
            <w:r>
              <w:t>Unrepaired. The menu/reload dependency is now relevant to M1; bound a lifetime correction without relighting or performance redesign.</w:t>
            </w:r>
          </w:p>
        </w:tc>
      </w:tr>
      <w:tr>
        <w:trPr>
          <w:cantSplit/>
        </w:trPr>
        <w:tc>
          <w:tcPr>
            <w:tcW w:type="dxa" w:w="1699"/>
            <w:vAlign w:val="top"/>
            <w:shd w:fill="FAFBFC"/>
            <w:tcMar>
              <w:top w:w="90" w:type="dxa"/>
              <w:left w:w="90" w:type="dxa"/>
              <w:bottom w:w="90" w:type="dxa"/>
              <w:right w:w="90" w:type="dxa"/>
            </w:tcMar>
          </w:tcPr>
          <w:p>
            <w:pPr>
              <w:pStyle w:val="TableText"/>
            </w:pPr>
            <w:r>
              <w:t>CF-02</w:t>
              <w:br/>
              <w:t>PF §§16.5, 25.4; GDD §18.5</w:t>
            </w:r>
          </w:p>
        </w:tc>
        <w:tc>
          <w:tcPr>
            <w:tcW w:type="dxa" w:w="4147"/>
            <w:vAlign w:val="top"/>
            <w:shd w:fill="FAFBFC"/>
            <w:tcMar>
              <w:top w:w="90" w:type="dxa"/>
              <w:left w:w="90" w:type="dxa"/>
              <w:bottom w:w="90" w:type="dxa"/>
              <w:right w:w="90" w:type="dxa"/>
            </w:tcMar>
          </w:tcPr>
          <w:p>
            <w:pPr>
              <w:pStyle w:val="TableText"/>
            </w:pPr>
            <w:r>
              <w:t>Full-game persistence was not established by batch snapshots. Stored placement orientation must survive instead of being recomputed from current Front.</w:t>
            </w:r>
          </w:p>
        </w:tc>
        <w:tc>
          <w:tcPr>
            <w:tcW w:type="dxa" w:w="3813"/>
            <w:vAlign w:val="top"/>
            <w:shd w:fill="FAFBFC"/>
            <w:tcMar>
              <w:top w:w="90" w:type="dxa"/>
              <w:left w:w="90" w:type="dxa"/>
              <w:bottom w:w="90" w:type="dxa"/>
              <w:right w:w="90" w:type="dxa"/>
            </w:tcMar>
          </w:tcPr>
          <w:p>
            <w:pPr>
              <w:pStyle w:val="TableText"/>
            </w:pPr>
            <w:r>
              <w:t>Normal single-slot continuation is now in M1. Robust crash/journal guarantees remain later under CF-13.</w:t>
            </w:r>
          </w:p>
        </w:tc>
      </w:tr>
      <w:tr>
        <w:trPr>
          <w:cantSplit/>
        </w:trPr>
        <w:tc>
          <w:tcPr>
            <w:tcW w:type="dxa" w:w="1699"/>
            <w:vAlign w:val="top"/>
            <w:shd w:fill="F0F5F5"/>
            <w:tcMar>
              <w:top w:w="90" w:type="dxa"/>
              <w:left w:w="90" w:type="dxa"/>
              <w:bottom w:w="90" w:type="dxa"/>
              <w:right w:w="90" w:type="dxa"/>
            </w:tcMar>
          </w:tcPr>
          <w:p>
            <w:pPr>
              <w:pStyle w:val="TableText"/>
            </w:pPr>
            <w:r>
              <w:t>CF-03</w:t>
              <w:br/>
              <w:t>CR15 R-03; D02–D03</w:t>
            </w:r>
          </w:p>
        </w:tc>
        <w:tc>
          <w:tcPr>
            <w:tcW w:type="dxa" w:w="4147"/>
            <w:vAlign w:val="top"/>
            <w:shd w:fill="F0F5F5"/>
            <w:tcMar>
              <w:top w:w="90" w:type="dxa"/>
              <w:left w:w="90" w:type="dxa"/>
              <w:bottom w:w="90" w:type="dxa"/>
              <w:right w:w="90" w:type="dxa"/>
            </w:tcMar>
          </w:tcPr>
          <w:p>
            <w:pPr>
              <w:pStyle w:val="TableText"/>
            </w:pPr>
            <w:r>
              <w:t>Process-local debug namespace uniqueness does not alone ensure new delivery identity after application restart.</w:t>
            </w:r>
          </w:p>
        </w:tc>
        <w:tc>
          <w:tcPr>
            <w:tcW w:type="dxa" w:w="3813"/>
            <w:vAlign w:val="top"/>
            <w:shd w:fill="F0F5F5"/>
            <w:tcMar>
              <w:top w:w="90" w:type="dxa"/>
              <w:left w:w="90" w:type="dxa"/>
              <w:bottom w:w="90" w:type="dxa"/>
              <w:right w:w="90" w:type="dxa"/>
            </w:tcMar>
          </w:tcPr>
          <w:p>
            <w:pPr>
              <w:pStyle w:val="TableText"/>
            </w:pPr>
            <w:r>
              <w:t>Address run-scoped allocation in persistence; preserve same-seed content versus unique new identity and reconstruction identity.</w:t>
            </w:r>
          </w:p>
        </w:tc>
      </w:tr>
      <w:tr>
        <w:trPr>
          <w:cantSplit/>
        </w:trPr>
        <w:tc>
          <w:tcPr>
            <w:tcW w:type="dxa" w:w="1699"/>
            <w:vAlign w:val="top"/>
            <w:shd w:fill="FAFBFC"/>
            <w:tcMar>
              <w:top w:w="90" w:type="dxa"/>
              <w:left w:w="90" w:type="dxa"/>
              <w:bottom w:w="90" w:type="dxa"/>
              <w:right w:w="90" w:type="dxa"/>
            </w:tcMar>
          </w:tcPr>
          <w:p>
            <w:pPr>
              <w:pStyle w:val="TableText"/>
            </w:pPr>
            <w:r>
              <w:t>CF-04</w:t>
              <w:br/>
              <w:t>ER-RESULT §4; CR15</w:t>
            </w:r>
          </w:p>
        </w:tc>
        <w:tc>
          <w:tcPr>
            <w:tcW w:type="dxa" w:w="4147"/>
            <w:vAlign w:val="top"/>
            <w:shd w:fill="FAFBFC"/>
            <w:tcMar>
              <w:top w:w="90" w:type="dxa"/>
              <w:left w:w="90" w:type="dxa"/>
              <w:bottom w:w="90" w:type="dxa"/>
              <w:right w:w="90" w:type="dxa"/>
            </w:tcMar>
          </w:tcPr>
          <w:p>
            <w:pPr>
              <w:pStyle w:val="TableText"/>
            </w:pPr>
            <w:r>
              <w:t>Carrying mutation signals can precede transfer success/rollback and cannot authorize irreversible credit.</w:t>
            </w:r>
          </w:p>
        </w:tc>
        <w:tc>
          <w:tcPr>
            <w:tcW w:type="dxa" w:w="3813"/>
            <w:vAlign w:val="top"/>
            <w:shd w:fill="FAFBFC"/>
            <w:tcMar>
              <w:top w:w="90" w:type="dxa"/>
              <w:left w:w="90" w:type="dxa"/>
              <w:bottom w:w="90" w:type="dxa"/>
              <w:right w:w="90" w:type="dxa"/>
            </w:tcMar>
          </w:tcPr>
          <w:p>
            <w:pPr>
              <w:pStyle w:val="TableText"/>
            </w:pPr>
            <w:r>
              <w:t>Shared submission must commit ownership and request credit at the successful enclosing boundary.</w:t>
            </w:r>
          </w:p>
        </w:tc>
      </w:tr>
      <w:tr>
        <w:trPr>
          <w:cantSplit/>
        </w:trPr>
        <w:tc>
          <w:tcPr>
            <w:tcW w:type="dxa" w:w="1699"/>
            <w:vAlign w:val="top"/>
            <w:shd w:fill="F0F5F5"/>
            <w:tcMar>
              <w:top w:w="90" w:type="dxa"/>
              <w:left w:w="90" w:type="dxa"/>
              <w:bottom w:w="90" w:type="dxa"/>
              <w:right w:w="90" w:type="dxa"/>
            </w:tcMar>
          </w:tcPr>
          <w:p>
            <w:pPr>
              <w:pStyle w:val="TableText"/>
            </w:pPr>
            <w:r>
              <w:t>CF-05</w:t>
              <w:br/>
              <w:t>PF §34.5; GDD §11</w:t>
            </w:r>
          </w:p>
        </w:tc>
        <w:tc>
          <w:tcPr>
            <w:tcW w:type="dxa" w:w="4147"/>
            <w:vAlign w:val="top"/>
            <w:shd w:fill="F0F5F5"/>
            <w:tcMar>
              <w:top w:w="90" w:type="dxa"/>
              <w:left w:w="90" w:type="dxa"/>
              <w:bottom w:w="90" w:type="dxa"/>
              <w:right w:w="90" w:type="dxa"/>
            </w:tcMar>
          </w:tcPr>
          <w:p>
            <w:pPr>
              <w:pStyle w:val="TableText"/>
            </w:pPr>
            <w:r>
              <w:t>Actual return callers must use upstream admission, lifecycle results/signals and the explicit midnight event; deposited capacity stays 1 + 2.</w:t>
            </w:r>
          </w:p>
        </w:tc>
        <w:tc>
          <w:tcPr>
            <w:tcW w:type="dxa" w:w="3813"/>
            <w:vAlign w:val="top"/>
            <w:shd w:fill="F0F5F5"/>
            <w:tcMar>
              <w:top w:w="90" w:type="dxa"/>
              <w:left w:w="90" w:type="dxa"/>
              <w:bottom w:w="90" w:type="dxa"/>
              <w:right w:w="90" w:type="dxa"/>
            </w:tcMar>
          </w:tcPr>
          <w:p>
            <w:pPr>
              <w:pStyle w:val="TableText"/>
            </w:pPr>
            <w:r>
              <w:t>Preserve during scenario/clock integration. Real Expedition outcome/roster generation is still deferred.</w:t>
            </w:r>
          </w:p>
        </w:tc>
      </w:tr>
      <w:tr>
        <w:trPr>
          <w:cantSplit/>
        </w:trPr>
        <w:tc>
          <w:tcPr>
            <w:tcW w:type="dxa" w:w="1699"/>
            <w:vAlign w:val="top"/>
            <w:shd w:fill="FAFBFC"/>
            <w:tcMar>
              <w:top w:w="90" w:type="dxa"/>
              <w:left w:w="90" w:type="dxa"/>
              <w:bottom w:w="90" w:type="dxa"/>
              <w:right w:w="90" w:type="dxa"/>
            </w:tcMar>
          </w:tcPr>
          <w:p>
            <w:pPr>
              <w:pStyle w:val="TableText"/>
            </w:pPr>
            <w:r>
              <w:t>CF-06</w:t>
              <w:br/>
              <w:t>PF §§19.4, 24.3; VDD §§16, 18–19</w:t>
            </w:r>
          </w:p>
        </w:tc>
        <w:tc>
          <w:tcPr>
            <w:tcW w:type="dxa" w:w="4147"/>
            <w:vAlign w:val="top"/>
            <w:shd w:fill="FAFBFC"/>
            <w:tcMar>
              <w:top w:w="90" w:type="dxa"/>
              <w:left w:w="90" w:type="dxa"/>
              <w:bottom w:w="90" w:type="dxa"/>
              <w:right w:w="90" w:type="dxa"/>
            </w:tcMar>
          </w:tcPr>
          <w:p>
            <w:pPr>
              <w:pStyle w:val="TableText"/>
            </w:pPr>
            <w:r>
              <w:t>Playable service spaces and routes are approved, not fully furnished request interfaces or final gameplay travel balance.</w:t>
            </w:r>
          </w:p>
        </w:tc>
        <w:tc>
          <w:tcPr>
            <w:tcW w:type="dxa" w:w="3813"/>
            <w:vAlign w:val="top"/>
            <w:shd w:fill="FAFBFC"/>
            <w:tcMar>
              <w:top w:w="90" w:type="dxa"/>
              <w:left w:w="90" w:type="dxa"/>
              <w:bottom w:w="90" w:type="dxa"/>
              <w:right w:w="90" w:type="dxa"/>
            </w:tcMar>
          </w:tcPr>
          <w:p>
            <w:pPr>
              <w:pStyle w:val="TableText"/>
            </w:pPr>
            <w:r>
              <w:t>Specify a minimal Medical interface and useful work visibility for M1; reuse geometry and defer unrelated room art.</w:t>
            </w:r>
          </w:p>
        </w:tc>
      </w:tr>
    </w:tbl>
    <w:p>
      <w:pPr>
        <w:pStyle w:val="Small"/>
        <w:spacing w:after="0"/>
      </w:pPr>
    </w:p>
    <w:p>
      <w:pPr>
        <w:pStyle w:val="Small"/>
      </w:pPr>
      <w:r>
        <w:t>A dependency entering scope is not retroactive demotion of the accepted prototype. The next handoff must identify exactly which owning paths it changes and the focused evidence required. [WG; ER14 §11]</w:t>
      </w:r>
    </w:p>
    <w:p>
      <w:pPr>
        <w:pStyle w:val="Source"/>
      </w:pPr>
      <w:r>
        <w:t>Basis: [PF §§16, 19, 24–25, 34]; [GDD §§7, 11, 18.5]; [VDD §§16, 18–19]; [ER-RESULT; CR15]; [D02–D05, D10].</w:t>
      </w:r>
    </w:p>
    <w:p>
      <w:r>
        <w:br w:type="page"/>
      </w:r>
    </w:p>
    <w:p>
      <w:pPr>
        <w:pStyle w:val="Kicker"/>
      </w:pPr>
      <w:r>
        <w:t>16.2  KNOWN TECHNICAL AND CONTENT DEBT</w:t>
      </w:r>
    </w:p>
    <w:p>
      <w:bookmarkStart w:id="22" w:name="mvp_22"/>
      <w:pPr>
        <w:pStyle w:val="Heading1"/>
      </w:pPr>
      <w:r>
        <w:t>16. Carry-forward register</w:t>
      </w:r>
      <w:bookmarkEnd w:id="22"/>
    </w:p>
    <w:tbl>
      <w:tblPr>
        <w:tblW w:type="auto" w:w="0"/>
        <w:jc w:val="center"/>
        <w:tblLayout w:type="fixed"/>
        <w:tblLook w:firstColumn="1" w:firstRow="1" w:lastColumn="0" w:lastRow="0" w:noHBand="0" w:noVBand="1" w:val="04A0"/>
      </w:tblPr>
      <w:tblGrid>
        <w:gridCol w:w="1728"/>
        <w:gridCol w:w="4493"/>
        <w:gridCol w:w="3438"/>
      </w:tblGrid>
      <w:tr>
        <w:trPr>
          <w:cantSplit/>
          <w:tblHeader/>
        </w:trPr>
        <w:tc>
          <w:tcPr>
            <w:tcW w:type="dxa" w:w="1728"/>
            <w:vAlign w:val="top"/>
            <w:shd w:fill="243944"/>
            <w:tcMar>
              <w:top w:w="90" w:type="dxa"/>
              <w:left w:w="90" w:type="dxa"/>
              <w:bottom w:w="90" w:type="dxa"/>
              <w:right w:w="90" w:type="dxa"/>
            </w:tcMar>
          </w:tcPr>
          <w:p>
            <w:pPr>
              <w:pStyle w:val="TableHead"/>
            </w:pPr>
            <w:r>
              <w:t>ID / source</w:t>
            </w:r>
          </w:p>
        </w:tc>
        <w:tc>
          <w:tcPr>
            <w:tcW w:type="dxa" w:w="4493"/>
            <w:vAlign w:val="top"/>
            <w:shd w:fill="243944"/>
            <w:tcMar>
              <w:top w:w="90" w:type="dxa"/>
              <w:left w:w="90" w:type="dxa"/>
              <w:bottom w:w="90" w:type="dxa"/>
              <w:right w:w="90" w:type="dxa"/>
            </w:tcMar>
          </w:tcPr>
          <w:p>
            <w:pPr>
              <w:pStyle w:val="TableHead"/>
            </w:pPr>
            <w:r>
              <w:t>Disposition preserved</w:t>
            </w:r>
          </w:p>
        </w:tc>
        <w:tc>
          <w:tcPr>
            <w:tcW w:type="dxa" w:w="3438"/>
            <w:vAlign w:val="top"/>
            <w:shd w:fill="243944"/>
            <w:tcMar>
              <w:top w:w="90" w:type="dxa"/>
              <w:left w:w="90" w:type="dxa"/>
              <w:bottom w:w="90" w:type="dxa"/>
              <w:right w:w="90" w:type="dxa"/>
            </w:tcMar>
          </w:tcPr>
          <w:p>
            <w:pPr>
              <w:pStyle w:val="TableHead"/>
            </w:pPr>
            <w:r>
              <w:t>Revisit boundary</w:t>
            </w:r>
          </w:p>
        </w:tc>
      </w:tr>
      <w:tr>
        <w:trPr>
          <w:cantSplit/>
        </w:trPr>
        <w:tc>
          <w:tcPr>
            <w:tcW w:type="dxa" w:w="1728"/>
            <w:vAlign w:val="top"/>
            <w:shd w:fill="F0F5F5"/>
            <w:tcMar>
              <w:top w:w="90" w:type="dxa"/>
              <w:left w:w="90" w:type="dxa"/>
              <w:bottom w:w="90" w:type="dxa"/>
              <w:right w:w="90" w:type="dxa"/>
            </w:tcMar>
          </w:tcPr>
          <w:p>
            <w:pPr>
              <w:pStyle w:val="TableText"/>
            </w:pPr>
            <w:r>
              <w:t>CF-07</w:t>
              <w:br/>
              <w:t>PF §§3–4, 7, 14.5, 34.7</w:t>
            </w:r>
          </w:p>
        </w:tc>
        <w:tc>
          <w:tcPr>
            <w:tcW w:type="dxa" w:w="4493"/>
            <w:vAlign w:val="top"/>
            <w:shd w:fill="F0F5F5"/>
            <w:tcMar>
              <w:top w:w="90" w:type="dxa"/>
              <w:left w:w="90" w:type="dxa"/>
              <w:bottom w:w="90" w:type="dxa"/>
              <w:right w:w="90" w:type="dxa"/>
            </w:tcMar>
          </w:tcPr>
          <w:p>
            <w:pPr>
              <w:pStyle w:val="TableText"/>
            </w:pPr>
            <w:r>
              <w:t>Held/HUD presentation remains provisional; held-view material-null diagnostics were not repaired. Earlier live SubViewport lighting isolation failed, not the technology itself.</w:t>
            </w:r>
          </w:p>
        </w:tc>
        <w:tc>
          <w:tcPr>
            <w:tcW w:type="dxa" w:w="3438"/>
            <w:vAlign w:val="top"/>
            <w:shd w:fill="F0F5F5"/>
            <w:tcMar>
              <w:top w:w="90" w:type="dxa"/>
              <w:left w:w="90" w:type="dxa"/>
              <w:bottom w:w="90" w:type="dxa"/>
              <w:right w:w="90" w:type="dxa"/>
            </w:tcMar>
          </w:tcPr>
          <w:p>
            <w:pPr>
              <w:pStyle w:val="TableText"/>
            </w:pPr>
            <w:r>
              <w:t>Supported-renderer reproduction, visual readability failure or a relevant rendered test. Normal prior human play remains separate evidence.</w:t>
            </w:r>
          </w:p>
        </w:tc>
      </w:tr>
      <w:tr>
        <w:trPr>
          <w:cantSplit/>
        </w:trPr>
        <w:tc>
          <w:tcPr>
            <w:tcW w:type="dxa" w:w="1728"/>
            <w:vAlign w:val="top"/>
            <w:shd w:fill="FAFBFC"/>
            <w:tcMar>
              <w:top w:w="90" w:type="dxa"/>
              <w:left w:w="90" w:type="dxa"/>
              <w:bottom w:w="90" w:type="dxa"/>
              <w:right w:w="90" w:type="dxa"/>
            </w:tcMar>
          </w:tcPr>
          <w:p>
            <w:pPr>
              <w:pStyle w:val="TableText"/>
            </w:pPr>
            <w:r>
              <w:t>CF-08</w:t>
              <w:br/>
              <w:t>PF §§33.3, 34.3</w:t>
            </w:r>
          </w:p>
        </w:tc>
        <w:tc>
          <w:tcPr>
            <w:tcW w:type="dxa" w:w="4493"/>
            <w:vAlign w:val="top"/>
            <w:shd w:fill="FAFBFC"/>
            <w:tcMar>
              <w:top w:w="90" w:type="dxa"/>
              <w:left w:w="90" w:type="dxa"/>
              <w:bottom w:w="90" w:type="dxa"/>
              <w:right w:w="90" w:type="dxa"/>
            </w:tcMar>
          </w:tcPr>
          <w:p>
            <w:pPr>
              <w:pStyle w:val="TableText"/>
            </w:pPr>
            <w:r>
              <w:t>Accepted one-machine probe cost: about 3.56 s added cold initialization, 125–132 ms first cargo refresh, 8–10 ms later refresh. No fresh profile here.</w:t>
            </w:r>
          </w:p>
        </w:tc>
        <w:tc>
          <w:tcPr>
            <w:tcW w:type="dxa" w:w="3438"/>
            <w:vAlign w:val="top"/>
            <w:shd w:fill="FAFBFC"/>
            <w:tcMar>
              <w:top w:w="90" w:type="dxa"/>
              <w:left w:w="90" w:type="dxa"/>
              <w:bottom w:w="90" w:type="dxa"/>
              <w:right w:w="90" w:type="dxa"/>
            </w:tcMar>
          </w:tcPr>
          <w:p>
            <w:pPr>
              <w:pStyle w:val="TableText"/>
            </w:pPr>
            <w:r>
              <w:t>Credible workload, repeated loading or other-hardware impact. No speculative performance rewrite.</w:t>
            </w:r>
          </w:p>
        </w:tc>
      </w:tr>
      <w:tr>
        <w:trPr>
          <w:cantSplit/>
        </w:trPr>
        <w:tc>
          <w:tcPr>
            <w:tcW w:type="dxa" w:w="1728"/>
            <w:vAlign w:val="top"/>
            <w:shd w:fill="F0F5F5"/>
            <w:tcMar>
              <w:top w:w="90" w:type="dxa"/>
              <w:left w:w="90" w:type="dxa"/>
              <w:bottom w:w="90" w:type="dxa"/>
              <w:right w:w="90" w:type="dxa"/>
            </w:tcMar>
          </w:tcPr>
          <w:p>
            <w:pPr>
              <w:pStyle w:val="TableText"/>
            </w:pPr>
            <w:r>
              <w:t>CF-09</w:t>
              <w:br/>
              <w:t>PF §33.3</w:t>
            </w:r>
          </w:p>
        </w:tc>
        <w:tc>
          <w:tcPr>
            <w:tcW w:type="dxa" w:w="4493"/>
            <w:vAlign w:val="top"/>
            <w:shd w:fill="F0F5F5"/>
            <w:tcMar>
              <w:top w:w="90" w:type="dxa"/>
              <w:left w:w="90" w:type="dxa"/>
              <w:bottom w:w="90" w:type="dxa"/>
              <w:right w:w="90" w:type="dxa"/>
            </w:tcMar>
          </w:tcPr>
          <w:p>
            <w:pPr>
              <w:pStyle w:val="TableText"/>
            </w:pPr>
            <w:r>
              <w:t>Pre-existing gallery_a_fixture_front navigation failure; unrelated to reflection integration.</w:t>
            </w:r>
          </w:p>
        </w:tc>
        <w:tc>
          <w:tcPr>
            <w:tcW w:type="dxa" w:w="3438"/>
            <w:vAlign w:val="top"/>
            <w:shd w:fill="F0F5F5"/>
            <w:tcMar>
              <w:top w:w="90" w:type="dxa"/>
              <w:left w:w="90" w:type="dxa"/>
              <w:bottom w:w="90" w:type="dxa"/>
              <w:right w:w="90" w:type="dxa"/>
            </w:tcMar>
          </w:tcPr>
          <w:p>
            <w:pPr>
              <w:pStyle w:val="TableText"/>
            </w:pPr>
            <w:r>
              <w:t>A relevant route/installation change or observed gameplay obstruction. Do not label it repaired.</w:t>
            </w:r>
          </w:p>
        </w:tc>
      </w:tr>
      <w:tr>
        <w:trPr>
          <w:cantSplit/>
        </w:trPr>
        <w:tc>
          <w:tcPr>
            <w:tcW w:type="dxa" w:w="1728"/>
            <w:vAlign w:val="top"/>
            <w:shd w:fill="FAFBFC"/>
            <w:tcMar>
              <w:top w:w="90" w:type="dxa"/>
              <w:left w:w="90" w:type="dxa"/>
              <w:bottom w:w="90" w:type="dxa"/>
              <w:right w:w="90" w:type="dxa"/>
            </w:tcMar>
          </w:tcPr>
          <w:p>
            <w:pPr>
              <w:pStyle w:val="TableText"/>
            </w:pPr>
            <w:r>
              <w:t>CF-10</w:t>
              <w:br/>
              <w:t>PF §§25.6, 33.3, 34.7</w:t>
            </w:r>
          </w:p>
        </w:tc>
        <w:tc>
          <w:tcPr>
            <w:tcW w:type="dxa" w:w="4493"/>
            <w:vAlign w:val="top"/>
            <w:shd w:fill="FAFBFC"/>
            <w:tcMar>
              <w:top w:w="90" w:type="dxa"/>
              <w:left w:w="90" w:type="dxa"/>
              <w:bottom w:w="90" w:type="dxa"/>
              <w:right w:w="90" w:type="dxa"/>
            </w:tcMar>
          </w:tcPr>
          <w:p>
            <w:pPr>
              <w:pStyle w:val="TableText"/>
            </w:pPr>
            <w:r>
              <w:t>Historical unrun editor/selection captures remain NOT RUN; scoped certificate-store, scan-aborted and shutdown RID/ObjectDB diagnostics retain their source context.</w:t>
            </w:r>
          </w:p>
        </w:tc>
        <w:tc>
          <w:tcPr>
            <w:tcW w:type="dxa" w:w="3438"/>
            <w:vAlign w:val="top"/>
            <w:shd w:fill="FAFBFC"/>
            <w:tcMar>
              <w:top w:w="90" w:type="dxa"/>
              <w:left w:w="90" w:type="dxa"/>
              <w:bottom w:w="90" w:type="dxa"/>
              <w:right w:w="90" w:type="dxa"/>
            </w:tcMar>
          </w:tcPr>
          <w:p>
            <w:pPr>
              <w:pStyle w:val="TableText"/>
            </w:pPr>
            <w:r>
              <w:t>Changed signatures or affected editor/runtime workflow. No blanket suppression or universal error-free claim.</w:t>
            </w:r>
          </w:p>
        </w:tc>
      </w:tr>
      <w:tr>
        <w:trPr>
          <w:cantSplit/>
        </w:trPr>
        <w:tc>
          <w:tcPr>
            <w:tcW w:type="dxa" w:w="1728"/>
            <w:vAlign w:val="top"/>
            <w:shd w:fill="F0F5F5"/>
            <w:tcMar>
              <w:top w:w="90" w:type="dxa"/>
              <w:left w:w="90" w:type="dxa"/>
              <w:bottom w:w="90" w:type="dxa"/>
              <w:right w:w="90" w:type="dxa"/>
            </w:tcMar>
          </w:tcPr>
          <w:p>
            <w:pPr>
              <w:pStyle w:val="TableText"/>
            </w:pPr>
            <w:r>
              <w:t>CF-11</w:t>
              <w:br/>
              <w:t>PF §§24.2–24.3, 25.5–25.6</w:t>
            </w:r>
          </w:p>
        </w:tc>
        <w:tc>
          <w:tcPr>
            <w:tcW w:type="dxa" w:w="4493"/>
            <w:vAlign w:val="top"/>
            <w:shd w:fill="F0F5F5"/>
            <w:tcMar>
              <w:top w:w="90" w:type="dxa"/>
              <w:left w:w="90" w:type="dxa"/>
              <w:bottom w:w="90" w:type="dxa"/>
              <w:right w:w="90" w:type="dxa"/>
            </w:tcMar>
          </w:tcPr>
          <w:p>
            <w:pPr>
              <w:pStyle w:val="TableText"/>
            </w:pPr>
            <w:r>
              <w:t>Gloves loot_000034 and Pants loot_000036 remain blocked. Current pool is 40 eligible of 42 definitions; Fuel is reconciled/eligible.</w:t>
            </w:r>
          </w:p>
        </w:tc>
        <w:tc>
          <w:tcPr>
            <w:tcW w:type="dxa" w:w="3438"/>
            <w:vAlign w:val="top"/>
            <w:shd w:fill="F0F5F5"/>
            <w:tcMar>
              <w:top w:w="90" w:type="dxa"/>
              <w:left w:w="90" w:type="dxa"/>
              <w:bottom w:w="90" w:type="dxa"/>
              <w:right w:w="90" w:type="dxa"/>
            </w:tcMar>
          </w:tcPr>
          <w:p>
            <w:pPr>
              <w:pStyle w:val="TableText"/>
            </w:pPr>
            <w:r>
              <w:t>Separate source/pose/content approval. Scenarios must not silently enable blocked items.</w:t>
            </w:r>
          </w:p>
        </w:tc>
      </w:tr>
      <w:tr>
        <w:trPr>
          <w:cantSplit/>
        </w:trPr>
        <w:tc>
          <w:tcPr>
            <w:tcW w:type="dxa" w:w="1728"/>
            <w:vAlign w:val="top"/>
            <w:shd w:fill="FAFBFC"/>
            <w:tcMar>
              <w:top w:w="90" w:type="dxa"/>
              <w:left w:w="90" w:type="dxa"/>
              <w:bottom w:w="90" w:type="dxa"/>
              <w:right w:w="90" w:type="dxa"/>
            </w:tcMar>
          </w:tcPr>
          <w:p>
            <w:pPr>
              <w:pStyle w:val="TableText"/>
            </w:pPr>
            <w:r>
              <w:t>CF-12</w:t>
              <w:br/>
              <w:t>PF §§12.3, 24.3, 25.6, 26.3</w:t>
            </w:r>
          </w:p>
        </w:tc>
        <w:tc>
          <w:tcPr>
            <w:tcW w:type="dxa" w:w="4493"/>
            <w:vAlign w:val="top"/>
            <w:shd w:fill="FAFBFC"/>
            <w:tcMar>
              <w:top w:w="90" w:type="dxa"/>
              <w:left w:w="90" w:type="dxa"/>
              <w:bottom w:w="90" w:type="dxa"/>
              <w:right w:w="90" w:type="dxa"/>
            </w:tcMar>
          </w:tcPr>
          <w:p>
            <w:pPr>
              <w:pStyle w:val="TableText"/>
            </w:pPr>
            <w:r>
              <w:t>Deep/opaque shelf readability, thin-item targeting, context-specific ladder ergonomics and optional four-way display rotation remain limited/open. Book edge excursion/tolerances are recorded accepted evidence, not a new bug.</w:t>
            </w:r>
          </w:p>
        </w:tc>
        <w:tc>
          <w:tcPr>
            <w:tcW w:type="dxa" w:w="3438"/>
            <w:vAlign w:val="top"/>
            <w:shd w:fill="FAFBFC"/>
            <w:tcMar>
              <w:top w:w="90" w:type="dxa"/>
              <w:left w:w="90" w:type="dxa"/>
              <w:bottom w:w="90" w:type="dxa"/>
              <w:right w:w="90" w:type="dxa"/>
            </w:tcMar>
          </w:tcPr>
          <w:p>
            <w:pPr>
              <w:pStyle w:val="TableText"/>
            </w:pPr>
            <w:r>
              <w:t>Actual content/installation or UX evidence. No universal ladder/depth rule or broader traversal system follows.</w:t>
            </w:r>
          </w:p>
        </w:tc>
      </w:tr>
    </w:tbl>
    <w:p>
      <w:pPr>
        <w:pStyle w:val="Small"/>
        <w:spacing w:after="0"/>
      </w:pPr>
    </w:p>
    <w:p>
      <w:pPr>
        <w:pStyle w:val="Small"/>
      </w:pPr>
      <w:r>
        <w:t>CF-12’s accepted calibration example is the Book 2×2 override’s measured 0.289 mm front-edge excursion within the documented 0.5 mm visual-bounds tolerance; fixture/grid calibration retains its separate 0.02 mm tolerance. Preserve the distinction instead of widening all tests. [PF §25.6]</w:t>
      </w:r>
    </w:p>
    <w:p>
      <w:pPr>
        <w:pStyle w:val="Source"/>
      </w:pPr>
      <w:r>
        <w:t>Basis: [PF §§3–4, 7, 12–14, 24–26, 33–34]; [ER-RESULT §§2–5].</w:t>
      </w:r>
    </w:p>
    <w:p>
      <w:r>
        <w:br w:type="page"/>
      </w:r>
    </w:p>
    <w:p>
      <w:pPr>
        <w:pStyle w:val="Kicker"/>
      </w:pPr>
      <w:r>
        <w:t>16.3  CONFIRMED LATER SYSTEMS AND OPEN FEATURES</w:t>
      </w:r>
    </w:p>
    <w:p>
      <w:bookmarkStart w:id="23" w:name="mvp_23"/>
      <w:pPr>
        <w:pStyle w:val="Heading1"/>
      </w:pPr>
      <w:r>
        <w:t>16. Carry-forward register</w:t>
      </w:r>
      <w:bookmarkEnd w:id="23"/>
    </w:p>
    <w:tbl>
      <w:tblPr>
        <w:tblW w:type="auto" w:w="0"/>
        <w:jc w:val="center"/>
        <w:tblLayout w:type="fixed"/>
        <w:tblLook w:firstColumn="1" w:firstRow="1" w:lastColumn="0" w:lastRow="0" w:noHBand="0" w:noVBand="1" w:val="04A0"/>
      </w:tblPr>
      <w:tblGrid>
        <w:gridCol w:w="1714"/>
        <w:gridCol w:w="4406"/>
        <w:gridCol w:w="3539"/>
      </w:tblGrid>
      <w:tr>
        <w:trPr>
          <w:cantSplit/>
          <w:tblHeader/>
        </w:trPr>
        <w:tc>
          <w:tcPr>
            <w:tcW w:type="dxa" w:w="1714"/>
            <w:vAlign w:val="top"/>
            <w:shd w:fill="243944"/>
            <w:tcMar>
              <w:top w:w="90" w:type="dxa"/>
              <w:left w:w="90" w:type="dxa"/>
              <w:bottom w:w="90" w:type="dxa"/>
              <w:right w:w="90" w:type="dxa"/>
            </w:tcMar>
          </w:tcPr>
          <w:p>
            <w:pPr>
              <w:pStyle w:val="TableHead"/>
            </w:pPr>
            <w:r>
              <w:t>ID / source</w:t>
            </w:r>
          </w:p>
        </w:tc>
        <w:tc>
          <w:tcPr>
            <w:tcW w:type="dxa" w:w="4406"/>
            <w:vAlign w:val="top"/>
            <w:shd w:fill="243944"/>
            <w:tcMar>
              <w:top w:w="90" w:type="dxa"/>
              <w:left w:w="90" w:type="dxa"/>
              <w:bottom w:w="90" w:type="dxa"/>
              <w:right w:w="90" w:type="dxa"/>
            </w:tcMar>
          </w:tcPr>
          <w:p>
            <w:pPr>
              <w:pStyle w:val="TableHead"/>
            </w:pPr>
            <w:r>
              <w:t>Work retained</w:t>
            </w:r>
          </w:p>
        </w:tc>
        <w:tc>
          <w:tcPr>
            <w:tcW w:type="dxa" w:w="3539"/>
            <w:vAlign w:val="top"/>
            <w:shd w:fill="243944"/>
            <w:tcMar>
              <w:top w:w="90" w:type="dxa"/>
              <w:left w:w="90" w:type="dxa"/>
              <w:bottom w:w="90" w:type="dxa"/>
              <w:right w:w="90" w:type="dxa"/>
            </w:tcMar>
          </w:tcPr>
          <w:p>
            <w:pPr>
              <w:pStyle w:val="TableHead"/>
            </w:pPr>
            <w:r>
              <w:t>Relationship to this foundation</w:t>
            </w:r>
          </w:p>
        </w:tc>
      </w:tr>
      <w:tr>
        <w:trPr>
          <w:cantSplit/>
        </w:trPr>
        <w:tc>
          <w:tcPr>
            <w:tcW w:type="dxa" w:w="1714"/>
            <w:vAlign w:val="top"/>
            <w:shd w:fill="F0F5F5"/>
            <w:tcMar>
              <w:top w:w="90" w:type="dxa"/>
              <w:left w:w="90" w:type="dxa"/>
              <w:bottom w:w="90" w:type="dxa"/>
              <w:right w:w="90" w:type="dxa"/>
            </w:tcMar>
          </w:tcPr>
          <w:p>
            <w:pPr>
              <w:pStyle w:val="TableText"/>
            </w:pPr>
            <w:r>
              <w:t>CF-13</w:t>
              <w:br/>
              <w:t>GDD §§5.6, 18.5; PF §§16.5, 34.7</w:t>
            </w:r>
          </w:p>
        </w:tc>
        <w:tc>
          <w:tcPr>
            <w:tcW w:type="dxa" w:w="4406"/>
            <w:vAlign w:val="top"/>
            <w:shd w:fill="F0F5F5"/>
            <w:tcMar>
              <w:top w:w="90" w:type="dxa"/>
              <w:left w:w="90" w:type="dxa"/>
              <w:bottom w:w="90" w:type="dxa"/>
              <w:right w:w="90" w:type="dxa"/>
            </w:tcMar>
          </w:tcPr>
          <w:p>
            <w:pPr>
              <w:pStyle w:val="TableText"/>
            </w:pPr>
            <w:r>
              <w:t>Robust consequence-preserving saves, journal/rotating recovery, crash verification and eventual multiple run slots.</w:t>
            </w:r>
          </w:p>
        </w:tc>
        <w:tc>
          <w:tcPr>
            <w:tcW w:type="dxa" w:w="3539"/>
            <w:vAlign w:val="top"/>
            <w:shd w:fill="F0F5F5"/>
            <w:tcMar>
              <w:top w:w="90" w:type="dxa"/>
              <w:left w:w="90" w:type="dxa"/>
              <w:bottom w:w="90" w:type="dxa"/>
              <w:right w:w="90" w:type="dxa"/>
            </w:tcMar>
          </w:tcPr>
          <w:p>
            <w:pPr>
              <w:pStyle w:val="TableText"/>
            </w:pPr>
            <w:r>
              <w:t>Deferred beyond initial ordinary single-slot saves. The simplified contract does not remove full-game objectives.</w:t>
            </w:r>
          </w:p>
        </w:tc>
      </w:tr>
      <w:tr>
        <w:trPr>
          <w:cantSplit/>
        </w:trPr>
        <w:tc>
          <w:tcPr>
            <w:tcW w:type="dxa" w:w="1714"/>
            <w:vAlign w:val="top"/>
            <w:shd w:fill="FAFBFC"/>
            <w:tcMar>
              <w:top w:w="90" w:type="dxa"/>
              <w:left w:w="90" w:type="dxa"/>
              <w:bottom w:w="90" w:type="dxa"/>
              <w:right w:w="90" w:type="dxa"/>
            </w:tcMar>
          </w:tcPr>
          <w:p>
            <w:pPr>
              <w:pStyle w:val="TableText"/>
            </w:pPr>
            <w:r>
              <w:t>CF-14</w:t>
              <w:br/>
              <w:t>GDD §§9–10; PF §34.7</w:t>
            </w:r>
          </w:p>
        </w:tc>
        <w:tc>
          <w:tcPr>
            <w:tcW w:type="dxa" w:w="4406"/>
            <w:vAlign w:val="top"/>
            <w:shd w:fill="FAFBFC"/>
            <w:tcMar>
              <w:top w:w="90" w:type="dxa"/>
              <w:left w:w="90" w:type="dxa"/>
              <w:bottom w:w="90" w:type="dxa"/>
              <w:right w:w="90" w:type="dxa"/>
            </w:tcMar>
          </w:tcPr>
          <w:p>
            <w:pPr>
              <w:pStyle w:val="TableText"/>
            </w:pPr>
            <w:r>
              <w:t>Actual teams/population, provisioning-driven outcomes, timing, injury/death/recruitment, real returns and Dispatch/scavenger monitoring.</w:t>
            </w:r>
          </w:p>
        </w:tc>
        <w:tc>
          <w:tcPr>
            <w:tcW w:type="dxa" w:w="3539"/>
            <w:vAlign w:val="top"/>
            <w:shd w:fill="FAFBFC"/>
            <w:tcMar>
              <w:top w:w="90" w:type="dxa"/>
              <w:left w:w="90" w:type="dxa"/>
              <w:bottom w:w="90" w:type="dxa"/>
              <w:right w:w="90" w:type="dxa"/>
            </w:tcMar>
          </w:tcPr>
          <w:p>
            <w:pPr>
              <w:pStyle w:val="TableText"/>
            </w:pPr>
            <w:r>
              <w:t>Loadout implements only the consumer side now. Full simulation remains later; no fake outcome benefits are added.</w:t>
            </w:r>
          </w:p>
        </w:tc>
      </w:tr>
      <w:tr>
        <w:trPr>
          <w:cantSplit/>
        </w:trPr>
        <w:tc>
          <w:tcPr>
            <w:tcW w:type="dxa" w:w="1714"/>
            <w:vAlign w:val="top"/>
            <w:shd w:fill="F0F5F5"/>
            <w:tcMar>
              <w:top w:w="90" w:type="dxa"/>
              <w:left w:w="90" w:type="dxa"/>
              <w:bottom w:w="90" w:type="dxa"/>
              <w:right w:w="90" w:type="dxa"/>
            </w:tcMar>
          </w:tcPr>
          <w:p>
            <w:pPr>
              <w:pStyle w:val="TableText"/>
            </w:pPr>
            <w:r>
              <w:t>CF-15</w:t>
              <w:br/>
              <w:t>GDD §§12–13; PF §34.7</w:t>
            </w:r>
          </w:p>
        </w:tc>
        <w:tc>
          <w:tcPr>
            <w:tcW w:type="dxa" w:w="4406"/>
            <w:vAlign w:val="top"/>
            <w:shd w:fill="F0F5F5"/>
            <w:tcMar>
              <w:top w:w="90" w:type="dxa"/>
              <w:left w:w="90" w:type="dxa"/>
              <w:bottom w:w="90" w:type="dxa"/>
              <w:right w:w="90" w:type="dxa"/>
            </w:tcMar>
          </w:tcPr>
          <w:p>
            <w:pPr>
              <w:pStyle w:val="TableText"/>
            </w:pPr>
            <w:r>
              <w:t>Real Medical demand/triage, Light/Severe treatment, Meal Coverage effects, complications and population consequences.</w:t>
            </w:r>
          </w:p>
        </w:tc>
        <w:tc>
          <w:tcPr>
            <w:tcW w:type="dxa" w:w="3539"/>
            <w:vAlign w:val="top"/>
            <w:shd w:fill="F0F5F5"/>
            <w:tcMar>
              <w:top w:w="90" w:type="dxa"/>
              <w:left w:w="90" w:type="dxa"/>
              <w:bottom w:w="90" w:type="dxa"/>
              <w:right w:w="90" w:type="dxa"/>
            </w:tcMar>
          </w:tcPr>
          <w:p>
            <w:pPr>
              <w:pStyle w:val="TableText"/>
            </w:pPr>
            <w:r>
              <w:t>Controlled demands and simple results replace none of these rules; future producers/resolvers use the shared foundation.</w:t>
            </w:r>
          </w:p>
        </w:tc>
      </w:tr>
      <w:tr>
        <w:trPr>
          <w:cantSplit/>
        </w:trPr>
        <w:tc>
          <w:tcPr>
            <w:tcW w:type="dxa" w:w="1714"/>
            <w:vAlign w:val="top"/>
            <w:shd w:fill="FAFBFC"/>
            <w:tcMar>
              <w:top w:w="90" w:type="dxa"/>
              <w:left w:w="90" w:type="dxa"/>
              <w:bottom w:w="90" w:type="dxa"/>
              <w:right w:w="90" w:type="dxa"/>
            </w:tcMar>
          </w:tcPr>
          <w:p>
            <w:pPr>
              <w:pStyle w:val="TableText"/>
            </w:pPr>
            <w:r>
              <w:t>CF-16</w:t>
              <w:br/>
              <w:t>GDD §§12, 14–15, 20; PF §§19.4, 20.4</w:t>
            </w:r>
          </w:p>
        </w:tc>
        <w:tc>
          <w:tcPr>
            <w:tcW w:type="dxa" w:w="4406"/>
            <w:vAlign w:val="top"/>
            <w:shd w:fill="FAFBFC"/>
            <w:tcMar>
              <w:top w:w="90" w:type="dxa"/>
              <w:left w:w="90" w:type="dxa"/>
              <w:bottom w:w="90" w:type="dxa"/>
              <w:right w:w="90" w:type="dxa"/>
            </w:tcMar>
          </w:tcPr>
          <w:p>
            <w:pPr>
              <w:pStyle w:val="TableText"/>
            </w:pPr>
            <w:r>
              <w:t>Ration production/output blocking; Bunker Ops lanes/outages; salvage/incineration; Workshop and socket upgrades.</w:t>
            </w:r>
          </w:p>
        </w:tc>
        <w:tc>
          <w:tcPr>
            <w:tcW w:type="dxa" w:w="3539"/>
            <w:vAlign w:val="top"/>
            <w:shd w:fill="FAFBFC"/>
            <w:tcMar>
              <w:top w:w="90" w:type="dxa"/>
              <w:left w:w="90" w:type="dxa"/>
              <w:bottom w:w="90" w:type="dxa"/>
              <w:right w:w="90" w:type="dxa"/>
            </w:tcMar>
          </w:tcPr>
          <w:p>
            <w:pPr>
              <w:pStyle w:val="TableText"/>
            </w:pPr>
            <w:r>
              <w:t>Later consumers/conversions/progression, not needed to establish the first three-way allocation test.</w:t>
            </w:r>
          </w:p>
        </w:tc>
      </w:tr>
      <w:tr>
        <w:trPr>
          <w:cantSplit/>
        </w:trPr>
        <w:tc>
          <w:tcPr>
            <w:tcW w:type="dxa" w:w="1714"/>
            <w:vAlign w:val="top"/>
            <w:shd w:fill="F0F5F5"/>
            <w:tcMar>
              <w:top w:w="90" w:type="dxa"/>
              <w:left w:w="90" w:type="dxa"/>
              <w:bottom w:w="90" w:type="dxa"/>
              <w:right w:w="90" w:type="dxa"/>
            </w:tcMar>
          </w:tcPr>
          <w:p>
            <w:pPr>
              <w:pStyle w:val="TableText"/>
            </w:pPr>
            <w:r>
              <w:t>CF-17</w:t>
              <w:br/>
              <w:t>PF §§19.4–19.5, 20.4; GDD §§7.5–7.6</w:t>
            </w:r>
          </w:p>
        </w:tc>
        <w:tc>
          <w:tcPr>
            <w:tcW w:type="dxa" w:w="4406"/>
            <w:vAlign w:val="top"/>
            <w:shd w:fill="F0F5F5"/>
            <w:tcMar>
              <w:top w:w="90" w:type="dxa"/>
              <w:left w:w="90" w:type="dxa"/>
              <w:bottom w:w="90" w:type="dxa"/>
              <w:right w:w="90" w:type="dxa"/>
            </w:tcMar>
          </w:tcPr>
          <w:p>
            <w:pPr>
              <w:pStyle w:val="TableText"/>
            </w:pPr>
            <w:r>
              <w:t>Player text labels; true containers/specialist storage; conditional unit/socket movement; initial stock and final capacity/progression.</w:t>
            </w:r>
          </w:p>
        </w:tc>
        <w:tc>
          <w:tcPr>
            <w:tcW w:type="dxa" w:w="3539"/>
            <w:vAlign w:val="top"/>
            <w:shd w:fill="F0F5F5"/>
            <w:tcMar>
              <w:top w:w="90" w:type="dxa"/>
              <w:left w:w="90" w:type="dxa"/>
              <w:bottom w:w="90" w:type="dxa"/>
              <w:right w:w="90" w:type="dxa"/>
            </w:tcMar>
          </w:tcPr>
          <w:p>
            <w:pPr>
              <w:pStyle w:val="TableText"/>
            </w:pPr>
            <w:r>
              <w:t>Preserve supported surface names now. Detailed labels/movement/containers are not implied by save support.</w:t>
            </w:r>
          </w:p>
        </w:tc>
      </w:tr>
      <w:tr>
        <w:trPr>
          <w:cantSplit/>
        </w:trPr>
        <w:tc>
          <w:tcPr>
            <w:tcW w:type="dxa" w:w="1714"/>
            <w:vAlign w:val="top"/>
            <w:shd w:fill="FAFBFC"/>
            <w:tcMar>
              <w:top w:w="90" w:type="dxa"/>
              <w:left w:w="90" w:type="dxa"/>
              <w:bottom w:w="90" w:type="dxa"/>
              <w:right w:w="90" w:type="dxa"/>
            </w:tcMar>
          </w:tcPr>
          <w:p>
            <w:pPr>
              <w:pStyle w:val="TableText"/>
            </w:pPr>
            <w:r>
              <w:t>CF-18</w:t>
              <w:br/>
              <w:t>PF §§12.3, 14.5, 24–26</w:t>
            </w:r>
          </w:p>
        </w:tc>
        <w:tc>
          <w:tcPr>
            <w:tcW w:type="dxa" w:w="4406"/>
            <w:vAlign w:val="top"/>
            <w:shd w:fill="FAFBFC"/>
            <w:tcMar>
              <w:top w:w="90" w:type="dxa"/>
              <w:left w:w="90" w:type="dxa"/>
              <w:bottom w:w="90" w:type="dxa"/>
              <w:right w:w="90" w:type="dxa"/>
            </w:tcMar>
          </w:tcPr>
          <w:p>
            <w:pPr>
              <w:pStyle w:val="TableText"/>
            </w:pPr>
            <w:r>
              <w:t>Manual under-base insertion, multi-column packing, crouch and expanded display-rotation UX.</w:t>
            </w:r>
          </w:p>
        </w:tc>
        <w:tc>
          <w:tcPr>
            <w:tcW w:type="dxa" w:w="3539"/>
            <w:vAlign w:val="top"/>
            <w:shd w:fill="FAFBFC"/>
            <w:tcMar>
              <w:top w:w="90" w:type="dxa"/>
              <w:left w:w="90" w:type="dxa"/>
              <w:bottom w:w="90" w:type="dxa"/>
              <w:right w:w="90" w:type="dxa"/>
            </w:tcMar>
          </w:tcPr>
          <w:p>
            <w:pPr>
              <w:pStyle w:val="TableText"/>
            </w:pPr>
            <w:r>
              <w:t>Remain separate deferred/open work. Existing mixed-stack automatic rejection and two-state packing stay intact.</w:t>
            </w:r>
          </w:p>
        </w:tc>
      </w:tr>
      <w:tr>
        <w:trPr>
          <w:cantSplit/>
        </w:trPr>
        <w:tc>
          <w:tcPr>
            <w:tcW w:type="dxa" w:w="1714"/>
            <w:vAlign w:val="top"/>
            <w:shd w:fill="F0F5F5"/>
            <w:tcMar>
              <w:top w:w="90" w:type="dxa"/>
              <w:left w:w="90" w:type="dxa"/>
              <w:bottom w:w="90" w:type="dxa"/>
              <w:right w:w="90" w:type="dxa"/>
            </w:tcMar>
          </w:tcPr>
          <w:p>
            <w:pPr>
              <w:pStyle w:val="TableText"/>
            </w:pPr>
            <w:r>
              <w:t>CF-19</w:t>
              <w:br/>
              <w:t>GDD §§19–21; PF §§20.4, 34</w:t>
            </w:r>
          </w:p>
        </w:tc>
        <w:tc>
          <w:tcPr>
            <w:tcW w:type="dxa" w:w="4406"/>
            <w:vAlign w:val="top"/>
            <w:shd w:fill="F0F5F5"/>
            <w:tcMar>
              <w:top w:w="90" w:type="dxa"/>
              <w:left w:w="90" w:type="dxa"/>
              <w:bottom w:w="90" w:type="dxa"/>
              <w:right w:w="90" w:type="dxa"/>
            </w:tcMar>
          </w:tcPr>
          <w:p>
            <w:pPr>
              <w:pStyle w:val="TableText"/>
            </w:pPr>
            <w:r>
              <w:t>Final loot bounds, balance, pacing, route costs, shipped deck/fixture roster and larger-scale item/furnishing validation.</w:t>
            </w:r>
          </w:p>
        </w:tc>
        <w:tc>
          <w:tcPr>
            <w:tcW w:type="dxa" w:w="3539"/>
            <w:vAlign w:val="top"/>
            <w:shd w:fill="F0F5F5"/>
            <w:tcMar>
              <w:top w:w="90" w:type="dxa"/>
              <w:left w:w="90" w:type="dxa"/>
              <w:bottom w:w="90" w:type="dxa"/>
              <w:right w:w="90" w:type="dxa"/>
            </w:tcMar>
          </w:tcPr>
          <w:p>
            <w:pPr>
              <w:pStyle w:val="TableText"/>
            </w:pPr>
            <w:r>
              <w:t>Authored scenario values are test inputs. Current dimensions and reach remain the accepted baseline, not final balance.</w:t>
            </w:r>
          </w:p>
        </w:tc>
      </w:tr>
    </w:tbl>
    <w:p>
      <w:pPr>
        <w:pStyle w:val="Small"/>
        <w:spacing w:after="0"/>
      </w:pPr>
    </w:p>
    <w:p>
      <w:pPr>
        <w:pStyle w:val="Small"/>
      </w:pPr>
      <w:r>
        <w:t>Optional condition/quantity, contamination, contextual PA and ambient-dog scope retain their GDD classifications; they are not prerequisites here. Contamination remains outside the Systems MVP. General climbing, free furniture placement, exterior exploration and combat are not silently promoted by the phase change. [GDD §§2, 6.7–6.8, 20.4–20.5]</w:t>
      </w:r>
    </w:p>
    <w:p>
      <w:pPr>
        <w:pStyle w:val="Source"/>
      </w:pPr>
      <w:r>
        <w:t>Basis: [PF §§7, 12–16, 19–20, 24–26, 34]; [GDD §§2, 5–15, 18–21]; [D01–D03, D10].</w:t>
      </w:r>
    </w:p>
    <w:p>
      <w:r>
        <w:br w:type="page"/>
      </w:r>
    </w:p>
    <w:p>
      <w:pPr>
        <w:pStyle w:val="Kicker"/>
      </w:pPr>
      <w:r>
        <w:t>16.4  AUTHORING LIMITS AND HISTORICAL SUPERSESSIONS</w:t>
      </w:r>
    </w:p>
    <w:p>
      <w:bookmarkStart w:id="24" w:name="mvp_24"/>
      <w:pPr>
        <w:pStyle w:val="Heading1"/>
      </w:pPr>
      <w:r>
        <w:t>16. Carry-forward register</w:t>
      </w:r>
      <w:bookmarkEnd w:id="24"/>
    </w:p>
    <w:tbl>
      <w:tblPr>
        <w:tblW w:type="auto" w:w="0"/>
        <w:jc w:val="center"/>
        <w:tblLayout w:type="fixed"/>
        <w:tblLook w:firstColumn="1" w:firstRow="1" w:lastColumn="0" w:lastRow="0" w:noHBand="0" w:noVBand="1" w:val="04A0"/>
      </w:tblPr>
      <w:tblGrid>
        <w:gridCol w:w="1987"/>
        <w:gridCol w:w="7672"/>
      </w:tblGrid>
      <w:tr>
        <w:trPr>
          <w:cantSplit/>
          <w:tblHeader/>
        </w:trPr>
        <w:tc>
          <w:tcPr>
            <w:tcW w:type="dxa" w:w="1987"/>
            <w:vAlign w:val="top"/>
            <w:shd w:fill="243944"/>
            <w:tcMar>
              <w:top w:w="90" w:type="dxa"/>
              <w:left w:w="90" w:type="dxa"/>
              <w:bottom w:w="90" w:type="dxa"/>
              <w:right w:w="90" w:type="dxa"/>
            </w:tcMar>
          </w:tcPr>
          <w:p>
            <w:pPr>
              <w:pStyle w:val="TableHead"/>
            </w:pPr>
            <w:r>
              <w:t>ID / source</w:t>
            </w:r>
          </w:p>
        </w:tc>
        <w:tc>
          <w:tcPr>
            <w:tcW w:type="dxa" w:w="7672"/>
            <w:vAlign w:val="top"/>
            <w:shd w:fill="243944"/>
            <w:tcMar>
              <w:top w:w="90" w:type="dxa"/>
              <w:left w:w="90" w:type="dxa"/>
              <w:bottom w:w="90" w:type="dxa"/>
              <w:right w:w="90" w:type="dxa"/>
            </w:tcMar>
          </w:tcPr>
          <w:p>
            <w:pPr>
              <w:pStyle w:val="TableHead"/>
            </w:pPr>
            <w:r>
              <w:t>Retained disposition</w:t>
            </w:r>
          </w:p>
        </w:tc>
      </w:tr>
      <w:tr>
        <w:trPr>
          <w:cantSplit/>
        </w:trPr>
        <w:tc>
          <w:tcPr>
            <w:tcW w:type="dxa" w:w="1987"/>
            <w:vAlign w:val="top"/>
            <w:shd w:fill="F0F5F5"/>
            <w:tcMar>
              <w:top w:w="90" w:type="dxa"/>
              <w:left w:w="90" w:type="dxa"/>
              <w:bottom w:w="90" w:type="dxa"/>
              <w:right w:w="90" w:type="dxa"/>
            </w:tcMar>
          </w:tcPr>
          <w:p>
            <w:pPr>
              <w:pStyle w:val="TableText"/>
            </w:pPr>
            <w:r>
              <w:t>CF-20</w:t>
              <w:br/>
              <w:t>PF §§32.2, 34.3; VDD §34.7</w:t>
            </w:r>
          </w:p>
        </w:tc>
        <w:tc>
          <w:tcPr>
            <w:tcW w:type="dxa" w:w="7672"/>
            <w:vAlign w:val="top"/>
            <w:shd w:fill="F0F5F5"/>
            <w:tcMar>
              <w:top w:w="90" w:type="dxa"/>
              <w:left w:w="90" w:type="dxa"/>
              <w:bottom w:w="90" w:type="dxa"/>
              <w:right w:w="90" w:type="dxa"/>
            </w:tcMar>
          </w:tcPr>
          <w:p>
            <w:pPr>
              <w:pStyle w:val="TableText"/>
            </w:pPr>
            <w:r>
              <w:t>Dispatch furnishing and lighting, neighboring Backlog work and Receiving–Backlog sill material remain adjacent work. Cleaning-corner acceptance anticipated Dispatch spill; that spill is not implemented.</w:t>
            </w:r>
          </w:p>
        </w:tc>
      </w:tr>
      <w:tr>
        <w:trPr>
          <w:cantSplit/>
        </w:trPr>
        <w:tc>
          <w:tcPr>
            <w:tcW w:type="dxa" w:w="1987"/>
            <w:vAlign w:val="top"/>
            <w:shd w:fill="FAFBFC"/>
            <w:tcMar>
              <w:top w:w="90" w:type="dxa"/>
              <w:left w:w="90" w:type="dxa"/>
              <w:bottom w:w="90" w:type="dxa"/>
              <w:right w:w="90" w:type="dxa"/>
            </w:tcMar>
          </w:tcPr>
          <w:p>
            <w:pPr>
              <w:pStyle w:val="TableText"/>
            </w:pPr>
            <w:r>
              <w:t>CF-21</w:t>
              <w:br/>
              <w:t>PF §34.3; VDD §§34.7–34.8</w:t>
            </w:r>
          </w:p>
        </w:tc>
        <w:tc>
          <w:tcPr>
            <w:tcW w:type="dxa" w:w="7672"/>
            <w:vAlign w:val="top"/>
            <w:shd w:fill="FAFBFC"/>
            <w:tcMar>
              <w:top w:w="90" w:type="dxa"/>
              <w:left w:w="90" w:type="dxa"/>
              <w:bottom w:w="90" w:type="dxa"/>
              <w:right w:w="90" w:type="dxa"/>
            </w:tcMar>
          </w:tcPr>
          <w:p>
            <w:pPr>
              <w:pStyle w:val="TableText"/>
            </w:pPr>
            <w:r>
              <w:t>Faint residual shadow pattern was tolerated; excluded brace-junction artifact remains outside that fix. Pixel-identical 0.30/0.40 probe comparison is technically unexplained, although actual metallic appearance was human-accepted.</w:t>
            </w:r>
          </w:p>
        </w:tc>
      </w:tr>
      <w:tr>
        <w:trPr>
          <w:cantSplit/>
        </w:trPr>
        <w:tc>
          <w:tcPr>
            <w:tcW w:type="dxa" w:w="1987"/>
            <w:vAlign w:val="top"/>
            <w:shd w:fill="F0F5F5"/>
            <w:tcMar>
              <w:top w:w="90" w:type="dxa"/>
              <w:left w:w="90" w:type="dxa"/>
              <w:bottom w:w="90" w:type="dxa"/>
              <w:right w:w="90" w:type="dxa"/>
            </w:tcMar>
          </w:tcPr>
          <w:p>
            <w:pPr>
              <w:pStyle w:val="TableText"/>
            </w:pPr>
            <w:r>
              <w:t>CF-22</w:t>
              <w:br/>
              <w:t>PF §34.3; VDD §34.7</w:t>
            </w:r>
          </w:p>
        </w:tc>
        <w:tc>
          <w:tcPr>
            <w:tcW w:type="dxa" w:w="7672"/>
            <w:vAlign w:val="top"/>
            <w:shd w:fill="F0F5F5"/>
            <w:tcMar>
              <w:top w:w="90" w:type="dxa"/>
              <w:left w:w="90" w:type="dxa"/>
              <w:bottom w:w="90" w:type="dxa"/>
              <w:right w:w="90" w:type="dxa"/>
            </w:tcMar>
          </w:tcPr>
          <w:p>
            <w:pPr>
              <w:pStyle w:val="TableText"/>
            </w:pPr>
            <w:r>
              <w:t>W1 saved range 2.5 m versus runtime 1.8 m, attenuation −0.5, is a disclosed source/runtime precedence issue—not automatic authorization to retune. Ordinary numerical authoring remains adjustable.</w:t>
            </w:r>
          </w:p>
        </w:tc>
      </w:tr>
      <w:tr>
        <w:trPr>
          <w:cantSplit/>
        </w:trPr>
        <w:tc>
          <w:tcPr>
            <w:tcW w:type="dxa" w:w="1987"/>
            <w:vAlign w:val="top"/>
            <w:shd w:fill="FAFBFC"/>
            <w:tcMar>
              <w:top w:w="90" w:type="dxa"/>
              <w:left w:w="90" w:type="dxa"/>
              <w:bottom w:w="90" w:type="dxa"/>
              <w:right w:w="90" w:type="dxa"/>
            </w:tcMar>
          </w:tcPr>
          <w:p>
            <w:pPr>
              <w:pStyle w:val="TableText"/>
            </w:pPr>
            <w:r>
              <w:t>CF-23</w:t>
              <w:br/>
              <w:t>PF §§28, 32.5; VDD §§34.1–34.6</w:t>
            </w:r>
          </w:p>
        </w:tc>
        <w:tc>
          <w:tcPr>
            <w:tcW w:type="dxa" w:w="7672"/>
            <w:vAlign w:val="top"/>
            <w:shd w:fill="FAFBFC"/>
            <w:tcMar>
              <w:top w:w="90" w:type="dxa"/>
              <w:left w:w="90" w:type="dxa"/>
              <w:bottom w:w="90" w:type="dxa"/>
              <w:right w:w="90" w:type="dxa"/>
            </w:tcMar>
          </w:tcPr>
          <w:p>
            <w:pPr>
              <w:pStyle w:val="TableText"/>
            </w:pPr>
            <w:r>
              <w:t>UV is default; triplanar is reasoned opt-in. Separate 11 conventional wear presets and 16 scalar patterns retain their scoped uses; roughness.red patterns do not imply substrate roughness changes. Source approval is not scene-placement approval.</w:t>
            </w:r>
          </w:p>
        </w:tc>
      </w:tr>
      <w:tr>
        <w:trPr>
          <w:cantSplit/>
        </w:trPr>
        <w:tc>
          <w:tcPr>
            <w:tcW w:type="dxa" w:w="1987"/>
            <w:vAlign w:val="top"/>
            <w:shd w:fill="F0F5F5"/>
            <w:tcMar>
              <w:top w:w="90" w:type="dxa"/>
              <w:left w:w="90" w:type="dxa"/>
              <w:bottom w:w="90" w:type="dxa"/>
              <w:right w:w="90" w:type="dxa"/>
            </w:tcMar>
          </w:tcPr>
          <w:p>
            <w:pPr>
              <w:pStyle w:val="TableText"/>
            </w:pPr>
            <w:r>
              <w:t>CF-24</w:t>
              <w:br/>
              <w:t>PF §§2, 17, 28; H14 §13</w:t>
            </w:r>
          </w:p>
        </w:tc>
        <w:tc>
          <w:tcPr>
            <w:tcW w:type="dxa" w:w="7672"/>
            <w:vAlign w:val="top"/>
            <w:shd w:fill="F0F5F5"/>
            <w:tcMar>
              <w:top w:w="90" w:type="dxa"/>
              <w:left w:w="90" w:type="dxa"/>
              <w:bottom w:w="90" w:type="dxa"/>
              <w:right w:w="90" w:type="dxa"/>
            </w:tcMar>
          </w:tcPr>
          <w:p>
            <w:pPr>
              <w:pStyle w:val="TableText"/>
            </w:pPr>
            <w:r>
              <w:t>Preserve source provenance, licensed-local assets, configured guarded roots and ignored imports/caches. A Git checkout is not a complete asset archive. No new sourcing, redistribution decision or pipeline migration is authorized.</w:t>
            </w:r>
          </w:p>
        </w:tc>
      </w:tr>
    </w:tbl>
    <w:p>
      <w:pPr>
        <w:pStyle w:val="Small"/>
        <w:spacing w:after="0"/>
      </w:pPr>
    </w:p>
    <w:p>
      <w:pPr>
        <w:pStyle w:val="Heading2"/>
      </w:pPr>
      <w:r>
        <w:t>Do not resurrect closed or rejected work</w:t>
      </w:r>
    </w:p>
    <w:p>
      <w:r>
        <w:rPr>
          <w:b/>
        </w:rPr>
        <w:t>Resolved/promoted:</w:t>
      </w:r>
      <w:r>
        <w:t xml:space="preserve"> loot_000010 pickup, singleton clearance, Fuel/locker reconciliation, review-scene supply reuse, orientation/pose authoring, selected fixed ladder and wing rack bridge, EAF1–EAF5, C1 and Stage C, intentional lighting, and R-01–R-03. Historical then-pending text does not reopen them. [PF §§14, 24–30, 34; CR15]</w:t>
      </w:r>
    </w:p>
    <w:p>
      <w:r>
        <w:rPr>
          <w:b/>
        </w:rPr>
        <w:t>Rejected/parked:</w:t>
      </w:r>
      <w:r>
        <w:t xml:space="preserve"> irregular frozen piles remain rejected; C1A remains parked/unpromoted. Old room/deck dimensions, proof reach values, earlier palettes and A30WS practical/global settings are not current production targets. Initial wear counts and hidden alternatives are dated snapshots, not restoration quotas. Removed Road Dust placements, obsolete monitors and proposal infrastructure stay retired. [PF §§27–34; VDD §34]</w:t>
      </w:r>
    </w:p>
    <w:p>
      <w:pPr>
        <w:pStyle w:val="Source"/>
      </w:pPr>
      <w:r>
        <w:t>Basis: [PF §§2, 14, 17, 24–34]; [VDD §§7, 34]; [H14 §§9–13]; [CR15]; [D10].</w:t>
      </w:r>
    </w:p>
    <w:p>
      <w:r>
        <w:br w:type="page"/>
      </w:r>
    </w:p>
    <w:p>
      <w:pPr>
        <w:pStyle w:val="Kicker"/>
      </w:pPr>
      <w:r>
        <w:t>OPEN, NOT SILENTLY FILLED</w:t>
      </w:r>
    </w:p>
    <w:p>
      <w:pPr>
        <w:pStyle w:val="Heading1"/>
      </w:pPr>
      <w:r>
        <w:t>17. Resolved M1 decisions &amp; remaining technical choices</w:t>
      </w:r>
    </w:p>
    <w:p>
      <w:r>
        <w:t>M1 player-facing behavior is settled. The table distinguishes those approved decisions from source-dependent engineering and M2–M5 questions; it is not a new approval gate.</w:t>
      </w:r>
    </w:p>
    <w:tbl>
      <w:tblPr>
        <w:tblW w:type="auto" w:w="0"/>
        <w:jc w:val="center"/>
        <w:tblLayout w:type="fixed"/>
        <w:tblLook w:firstColumn="1" w:firstRow="1" w:lastColumn="0" w:lastRow="0" w:noHBand="0" w:noVBand="1" w:val="04A0"/>
      </w:tblPr>
      <w:tblGrid>
        <w:gridCol w:w="2376"/>
        <w:gridCol w:w="7283"/>
      </w:tblGrid>
      <w:tr>
        <w:trPr>
          <w:cantSplit/>
          <w:tblHeader/>
        </w:trPr>
        <w:tc>
          <w:tcPr>
            <w:tcW w:type="dxa" w:w="2376"/>
            <w:vAlign w:val="top"/>
            <w:shd w:fill="243944"/>
            <w:tcMar>
              <w:top w:w="90" w:type="dxa"/>
              <w:left w:w="90" w:type="dxa"/>
              <w:bottom w:w="90" w:type="dxa"/>
              <w:right w:w="90" w:type="dxa"/>
            </w:tcMar>
          </w:tcPr>
          <w:p>
            <w:pPr>
              <w:pStyle w:val="TableHead"/>
            </w:pPr>
            <w:r>
              <w:t>Decision</w:t>
            </w:r>
          </w:p>
        </w:tc>
        <w:tc>
          <w:tcPr>
            <w:tcW w:type="dxa" w:w="7283"/>
            <w:vAlign w:val="top"/>
            <w:shd w:fill="243944"/>
            <w:tcMar>
              <w:top w:w="90" w:type="dxa"/>
              <w:left w:w="90" w:type="dxa"/>
              <w:bottom w:w="90" w:type="dxa"/>
              <w:right w:w="90" w:type="dxa"/>
            </w:tcMar>
          </w:tcPr>
          <w:p>
            <w:pPr>
              <w:pStyle w:val="TableHead"/>
            </w:pPr>
            <w:r>
              <w:t>Required clarification / owning stage</w:t>
            </w:r>
          </w:p>
        </w:tc>
      </w:tr>
      <w:tr>
        <w:trPr>
          <w:cantSplit/>
        </w:trPr>
        <w:tc>
          <w:tcPr>
            <w:tcW w:type="dxa" w:w="2376"/>
            <w:vAlign w:val="top"/>
            <w:shd w:fill="F0F5F5"/>
            <w:tcMar>
              <w:top w:w="90" w:type="dxa"/>
              <w:left w:w="90" w:type="dxa"/>
              <w:bottom w:w="90" w:type="dxa"/>
              <w:right w:w="90" w:type="dxa"/>
            </w:tcMar>
          </w:tcPr>
          <w:p>
            <w:pPr>
              <w:pStyle w:val="TableText"/>
            </w:pPr>
            <w:r>
              <w:t>Save implementation (delegated)</w:t>
            </w:r>
          </w:p>
        </w:tc>
        <w:tc>
          <w:tcPr>
            <w:tcW w:type="dxa" w:w="7283"/>
            <w:vAlign w:val="top"/>
            <w:shd w:fill="F0F5F5"/>
            <w:tcMar>
              <w:top w:w="90" w:type="dxa"/>
              <w:left w:w="90" w:type="dxa"/>
              <w:bottom w:w="90" w:type="dxa"/>
              <w:right w:w="90" w:type="dxa"/>
            </w:tcMar>
          </w:tcPr>
          <w:p>
            <w:pPr>
              <w:pStyle w:val="TableText"/>
            </w:pPr>
            <w:r>
              <w:t>M1: one active snapshot, Save_&lt;RUN_ID&gt;_DDMMYY-HH-MM filename and schema/compatibility validation. JSON under user://saves/ is a technical preference; Codex selects implementation. No journal or crash/tamper framework.</w:t>
            </w:r>
          </w:p>
        </w:tc>
      </w:tr>
      <w:tr>
        <w:trPr>
          <w:cantSplit/>
        </w:trPr>
        <w:tc>
          <w:tcPr>
            <w:tcW w:type="dxa" w:w="2376"/>
            <w:vAlign w:val="top"/>
            <w:shd w:fill="FAFBFC"/>
            <w:tcMar>
              <w:top w:w="90" w:type="dxa"/>
              <w:left w:w="90" w:type="dxa"/>
              <w:bottom w:w="90" w:type="dxa"/>
              <w:right w:w="90" w:type="dxa"/>
            </w:tcMar>
          </w:tcPr>
          <w:p>
            <w:pPr>
              <w:pStyle w:val="TableText"/>
            </w:pPr>
            <w:r>
              <w:t>Player restore (design settled)</w:t>
            </w:r>
          </w:p>
        </w:tc>
        <w:tc>
          <w:tcPr>
            <w:tcW w:type="dxa" w:w="7283"/>
            <w:vAlign w:val="top"/>
            <w:shd w:fill="FAFBFC"/>
            <w:tcMar>
              <w:top w:w="90" w:type="dxa"/>
              <w:left w:w="90" w:type="dxa"/>
              <w:bottom w:w="90" w:type="dxa"/>
              <w:right w:w="90" w:type="dxa"/>
            </w:tcMar>
          </w:tcPr>
          <w:p>
            <w:pPr>
              <w:pStyle w:val="TableText"/>
            </w:pPr>
            <w:r>
              <w:t>M1: preserve position, camera, active item and same-ladder attachment/height. Existing API determines whether exact height is possible; only a disclosed attached-base fallback is acceptable. Transient UI closes.</w:t>
            </w:r>
          </w:p>
        </w:tc>
      </w:tr>
      <w:tr>
        <w:trPr>
          <w:cantSplit/>
        </w:trPr>
        <w:tc>
          <w:tcPr>
            <w:tcW w:type="dxa" w:w="2376"/>
            <w:vAlign w:val="top"/>
            <w:shd w:fill="F0F5F5"/>
            <w:tcMar>
              <w:top w:w="90" w:type="dxa"/>
              <w:left w:w="90" w:type="dxa"/>
              <w:bottom w:w="90" w:type="dxa"/>
              <w:right w:w="90" w:type="dxa"/>
            </w:tcMar>
          </w:tcPr>
          <w:p>
            <w:pPr>
              <w:pStyle w:val="TableText"/>
            </w:pPr>
            <w:r>
              <w:t>Restore orchestration (technical)</w:t>
            </w:r>
          </w:p>
        </w:tc>
        <w:tc>
          <w:tcPr>
            <w:tcW w:type="dxa" w:w="7283"/>
            <w:vAlign w:val="top"/>
            <w:shd w:fill="F0F5F5"/>
            <w:tcMar>
              <w:top w:w="90" w:type="dxa"/>
              <w:left w:w="90" w:type="dxa"/>
              <w:bottom w:w="90" w:type="dxa"/>
              <w:right w:w="90" w:type="dxa"/>
            </w:tcMar>
          </w:tcPr>
          <w:p>
            <w:pPr>
              <w:pStyle w:val="TableText"/>
            </w:pPr>
            <w:r>
              <w:t>M1: stable owner/surface and delivery IDs; separate New Run seeding from Continue; suppress reentrant transfer events while loading. R-04 lifetime debt enters scope.</w:t>
            </w:r>
          </w:p>
        </w:tc>
      </w:tr>
      <w:tr>
        <w:trPr>
          <w:cantSplit/>
        </w:trPr>
        <w:tc>
          <w:tcPr>
            <w:tcW w:type="dxa" w:w="2376"/>
            <w:vAlign w:val="top"/>
            <w:shd w:fill="FAFBFC"/>
            <w:tcMar>
              <w:top w:w="90" w:type="dxa"/>
              <w:left w:w="90" w:type="dxa"/>
              <w:bottom w:w="90" w:type="dxa"/>
              <w:right w:w="90" w:type="dxa"/>
            </w:tcMar>
          </w:tcPr>
          <w:p>
            <w:pPr>
              <w:pStyle w:val="TableText"/>
            </w:pPr>
            <w:r>
              <w:t>Menu and single slot (settled)</w:t>
            </w:r>
          </w:p>
        </w:tc>
        <w:tc>
          <w:tcPr>
            <w:tcW w:type="dxa" w:w="7283"/>
            <w:vAlign w:val="top"/>
            <w:shd w:fill="FAFBFC"/>
            <w:tcMar>
              <w:top w:w="90" w:type="dxa"/>
              <w:left w:w="90" w:type="dxa"/>
              <w:bottom w:w="90" w:type="dxa"/>
              <w:right w:w="90" w:type="dxa"/>
            </w:tcMar>
          </w:tcPr>
          <w:p>
            <w:pPr>
              <w:pStyle w:val="TableText"/>
            </w:pPr>
            <w:r>
              <w:t>M1: New Run / Continue; ESC: Resume / Save &amp; Exit / New Run. No separate Save. Continue greyed when absent; failed Save &amp; Exit stays paused; confirm overwrite.</w:t>
            </w:r>
          </w:p>
        </w:tc>
      </w:tr>
      <w:tr>
        <w:trPr>
          <w:cantSplit/>
        </w:trPr>
        <w:tc>
          <w:tcPr>
            <w:tcW w:type="dxa" w:w="2376"/>
            <w:vAlign w:val="top"/>
            <w:shd w:fill="F0F5F5"/>
            <w:tcMar>
              <w:top w:w="90" w:type="dxa"/>
              <w:left w:w="90" w:type="dxa"/>
              <w:bottom w:w="90" w:type="dxa"/>
              <w:right w:w="90" w:type="dxa"/>
            </w:tcMar>
          </w:tcPr>
          <w:p>
            <w:pPr>
              <w:pStyle w:val="TableText"/>
            </w:pPr>
            <w:r>
              <w:t>Medical request (settled)</w:t>
            </w:r>
          </w:p>
        </w:tc>
        <w:tc>
          <w:tcPr>
            <w:tcW w:type="dxa" w:w="7283"/>
            <w:vAlign w:val="top"/>
            <w:shd w:fill="F0F5F5"/>
            <w:tcMar>
              <w:top w:w="90" w:type="dxa"/>
              <w:left w:w="90" w:type="dxa"/>
              <w:bottom w:w="90" w:type="dxa"/>
              <w:right w:w="90" w:type="dxa"/>
            </w:tcMar>
          </w:tcPr>
          <w:p>
            <w:pPr>
              <w:pStyle w:val="TableText"/>
            </w:pPr>
            <w:r>
              <w:t>M1: MedicalInterface, one open Medical request at New Run; E opens panel, next distinct E submits item, full request closes. Author representative Utility/test targets; no pre-clock scheduler.</w:t>
            </w:r>
          </w:p>
        </w:tc>
      </w:tr>
      <w:tr>
        <w:trPr>
          <w:cantSplit/>
        </w:trPr>
        <w:tc>
          <w:tcPr>
            <w:tcW w:type="dxa" w:w="2376"/>
            <w:vAlign w:val="top"/>
            <w:shd w:fill="FAFBFC"/>
            <w:tcMar>
              <w:top w:w="90" w:type="dxa"/>
              <w:left w:w="90" w:type="dxa"/>
              <w:bottom w:w="90" w:type="dxa"/>
              <w:right w:w="90" w:type="dxa"/>
            </w:tcMar>
          </w:tcPr>
          <w:p>
            <w:pPr>
              <w:pStyle w:val="TableText"/>
            </w:pPr>
            <w:r>
              <w:t>Submission and UI (M1/M3 settled; M4 open)</w:t>
            </w:r>
          </w:p>
        </w:tc>
        <w:tc>
          <w:tcPr>
            <w:tcW w:type="dxa" w:w="7283"/>
            <w:vAlign w:val="top"/>
            <w:shd w:fill="FAFBFC"/>
            <w:tcMar>
              <w:top w:w="90" w:type="dxa"/>
              <w:left w:w="90" w:type="dxa"/>
              <w:bottom w:w="90" w:type="dxa"/>
              <w:right w:w="90" w:type="dxa"/>
            </w:tcMar>
          </w:tcPr>
          <w:p>
            <w:pPr>
              <w:pStyle w:val="TableText"/>
            </w:pPr>
            <w:r>
              <w:t>One selected item per E, never held repeat; projected pips and capped credited/wasted preview. Ineligible gets red bar/no gain and explicit warning. Loadout overfill remains an M4 decision, with cap-and-waste preferred.</w:t>
            </w:r>
          </w:p>
        </w:tc>
      </w:tr>
      <w:tr>
        <w:trPr>
          <w:cantSplit/>
        </w:trPr>
        <w:tc>
          <w:tcPr>
            <w:tcW w:type="dxa" w:w="2376"/>
            <w:vAlign w:val="top"/>
            <w:shd w:fill="F0F5F5"/>
            <w:tcMar>
              <w:top w:w="90" w:type="dxa"/>
              <w:left w:w="90" w:type="dxa"/>
              <w:bottom w:w="90" w:type="dxa"/>
              <w:right w:w="90" w:type="dxa"/>
            </w:tcMar>
          </w:tcPr>
          <w:p>
            <w:pPr>
              <w:pStyle w:val="TableText"/>
            </w:pPr>
            <w:r>
              <w:t>Clock scheduling</w:t>
            </w:r>
          </w:p>
        </w:tc>
        <w:tc>
          <w:tcPr>
            <w:tcW w:type="dxa" w:w="7283"/>
            <w:vAlign w:val="top"/>
            <w:shd w:fill="F0F5F5"/>
            <w:tcMar>
              <w:top w:w="90" w:type="dxa"/>
              <w:left w:w="90" w:type="dxa"/>
              <w:bottom w:w="90" w:type="dxa"/>
              <w:right w:w="90" w:type="dxa"/>
            </w:tcMar>
          </w:tcPr>
          <w:p>
            <w:pPr>
              <w:pStyle w:val="TableText"/>
            </w:pPr>
            <w:r>
              <w:t>M2: base day rate, same-timestamp event order and request windows. Scenario time must not become independent drifting node timers.</w:t>
            </w:r>
          </w:p>
        </w:tc>
      </w:tr>
      <w:tr>
        <w:trPr>
          <w:cantSplit/>
        </w:trPr>
        <w:tc>
          <w:tcPr>
            <w:tcW w:type="dxa" w:w="2376"/>
            <w:vAlign w:val="top"/>
            <w:shd w:fill="FAFBFC"/>
            <w:tcMar>
              <w:top w:w="90" w:type="dxa"/>
              <w:left w:w="90" w:type="dxa"/>
              <w:bottom w:w="90" w:type="dxa"/>
              <w:right w:w="90" w:type="dxa"/>
            </w:tcMar>
          </w:tcPr>
          <w:p>
            <w:pPr>
              <w:pStyle w:val="TableText"/>
            </w:pPr>
            <w:r>
              <w:t>Lift recovery mapping</w:t>
            </w:r>
          </w:p>
        </w:tc>
        <w:tc>
          <w:tcPr>
            <w:tcW w:type="dxa" w:w="7283"/>
            <w:vAlign w:val="top"/>
            <w:shd w:fill="FAFBFC"/>
            <w:tcMar>
              <w:top w:w="90" w:type="dxa"/>
              <w:left w:w="90" w:type="dxa"/>
              <w:bottom w:w="90" w:type="dxa"/>
              <w:right w:w="90" w:type="dxa"/>
            </w:tcMar>
          </w:tcPr>
          <w:p>
            <w:pPr>
              <w:pStyle w:val="TableText"/>
            </w:pPr>
            <w:r>
              <w:t>M1/M2: precise saved phase fields, deadlines and approximate cue/shutter recovery; bound any global synchronization hold. No phase-precise media requirement.</w:t>
            </w:r>
          </w:p>
        </w:tc>
      </w:tr>
      <w:tr>
        <w:trPr>
          <w:cantSplit/>
        </w:trPr>
        <w:tc>
          <w:tcPr>
            <w:tcW w:type="dxa" w:w="2376"/>
            <w:vAlign w:val="top"/>
            <w:shd w:fill="F0F5F5"/>
            <w:tcMar>
              <w:top w:w="90" w:type="dxa"/>
              <w:left w:w="90" w:type="dxa"/>
              <w:bottom w:w="90" w:type="dxa"/>
              <w:right w:w="90" w:type="dxa"/>
            </w:tcMar>
          </w:tcPr>
          <w:p>
            <w:pPr>
              <w:pStyle w:val="TableText"/>
            </w:pPr>
            <w:r>
              <w:t>Midnight and failure UI</w:t>
            </w:r>
          </w:p>
        </w:tc>
        <w:tc>
          <w:tcPr>
            <w:tcW w:type="dxa" w:w="7283"/>
            <w:vAlign w:val="top"/>
            <w:shd w:fill="F0F5F5"/>
            <w:tcMar>
              <w:top w:w="90" w:type="dxa"/>
              <w:left w:w="90" w:type="dxa"/>
              <w:bottom w:w="90" w:type="dxa"/>
              <w:right w:w="90" w:type="dxa"/>
            </w:tcMar>
          </w:tcPr>
          <w:p>
            <w:pPr>
              <w:pStyle w:val="TableText"/>
            </w:pPr>
            <w:r>
              <w:t>M2: same-timestamp arrival/admission/forfeiture order, pending-summary restore and auto-save retry behavior.</w:t>
            </w:r>
          </w:p>
        </w:tc>
      </w:tr>
      <w:tr>
        <w:trPr>
          <w:cantSplit/>
        </w:trPr>
        <w:tc>
          <w:tcPr>
            <w:tcW w:type="dxa" w:w="2376"/>
            <w:vAlign w:val="top"/>
            <w:shd w:fill="FAFBFC"/>
            <w:tcMar>
              <w:top w:w="90" w:type="dxa"/>
              <w:left w:w="90" w:type="dxa"/>
              <w:bottom w:w="90" w:type="dxa"/>
              <w:right w:w="90" w:type="dxa"/>
            </w:tcMar>
          </w:tcPr>
          <w:p>
            <w:pPr>
              <w:pStyle w:val="TableText"/>
            </w:pPr>
            <w:r>
              <w:t>Scenario content</w:t>
            </w:r>
          </w:p>
        </w:tc>
        <w:tc>
          <w:tcPr>
            <w:tcW w:type="dxa" w:w="7283"/>
            <w:vAlign w:val="top"/>
            <w:shd w:fill="FAFBFC"/>
            <w:tcMar>
              <w:top w:w="90" w:type="dxa"/>
              <w:left w:w="90" w:type="dxa"/>
              <w:bottom w:w="90" w:type="dxa"/>
              <w:right w:w="90" w:type="dxa"/>
            </w:tcMar>
          </w:tcPr>
          <w:p>
            <w:pPr>
              <w:pStyle w:val="TableText"/>
            </w:pPr>
            <w:r>
              <w:t>M1–M5: scenario length, inventories, targets, capacities, deliveries, future-demand visibility and behavior after the authored sequence ends. No unapproved balance numbers.</w:t>
            </w:r>
          </w:p>
        </w:tc>
      </w:tr>
      <w:tr>
        <w:trPr>
          <w:cantSplit/>
        </w:trPr>
        <w:tc>
          <w:tcPr>
            <w:tcW w:type="dxa" w:w="2376"/>
            <w:vAlign w:val="top"/>
            <w:shd w:fill="F0F5F5"/>
            <w:tcMar>
              <w:top w:w="90" w:type="dxa"/>
              <w:left w:w="90" w:type="dxa"/>
              <w:bottom w:w="90" w:type="dxa"/>
              <w:right w:w="90" w:type="dxa"/>
            </w:tcMar>
          </w:tcPr>
          <w:p>
            <w:pPr>
              <w:pStyle w:val="TableText"/>
            </w:pPr>
            <w:r>
              <w:t>Optional developer controls</w:t>
            </w:r>
          </w:p>
        </w:tc>
        <w:tc>
          <w:tcPr>
            <w:tcW w:type="dxa" w:w="7283"/>
            <w:vAlign w:val="top"/>
            <w:shd w:fill="F0F5F5"/>
            <w:tcMar>
              <w:top w:w="90" w:type="dxa"/>
              <w:left w:w="90" w:type="dxa"/>
              <w:bottom w:w="90" w:type="dxa"/>
              <w:right w:w="90" w:type="dxa"/>
            </w:tcMar>
          </w:tcPr>
          <w:p>
            <w:pPr>
              <w:pStyle w:val="TableText"/>
            </w:pPr>
            <w:r>
              <w:t>M2/M5: time acceleration/skip controls only as bounded testing aids; generated scenarios only if the authored approach proves too rigid.</w:t>
            </w:r>
          </w:p>
        </w:tc>
      </w:tr>
    </w:tbl>
    <w:p>
      <w:pPr>
        <w:pStyle w:val="Small"/>
        <w:spacing w:after="0"/>
      </w:pPr>
    </w:p>
    <w:p>
      <w:pPr>
        <w:pStyle w:val="Small"/>
      </w:pPr>
      <w:r>
        <w:t>Before M1 coding, inspect the asset-equipped source and choose stable IDs, save/restore ownership and the minimal positive Medical fixture data. The family-based Utility estimator remains a proposal, not a mandated rebalance. No additional M1 gameplay decision blocks handoff. [D11–D15; P01]</w:t>
      </w:r>
    </w:p>
    <w:p>
      <w:pPr>
        <w:pStyle w:val="Source"/>
      </w:pPr>
      <w:r>
        <w:t>Basis: [D02–D15; P01]; [GDD §§6, 8, 10, 19–21]; [ER14; WG].</w:t>
      </w:r>
    </w:p>
    <w:p>
      <w:r>
        <w:br w:type="page"/>
      </w:r>
    </w:p>
    <w:p>
      <w:pPr>
        <w:pStyle w:val="Kicker"/>
      </w:pPr>
      <w:r>
        <w:t>15–16 OCTOBER 2026 / LATER THAN THE PROTOTYPE MASTERS</w:t>
      </w:r>
    </w:p>
    <w:p>
      <w:bookmarkStart w:id="26" w:name="mvp_26"/>
      <w:pPr>
        <w:pStyle w:val="Heading1"/>
      </w:pPr>
      <w:r>
        <w:t>Appendix A. Conversation decisions</w:t>
      </w:r>
      <w:bookmarkEnd w:id="26"/>
    </w:p>
    <w:p>
      <w:r>
        <w:t>These labels identify explicit decisions in the present project conversation. They are not fabricated repository records. Detailed discussion remains in the chat; this register preserves the operative scope and its supersessions.</w:t>
      </w:r>
    </w:p>
    <w:p>
      <w:pPr/>
      <w:r>
        <w:t>The v0.1 foundation was approved in full; D11–D15 record subsequent M1 refinements. P01 is deliberately labelled a proposal under evaluation, not a developer-confirmed Utility formula or an M4 overfill decision. [D10–D15; P01]</w:t>
      </w:r>
    </w:p>
    <w:tbl>
      <w:tblPr>
        <w:tblW w:type="auto" w:w="0"/>
        <w:jc w:val="center"/>
        <w:tblLayout w:type="fixed"/>
        <w:tblLook w:firstColumn="1" w:firstRow="1" w:lastColumn="0" w:lastRow="0" w:noHBand="0" w:noVBand="1" w:val="04A0"/>
      </w:tblPr>
      <w:tblGrid>
        <w:gridCol w:w="1008"/>
        <w:gridCol w:w="8651"/>
      </w:tblGrid>
      <w:tr>
        <w:trPr>
          <w:cantSplit/>
          <w:tblHeader/>
        </w:trPr>
        <w:tc>
          <w:tcPr>
            <w:tcW w:type="dxa" w:w="1008"/>
            <w:vAlign w:val="top"/>
            <w:shd w:fill="243944"/>
            <w:tcMar>
              <w:top w:w="90" w:type="dxa"/>
              <w:left w:w="90" w:type="dxa"/>
              <w:bottom w:w="90" w:type="dxa"/>
              <w:right w:w="90" w:type="dxa"/>
            </w:tcMar>
          </w:tcPr>
          <w:p>
            <w:pPr>
              <w:pStyle w:val="TableHead"/>
            </w:pPr>
            <w:r>
              <w:t>Key</w:t>
            </w:r>
          </w:p>
        </w:tc>
        <w:tc>
          <w:tcPr>
            <w:tcW w:type="dxa" w:w="8651"/>
            <w:vAlign w:val="top"/>
            <w:shd w:fill="243944"/>
            <w:tcMar>
              <w:top w:w="90" w:type="dxa"/>
              <w:left w:w="90" w:type="dxa"/>
              <w:bottom w:w="90" w:type="dxa"/>
              <w:right w:w="90" w:type="dxa"/>
            </w:tcMar>
          </w:tcPr>
          <w:p>
            <w:pPr>
              <w:pStyle w:val="TableHead"/>
            </w:pPr>
            <w:r>
              <w:t>Decision recorded</w:t>
            </w:r>
          </w:p>
        </w:tc>
      </w:tr>
      <w:tr>
        <w:trPr>
          <w:cantSplit/>
        </w:trPr>
        <w:tc>
          <w:tcPr>
            <w:tcW w:type="dxa" w:w="1008"/>
            <w:vAlign w:val="top"/>
            <w:shd w:fill="F0F5F5"/>
            <w:tcMar>
              <w:top w:w="90" w:type="dxa"/>
              <w:left w:w="90" w:type="dxa"/>
              <w:bottom w:w="90" w:type="dxa"/>
              <w:right w:w="90" w:type="dxa"/>
            </w:tcMar>
          </w:tcPr>
          <w:p>
            <w:pPr>
              <w:pStyle w:val="TableText"/>
            </w:pPr>
            <w:r>
              <w:t>D01</w:t>
            </w:r>
          </w:p>
        </w:tc>
        <w:tc>
          <w:tcPr>
            <w:tcW w:type="dxa" w:w="8651"/>
            <w:vAlign w:val="top"/>
            <w:shd w:fill="F0F5F5"/>
            <w:tcMar>
              <w:top w:w="90" w:type="dxa"/>
              <w:left w:w="90" w:type="dxa"/>
              <w:bottom w:w="90" w:type="dxa"/>
              <w:right w:w="90" w:type="dxa"/>
            </w:tcMar>
          </w:tcPr>
          <w:p>
            <w:pPr>
              <w:pStyle w:val="TableText"/>
            </w:pPr>
            <w:r>
              <w:t>Medical first, then Kitchen, then Expedition Loadout within one persistent allocation test. A resetting isolated sink cannot establish the desired decision space. No real patient/Expedition simulation required yet.</w:t>
            </w:r>
          </w:p>
        </w:tc>
      </w:tr>
      <w:tr>
        <w:trPr>
          <w:cantSplit/>
        </w:trPr>
        <w:tc>
          <w:tcPr>
            <w:tcW w:type="dxa" w:w="1008"/>
            <w:vAlign w:val="top"/>
            <w:shd w:fill="FAFBFC"/>
            <w:tcMar>
              <w:top w:w="90" w:type="dxa"/>
              <w:left w:w="90" w:type="dxa"/>
              <w:bottom w:w="90" w:type="dxa"/>
              <w:right w:w="90" w:type="dxa"/>
            </w:tcMar>
          </w:tcPr>
          <w:p>
            <w:pPr>
              <w:pStyle w:val="TableText"/>
            </w:pPr>
            <w:r>
              <w:t>D02</w:t>
            </w:r>
          </w:p>
        </w:tc>
        <w:tc>
          <w:tcPr>
            <w:tcW w:type="dxa" w:w="8651"/>
            <w:vAlign w:val="top"/>
            <w:shd w:fill="FAFBFC"/>
            <w:tcMar>
              <w:top w:w="90" w:type="dxa"/>
              <w:left w:w="90" w:type="dxa"/>
              <w:bottom w:w="90" w:type="dxa"/>
              <w:right w:w="90" w:type="dxa"/>
            </w:tcMar>
          </w:tcPr>
          <w:p>
            <w:pPr>
              <w:pStyle w:val="TableText"/>
            </w:pPr>
            <w:r>
              <w:t>Shared requirement source, request state, submission transaction and result/outcome separation. Preserve finite stock and organization; meaningful combined testing follows all three consumers.</w:t>
            </w:r>
          </w:p>
        </w:tc>
      </w:tr>
      <w:tr>
        <w:trPr>
          <w:cantSplit/>
        </w:trPr>
        <w:tc>
          <w:tcPr>
            <w:tcW w:type="dxa" w:w="1008"/>
            <w:vAlign w:val="top"/>
            <w:shd w:fill="F0F5F5"/>
            <w:tcMar>
              <w:top w:w="90" w:type="dxa"/>
              <w:left w:w="90" w:type="dxa"/>
              <w:bottom w:w="90" w:type="dxa"/>
              <w:right w:w="90" w:type="dxa"/>
            </w:tcMar>
          </w:tcPr>
          <w:p>
            <w:pPr>
              <w:pStyle w:val="TableText"/>
            </w:pPr>
            <w:r>
              <w:t>D03</w:t>
            </w:r>
          </w:p>
        </w:tc>
        <w:tc>
          <w:tcPr>
            <w:tcW w:type="dxa" w:w="8651"/>
            <w:vAlign w:val="top"/>
            <w:shd w:fill="F0F5F5"/>
            <w:tcMar>
              <w:top w:w="90" w:type="dxa"/>
              <w:left w:w="90" w:type="dxa"/>
              <w:bottom w:w="90" w:type="dxa"/>
              <w:right w:w="90" w:type="dxa"/>
            </w:tcMar>
          </w:tcPr>
          <w:p>
            <w:pPr>
              <w:pStyle w:val="TableText"/>
            </w:pPr>
            <w:r>
              <w:t>One save slot; persistence across days; manual save, close, reopen and load the same state. Preservation inventory accepted. Crash safeguards and save-tamper protection excluded from the initial slice.</w:t>
            </w:r>
          </w:p>
        </w:tc>
      </w:tr>
      <w:tr>
        <w:trPr>
          <w:cantSplit/>
        </w:trPr>
        <w:tc>
          <w:tcPr>
            <w:tcW w:type="dxa" w:w="1008"/>
            <w:vAlign w:val="top"/>
            <w:shd w:fill="FAFBFC"/>
            <w:tcMar>
              <w:top w:w="90" w:type="dxa"/>
              <w:left w:w="90" w:type="dxa"/>
              <w:bottom w:w="90" w:type="dxa"/>
              <w:right w:w="90" w:type="dxa"/>
            </w:tcMar>
          </w:tcPr>
          <w:p>
            <w:pPr>
              <w:pStyle w:val="TableText"/>
            </w:pPr>
            <w:r>
              <w:t>D04</w:t>
            </w:r>
          </w:p>
        </w:tc>
        <w:tc>
          <w:tcPr>
            <w:tcW w:type="dxa" w:w="8651"/>
            <w:vAlign w:val="top"/>
            <w:shd w:fill="FAFBFC"/>
            <w:tcMar>
              <w:top w:w="90" w:type="dxa"/>
              <w:left w:w="90" w:type="dxa"/>
              <w:bottom w:w="90" w:type="dxa"/>
              <w:right w:w="90" w:type="dxa"/>
            </w:tcMar>
          </w:tcPr>
          <w:p>
            <w:pPr>
              <w:pStyle w:val="TableText"/>
            </w:pPr>
            <w:r>
              <w:t>Automatic basic day clock comes after persistent Medical. Demand and deliveries stay scenario-controlled. Add midnight auto-save through the same save operation after coherent transition processing.</w:t>
            </w:r>
          </w:p>
        </w:tc>
      </w:tr>
      <w:tr>
        <w:trPr>
          <w:cantSplit/>
        </w:trPr>
        <w:tc>
          <w:tcPr>
            <w:tcW w:type="dxa" w:w="1008"/>
            <w:vAlign w:val="top"/>
            <w:shd w:fill="F0F5F5"/>
            <w:tcMar>
              <w:top w:w="90" w:type="dxa"/>
              <w:left w:w="90" w:type="dxa"/>
              <w:bottom w:w="90" w:type="dxa"/>
              <w:right w:w="90" w:type="dxa"/>
            </w:tcMar>
          </w:tcPr>
          <w:p>
            <w:pPr>
              <w:pStyle w:val="TableText"/>
            </w:pPr>
            <w:r>
              <w:t>D05</w:t>
            </w:r>
          </w:p>
        </w:tc>
        <w:tc>
          <w:tcPr>
            <w:tcW w:type="dxa" w:w="8651"/>
            <w:vAlign w:val="top"/>
            <w:shd w:fill="F0F5F5"/>
            <w:tcMar>
              <w:top w:w="90" w:type="dxa"/>
              <w:left w:w="90" w:type="dxa"/>
              <w:bottom w:w="90" w:type="dxa"/>
              <w:right w:w="90" w:type="dxa"/>
            </w:tcMar>
          </w:tcPr>
          <w:p>
            <w:pPr>
              <w:pStyle w:val="TableText"/>
            </w:pPr>
            <w:r>
              <w:t>Gameplay time and deadlines are exact and authoritative; presentation is reconstructable. Reload at 10:02, not 10:00, in the example; preserve the original 10:04 endpoint. No accumulating drift.</w:t>
            </w:r>
          </w:p>
        </w:tc>
      </w:tr>
      <w:tr>
        <w:trPr>
          <w:cantSplit/>
        </w:trPr>
        <w:tc>
          <w:tcPr>
            <w:tcW w:type="dxa" w:w="1008"/>
            <w:vAlign w:val="top"/>
            <w:shd w:fill="FAFBFC"/>
            <w:tcMar>
              <w:top w:w="90" w:type="dxa"/>
              <w:left w:w="90" w:type="dxa"/>
              <w:bottom w:w="90" w:type="dxa"/>
              <w:right w:w="90" w:type="dxa"/>
            </w:tcMar>
          </w:tcPr>
          <w:p>
            <w:pPr>
              <w:pStyle w:val="TableText"/>
            </w:pPr>
            <w:r>
              <w:t>D06</w:t>
            </w:r>
          </w:p>
        </w:tc>
        <w:tc>
          <w:tcPr>
            <w:tcW w:type="dxa" w:w="8651"/>
            <w:vAlign w:val="top"/>
            <w:shd w:fill="FAFBFC"/>
            <w:tcMar>
              <w:top w:w="90" w:type="dxa"/>
              <w:left w:w="90" w:type="dxa"/>
              <w:bottom w:w="90" w:type="dxa"/>
              <w:right w:w="90" w:type="dxa"/>
            </w:tcMar>
          </w:tcPr>
          <w:p>
            <w:pPr>
              <w:pStyle w:val="TableText"/>
            </w:pPr>
            <w:r>
              <w:t>Persistent development digital clock in the UI, independent of physical clock assets or room. Read authoritative time; seconds and pause/acceleration indications support validation.</w:t>
            </w:r>
          </w:p>
        </w:tc>
      </w:tr>
      <w:tr>
        <w:trPr>
          <w:cantSplit/>
        </w:trPr>
        <w:tc>
          <w:tcPr>
            <w:tcW w:type="dxa" w:w="1008"/>
            <w:vAlign w:val="top"/>
            <w:shd w:fill="F0F5F5"/>
            <w:tcMar>
              <w:top w:w="90" w:type="dxa"/>
              <w:left w:w="90" w:type="dxa"/>
              <w:bottom w:w="90" w:type="dxa"/>
              <w:right w:w="90" w:type="dxa"/>
            </w:tcMar>
          </w:tcPr>
          <w:p>
            <w:pPr>
              <w:pStyle w:val="TableText"/>
            </w:pPr>
            <w:r>
              <w:t>D07</w:t>
            </w:r>
          </w:p>
        </w:tc>
        <w:tc>
          <w:tcPr>
            <w:tcW w:type="dxa" w:w="8651"/>
            <w:vAlign w:val="top"/>
            <w:shd w:fill="F0F5F5"/>
            <w:tcMar>
              <w:top w:w="90" w:type="dxa"/>
              <w:left w:w="90" w:type="dxa"/>
              <w:bottom w:w="90" w:type="dxa"/>
              <w:right w:w="90" w:type="dxa"/>
            </w:tcMar>
          </w:tcPr>
          <w:p>
            <w:pPr>
              <w:pStyle w:val="TableText"/>
            </w:pPr>
            <w:r>
              <w:t>Use authored deterministic multi-day scenarios initially. A configurable Bulk/Utility/etc. generator is a fallback only if those scenarios prove too rigid.</w:t>
            </w:r>
          </w:p>
        </w:tc>
      </w:tr>
      <w:tr>
        <w:trPr>
          <w:cantSplit/>
        </w:trPr>
        <w:tc>
          <w:tcPr>
            <w:tcW w:type="dxa" w:w="1008"/>
            <w:vAlign w:val="top"/>
            <w:shd w:fill="FAFBFC"/>
            <w:tcMar>
              <w:top w:w="90" w:type="dxa"/>
              <w:left w:w="90" w:type="dxa"/>
              <w:bottom w:w="90" w:type="dxa"/>
              <w:right w:w="90" w:type="dxa"/>
            </w:tcMar>
          </w:tcPr>
          <w:p>
            <w:pPr>
              <w:pStyle w:val="TableText"/>
            </w:pPr>
            <w:r>
              <w:t>D08</w:t>
            </w:r>
          </w:p>
        </w:tc>
        <w:tc>
          <w:tcPr>
            <w:tcW w:type="dxa" w:w="8651"/>
            <w:vAlign w:val="top"/>
            <w:shd w:fill="FAFBFC"/>
            <w:tcMar>
              <w:top w:w="90" w:type="dxa"/>
              <w:left w:w="90" w:type="dxa"/>
              <w:bottom w:w="90" w:type="dxa"/>
              <w:right w:w="90" w:type="dxa"/>
            </w:tcMar>
          </w:tcPr>
          <w:p>
            <w:pPr>
              <w:pStyle w:val="TableText"/>
            </w:pPr>
            <w:r>
              <w:t>Use a minimal New Run / Continue / Save &amp; Exit interface rather than only developer keys; simple ESC-menu presentation with a translucent overlay and inexpensive optional blur.</w:t>
            </w:r>
          </w:p>
        </w:tc>
      </w:tr>
      <w:tr>
        <w:trPr>
          <w:cantSplit/>
        </w:trPr>
        <w:tc>
          <w:tcPr>
            <w:tcW w:type="dxa" w:w="1008"/>
            <w:vAlign w:val="top"/>
            <w:shd w:fill="F0F5F5"/>
            <w:tcMar>
              <w:top w:w="90" w:type="dxa"/>
              <w:left w:w="90" w:type="dxa"/>
              <w:bottom w:w="90" w:type="dxa"/>
              <w:right w:w="90" w:type="dxa"/>
            </w:tcMar>
          </w:tcPr>
          <w:p>
            <w:pPr>
              <w:pStyle w:val="TableText"/>
            </w:pPr>
            <w:r>
              <w:t>D09</w:t>
            </w:r>
          </w:p>
        </w:tc>
        <w:tc>
          <w:tcPr>
            <w:tcW w:type="dxa" w:w="8651"/>
            <w:vAlign w:val="top"/>
            <w:shd w:fill="F0F5F5"/>
            <w:tcMar>
              <w:top w:w="90" w:type="dxa"/>
              <w:left w:w="90" w:type="dxa"/>
              <w:bottom w:w="90" w:type="dxa"/>
              <w:right w:w="90" w:type="dxa"/>
            </w:tcMar>
          </w:tcPr>
          <w:p>
            <w:pPr>
              <w:pStyle w:val="TableText"/>
            </w:pPr>
            <w:r>
              <w:t>ESC is a full pause. Agreed clarification: launch New Run/Continue; in-run Resume/Save &amp; Exit/New Run; confirm reset; save before returning to launch; failures stay paused. Pause resumes theatre rather than reconstructing it.</w:t>
            </w:r>
          </w:p>
        </w:tc>
      </w:tr>
      <w:tr>
        <w:trPr>
          <w:cantSplit/>
        </w:trPr>
        <w:tc>
          <w:tcPr>
            <w:tcW w:type="dxa" w:w="1008"/>
            <w:vAlign w:val="top"/>
            <w:shd w:fill="FAFBFC"/>
            <w:tcMar>
              <w:top w:w="90" w:type="dxa"/>
              <w:left w:w="90" w:type="dxa"/>
              <w:bottom w:w="90" w:type="dxa"/>
              <w:right w:w="90" w:type="dxa"/>
            </w:tcMar>
          </w:tcPr>
          <w:p>
            <w:pPr>
              <w:pStyle w:val="TableText"/>
            </w:pPr>
            <w:r>
              <w:t>D10</w:t>
            </w:r>
          </w:p>
        </w:tc>
        <w:tc>
          <w:tcPr>
            <w:tcW w:type="dxa" w:w="8651"/>
            <w:vAlign w:val="top"/>
            <w:shd w:fill="FAFBFC"/>
            <w:tcMar>
              <w:top w:w="90" w:type="dxa"/>
              <w:left w:w="90" w:type="dxa"/>
              <w:bottom w:w="90" w:type="dxa"/>
              <w:right w:w="90" w:type="dxa"/>
            </w:tcMar>
          </w:tcPr>
          <w:p>
            <w:pPr>
              <w:pStyle w:val="TableText"/>
            </w:pPr>
            <w:r>
              <w:t>Create this major MVP-phase master. Retire Prototype Findings from active tracking, preserve history, and carry unresolved/confirmed-but-unimplemented work forward rather than discarding it.</w:t>
            </w:r>
          </w:p>
        </w:tc>
      </w:tr>
    </w:tbl>
    <w:p>
      <w:pPr>
        <w:pStyle w:val="Heading2"/>
        <w:pageBreakBefore/>
      </w:pPr>
      <w:r>
        <w:t>16 October — M1 approved refinements and provisional policy</w:t>
      </w:r>
    </w:p>
    <w:tbl>
      <w:tblPr>
        <w:tblW w:type="auto" w:w="0"/>
        <w:jc w:val="center"/>
        <w:tblLayout w:type="fixed"/>
        <w:tblLook w:firstColumn="1" w:firstRow="1" w:lastColumn="0" w:lastRow="0" w:noHBand="0" w:noVBand="1" w:val="04A0"/>
      </w:tblPr>
      <w:tblGrid>
        <w:gridCol w:w="1008"/>
        <w:gridCol w:w="8651"/>
      </w:tblGrid>
      <w:tr>
        <w:trPr>
          <w:cantSplit/>
          <w:tblHeader/>
        </w:trPr>
        <w:tc>
          <w:tcPr>
            <w:tcW w:type="dxa" w:w="1008"/>
            <w:vAlign w:val="top"/>
            <w:shd w:fill="243944"/>
            <w:tcMar>
              <w:top w:w="90" w:type="dxa"/>
              <w:left w:w="90" w:type="dxa"/>
              <w:bottom w:w="90" w:type="dxa"/>
              <w:right w:w="90" w:type="dxa"/>
            </w:tcMar>
          </w:tcPr>
          <w:p>
            <w:pPr>
              <w:pStyle w:val="TableHead"/>
            </w:pPr>
            <w:r>
              <w:t>Key</w:t>
            </w:r>
          </w:p>
        </w:tc>
        <w:tc>
          <w:tcPr>
            <w:tcW w:type="dxa" w:w="8651"/>
            <w:vAlign w:val="top"/>
            <w:shd w:fill="243944"/>
            <w:tcMar>
              <w:top w:w="90" w:type="dxa"/>
              <w:left w:w="90" w:type="dxa"/>
              <w:bottom w:w="90" w:type="dxa"/>
              <w:right w:w="90" w:type="dxa"/>
            </w:tcMar>
          </w:tcPr>
          <w:p>
            <w:pPr>
              <w:pStyle w:val="TableHead"/>
            </w:pPr>
            <w:r>
              <w:t>Decision recorded</w:t>
            </w:r>
          </w:p>
        </w:tc>
      </w:tr>
      <w:tr>
        <w:trPr>
          <w:cantSplit/>
        </w:trPr>
        <w:tc>
          <w:tcPr>
            <w:tcW w:type="dxa" w:w="1008"/>
          </w:tcPr>
          <w:p>
            <w:r>
              <w:t>D11</w:t>
            </w:r>
          </w:p>
        </w:tc>
        <w:tc>
          <w:tcPr>
            <w:tcW w:type="dxa" w:w="8651"/>
          </w:tcPr>
          <w:p>
            <w:r>
              <w:t>One ordinary Save &amp; Exit and midnight auto-save share a single active run slot; player-facing standalone Save is not required. Prefer a real-world-timestamped Save_&lt;RUN_ID&gt;_DDMMYY-HH-MM filename, with technical file format/location delegated. Continue disabled/grey if no valid save. Release-level Ironman safeguards remain later.</w:t>
            </w:r>
          </w:p>
        </w:tc>
      </w:tr>
      <w:tr>
        <w:trPr>
          <w:cantSplit/>
        </w:trPr>
        <w:tc>
          <w:tcPr>
            <w:tcW w:type="dxa" w:w="1008"/>
          </w:tcPr>
          <w:p>
            <w:r>
              <w:t>D12</w:t>
            </w:r>
          </w:p>
        </w:tc>
        <w:tc>
          <w:tcPr>
            <w:tcW w:type="dxa" w:w="8651"/>
          </w:tcPr>
          <w:p>
            <w:r>
              <w:t>Preserve player position, view orientation, active held item and ideally exact fixed-ladder attachment/height; same-ladder attached-base fallback only when necessary and disclosed. Transient modals/open contribution panels need not persist.</w:t>
            </w:r>
          </w:p>
        </w:tc>
      </w:tr>
      <w:tr>
        <w:trPr>
          <w:cantSplit/>
        </w:trPr>
        <w:tc>
          <w:tcPr>
            <w:tcW w:type="dxa" w:w="1008"/>
          </w:tcPr>
          <w:p>
            <w:r>
              <w:t>D13</w:t>
            </w:r>
          </w:p>
        </w:tc>
        <w:tc>
          <w:tcPr>
            <w:tcW w:type="dxa" w:w="8651"/>
          </w:tcPr>
          <w:p>
            <w:r>
              <w:t>Use existing MedicalInterface, KitchenInterface and DispatchWorkSurface proxies as the temporary E-operated physical collection points. M1 New Run begins with one open Medical request; the target closes it automatically; no pre-clock activation controls or balance trial.</w:t>
            </w:r>
          </w:p>
        </w:tc>
      </w:tr>
      <w:tr>
        <w:trPr>
          <w:cantSplit/>
        </w:trPr>
        <w:tc>
          <w:tcPr>
            <w:tcW w:type="dxa" w:w="1008"/>
          </w:tcPr>
          <w:p>
            <w:r>
              <w:t>D14</w:t>
            </w:r>
          </w:p>
        </w:tc>
        <w:tc>
          <w:tcPr>
            <w:tcW w:type="dxa" w:w="8651"/>
          </w:tcPr>
          <w:p>
            <w:r>
              <w:t>Submission is deliberate, one whole selected item per distinct E press; holding E never repeatedly submits or chooses an optimal carried item. Credit is capped at remaining Utility, excess wasted and never retained; exact-sum matching unnecessary. Full or ineligible requests reject without consumption.</w:t>
            </w:r>
          </w:p>
        </w:tc>
      </w:tr>
      <w:tr>
        <w:trPr>
          <w:cantSplit/>
        </w:trPr>
        <w:tc>
          <w:tcPr>
            <w:tcW w:type="dxa" w:w="1008"/>
          </w:tcPr>
          <w:p>
            <w:r>
              <w:t>D15</w:t>
            </w:r>
          </w:p>
        </w:tc>
        <w:tc>
          <w:tcPr>
            <w:tcW w:type="dxa" w:w="8651"/>
          </w:tcPr>
          <w:p>
            <w:r>
              <w:t>First E opens the non-pausing contribution panel without spending the held item; next E submits if eligible. Preview shows the selected item’s projected pips and total (e.g. Food 5/12 +3 → projected 8/12, +3). Ineligible selected item shows a red bar highlight/border and explicit ineligible text in place of the remaining-after-submission message; no projected gain.</w:t>
            </w:r>
          </w:p>
        </w:tc>
      </w:tr>
      <w:tr>
        <w:trPr>
          <w:cantSplit/>
        </w:trPr>
        <w:tc>
          <w:tcPr>
            <w:tcW w:type="dxa" w:w="1008"/>
          </w:tcPr>
          <w:p>
            <w:r>
              <w:t>P01</w:t>
            </w:r>
          </w:p>
        </w:tc>
        <w:tc>
          <w:tcPr>
            <w:tcW w:type="dxa" w:w="8651"/>
          </w:tcPr>
          <w:p>
            <w:r>
              <w:t>PROPOSAL only: for each eligible Utility family, suggest U=max(1, round(U_ref × (A/A_ref)^0.4 × M_family)), with A=authored Footprint area. Example: 1×1 reference +3 Medical suggests ~+10 for a 20-cell medkit at M=1; it is not +20 by automatic area scaling. Effectiveness exceptions (such as a low-Utility tennis racket) use an intentional modifier or direct override. Values remain authored in ItemDefinition/context, never recalculated from size at runtime or retroactively after consumption. M1 needs only a small Medical fixture subset, not a 40-item rebalance. Loadout overfill/bonus removal is preferred, not yet approved for M4.</w:t>
            </w:r>
          </w:p>
        </w:tc>
      </w:tr>
    </w:tbl>
    <w:p>
      <w:pPr>
        <w:pStyle w:val="Small"/>
        <w:spacing w:after="0"/>
      </w:pPr>
    </w:p>
    <w:p>
      <w:r>
        <w:br w:type="page"/>
      </w:r>
    </w:p>
    <w:p>
      <w:pPr>
        <w:pStyle w:val="Kicker"/>
      </w:pPr>
      <w:r>
        <w:t>B.1  DOCUMENT AND EVIDENCE REGISTER</w:t>
      </w:r>
    </w:p>
    <w:p>
      <w:bookmarkStart w:id="27" w:name="mvp_27"/>
      <w:pPr>
        <w:pStyle w:val="Heading1"/>
      </w:pPr>
      <w:r>
        <w:t>Appendix B. Sources &amp; maintenance</w:t>
      </w:r>
      <w:bookmarkEnd w:id="27"/>
    </w:p>
    <w:p>
      <w:r>
        <w:t>References are project artifacts, not external research. Section citations identify the applicable passage within a master. Reported automated and human results remain attributed; this document does not convert them into new tests.</w:t>
      </w:r>
    </w:p>
    <w:tbl>
      <w:tblPr>
        <w:tblW w:type="auto" w:w="0"/>
        <w:jc w:val="center"/>
        <w:tblLayout w:type="fixed"/>
        <w:tblLook w:firstColumn="1" w:firstRow="1" w:lastColumn="0" w:lastRow="0" w:noHBand="0" w:noVBand="1" w:val="04A0"/>
      </w:tblPr>
      <w:tblGrid>
        <w:gridCol w:w="1238"/>
        <w:gridCol w:w="8421"/>
      </w:tblGrid>
      <w:tr>
        <w:trPr>
          <w:cantSplit/>
          <w:tblHeader/>
        </w:trPr>
        <w:tc>
          <w:tcPr>
            <w:tcW w:type="dxa" w:w="1238"/>
            <w:vAlign w:val="top"/>
            <w:shd w:fill="243944"/>
            <w:tcMar>
              <w:top w:w="90" w:type="dxa"/>
              <w:left w:w="90" w:type="dxa"/>
              <w:bottom w:w="90" w:type="dxa"/>
              <w:right w:w="90" w:type="dxa"/>
            </w:tcMar>
          </w:tcPr>
          <w:p>
            <w:pPr>
              <w:pStyle w:val="TableHead"/>
            </w:pPr>
            <w:r>
              <w:t>Label</w:t>
            </w:r>
          </w:p>
        </w:tc>
        <w:tc>
          <w:tcPr>
            <w:tcW w:type="dxa" w:w="8421"/>
            <w:vAlign w:val="top"/>
            <w:shd w:fill="243944"/>
            <w:tcMar>
              <w:top w:w="90" w:type="dxa"/>
              <w:left w:w="90" w:type="dxa"/>
              <w:bottom w:w="90" w:type="dxa"/>
              <w:right w:w="90" w:type="dxa"/>
            </w:tcMar>
          </w:tcPr>
          <w:p>
            <w:pPr>
              <w:pStyle w:val="TableHead"/>
            </w:pPr>
            <w:r>
              <w:t>Source and use</w:t>
            </w:r>
          </w:p>
        </w:tc>
      </w:tr>
      <w:tr>
        <w:trPr>
          <w:cantSplit/>
        </w:trPr>
        <w:tc>
          <w:tcPr>
            <w:tcW w:type="dxa" w:w="1238"/>
            <w:vAlign w:val="top"/>
            <w:shd w:fill="F0F5F5"/>
            <w:tcMar>
              <w:top w:w="90" w:type="dxa"/>
              <w:left w:w="90" w:type="dxa"/>
              <w:bottom w:w="90" w:type="dxa"/>
              <w:right w:w="90" w:type="dxa"/>
            </w:tcMar>
          </w:tcPr>
          <w:p>
            <w:pPr>
              <w:pStyle w:val="TableText"/>
            </w:pPr>
            <w:r>
              <w:t>GDD</w:t>
            </w:r>
          </w:p>
        </w:tc>
        <w:tc>
          <w:tcPr>
            <w:tcW w:type="dxa" w:w="8421"/>
            <w:vAlign w:val="top"/>
            <w:shd w:fill="F0F5F5"/>
            <w:tcMar>
              <w:top w:w="90" w:type="dxa"/>
              <w:left w:w="90" w:type="dxa"/>
              <w:bottom w:w="90" w:type="dxa"/>
              <w:right w:w="90" w:type="dxa"/>
            </w:tcMar>
          </w:tcPr>
          <w:p>
            <w:pPr>
              <w:pStyle w:val="TableText"/>
            </w:pPr>
            <w:r>
              <w:t>Sorting_Apocalypse_Preliminary_GDD_v0.14.docx; approved 14 October. §§3–8, 9–13, 16, 18–21 supply full-game rules, common request grammar, persistence intentions, scope and validation limits.</w:t>
            </w:r>
          </w:p>
        </w:tc>
      </w:tr>
      <w:tr>
        <w:trPr>
          <w:cantSplit/>
        </w:trPr>
        <w:tc>
          <w:tcPr>
            <w:tcW w:type="dxa" w:w="1238"/>
            <w:vAlign w:val="top"/>
            <w:shd w:fill="FAFBFC"/>
            <w:tcMar>
              <w:top w:w="90" w:type="dxa"/>
              <w:left w:w="90" w:type="dxa"/>
              <w:bottom w:w="90" w:type="dxa"/>
              <w:right w:w="90" w:type="dxa"/>
            </w:tcMar>
          </w:tcPr>
          <w:p>
            <w:pPr>
              <w:pStyle w:val="TableText"/>
            </w:pPr>
            <w:r>
              <w:t>VDD</w:t>
            </w:r>
          </w:p>
        </w:tc>
        <w:tc>
          <w:tcPr>
            <w:tcW w:type="dxa" w:w="8421"/>
            <w:vAlign w:val="top"/>
            <w:shd w:fill="FAFBFC"/>
            <w:tcMar>
              <w:top w:w="90" w:type="dxa"/>
              <w:left w:w="90" w:type="dxa"/>
              <w:bottom w:w="90" w:type="dxa"/>
              <w:right w:w="90" w:type="dxa"/>
            </w:tcMar>
          </w:tcPr>
          <w:p>
            <w:pPr>
              <w:pStyle w:val="TableText"/>
            </w:pPr>
            <w:r>
              <w:t>Sorting_Apocalypse_Visual_Design_Direction_v0.11.docx; approved 14 October. §§7, 10–19, 24, 33–37 supply visual/spatial and authoring boundaries.</w:t>
            </w:r>
          </w:p>
        </w:tc>
      </w:tr>
      <w:tr>
        <w:trPr>
          <w:cantSplit/>
        </w:trPr>
        <w:tc>
          <w:tcPr>
            <w:tcW w:type="dxa" w:w="1238"/>
            <w:vAlign w:val="top"/>
            <w:shd w:fill="F0F5F5"/>
            <w:tcMar>
              <w:top w:w="90" w:type="dxa"/>
              <w:left w:w="90" w:type="dxa"/>
              <w:bottom w:w="90" w:type="dxa"/>
              <w:right w:w="90" w:type="dxa"/>
            </w:tcMar>
          </w:tcPr>
          <w:p>
            <w:pPr>
              <w:pStyle w:val="TableText"/>
            </w:pPr>
            <w:r>
              <w:t>PF</w:t>
            </w:r>
          </w:p>
        </w:tc>
        <w:tc>
          <w:tcPr>
            <w:tcW w:type="dxa" w:w="8421"/>
            <w:vAlign w:val="top"/>
            <w:shd w:fill="F0F5F5"/>
            <w:tcMar>
              <w:top w:w="90" w:type="dxa"/>
              <w:left w:w="90" w:type="dxa"/>
              <w:bottom w:w="90" w:type="dxa"/>
              <w:right w:w="90" w:type="dxa"/>
            </w:tcMar>
          </w:tcPr>
          <w:p>
            <w:pPr>
              <w:pStyle w:val="TableText"/>
            </w:pPr>
            <w:r>
              <w:t>Sorting_Apocalypse_Prototype_Findings_v0.14.docx; approved 14 October, now historical for active tracking. §§7, 12–16, 19–20, 24–30 and 32–34 provide inherited foundations, unresolved work and dated evidence.</w:t>
            </w:r>
          </w:p>
        </w:tc>
      </w:tr>
      <w:tr>
        <w:trPr>
          <w:cantSplit/>
        </w:trPr>
        <w:tc>
          <w:tcPr>
            <w:tcW w:type="dxa" w:w="1238"/>
            <w:vAlign w:val="top"/>
            <w:shd w:fill="FAFBFC"/>
            <w:tcMar>
              <w:top w:w="90" w:type="dxa"/>
              <w:left w:w="90" w:type="dxa"/>
              <w:bottom w:w="90" w:type="dxa"/>
              <w:right w:w="90" w:type="dxa"/>
            </w:tcMar>
          </w:tcPr>
          <w:p>
            <w:pPr>
              <w:pStyle w:val="TableText"/>
            </w:pPr>
            <w:r>
              <w:t>H14</w:t>
            </w:r>
          </w:p>
        </w:tc>
        <w:tc>
          <w:tcPr>
            <w:tcW w:type="dxa" w:w="8421"/>
            <w:vAlign w:val="top"/>
            <w:shd w:fill="FAFBFC"/>
            <w:tcMar>
              <w:top w:w="90" w:type="dxa"/>
              <w:left w:w="90" w:type="dxa"/>
              <w:bottom w:w="90" w:type="dxa"/>
              <w:right w:w="90" w:type="dxa"/>
            </w:tcMar>
          </w:tcPr>
          <w:p>
            <w:pPr>
              <w:pStyle w:val="TableText"/>
            </w:pPr>
            <w:r>
              <w:t>Sorting_Apocalypse_Current_Operational_Handoff_14Oct2026.md; attached handoff, particularly §§1–5, 9–15, 17–18. Later conversation decisions supersede its then-pending audit status.</w:t>
            </w:r>
          </w:p>
        </w:tc>
      </w:tr>
      <w:tr>
        <w:trPr>
          <w:cantSplit/>
        </w:trPr>
        <w:tc>
          <w:tcPr>
            <w:tcW w:type="dxa" w:w="1238"/>
            <w:vAlign w:val="top"/>
            <w:shd w:fill="F0F5F5"/>
            <w:tcMar>
              <w:top w:w="90" w:type="dxa"/>
              <w:left w:w="90" w:type="dxa"/>
              <w:bottom w:w="90" w:type="dxa"/>
              <w:right w:w="90" w:type="dxa"/>
            </w:tcMar>
          </w:tcPr>
          <w:p>
            <w:pPr>
              <w:pStyle w:val="TableText"/>
            </w:pPr>
            <w:r>
              <w:t>ER14</w:t>
            </w:r>
          </w:p>
        </w:tc>
        <w:tc>
          <w:tcPr>
            <w:tcW w:type="dxa" w:w="8421"/>
            <w:vAlign w:val="top"/>
            <w:shd w:fill="F0F5F5"/>
            <w:tcMar>
              <w:top w:w="90" w:type="dxa"/>
              <w:left w:w="90" w:type="dxa"/>
              <w:bottom w:w="90" w:type="dxa"/>
              <w:right w:w="90" w:type="dxa"/>
            </w:tcMar>
          </w:tcPr>
          <w:p>
            <w:pPr>
              <w:pStyle w:val="TableText"/>
            </w:pPr>
            <w:r>
              <w:t>Sorting_Apocalypse_Engineering_Review_Approach_14Oct2026.md; attached approved method, especially §§7–12. Its original audit-not-started status is historical.</w:t>
            </w:r>
          </w:p>
        </w:tc>
      </w:tr>
      <w:tr>
        <w:trPr>
          <w:cantSplit/>
        </w:trPr>
        <w:tc>
          <w:tcPr>
            <w:tcW w:type="dxa" w:w="1238"/>
            <w:vAlign w:val="top"/>
            <w:shd w:fill="FAFBFC"/>
            <w:tcMar>
              <w:top w:w="90" w:type="dxa"/>
              <w:left w:w="90" w:type="dxa"/>
              <w:bottom w:w="90" w:type="dxa"/>
              <w:right w:w="90" w:type="dxa"/>
            </w:tcMar>
          </w:tcPr>
          <w:p>
            <w:pPr>
              <w:pStyle w:val="TableText"/>
            </w:pPr>
            <w:r>
              <w:t>ER-RESULT</w:t>
            </w:r>
          </w:p>
        </w:tc>
        <w:tc>
          <w:tcPr>
            <w:tcW w:type="dxa" w:w="8421"/>
            <w:vAlign w:val="top"/>
            <w:shd w:fill="FAFBFC"/>
            <w:tcMar>
              <w:top w:w="90" w:type="dxa"/>
              <w:left w:w="90" w:type="dxa"/>
              <w:bottom w:w="90" w:type="dxa"/>
              <w:right w:w="90" w:type="dxa"/>
            </w:tcMar>
          </w:tcPr>
          <w:p>
            <w:pPr>
              <w:pStyle w:val="TableText"/>
            </w:pPr>
            <w:r>
              <w:t>pre-mvp-runtime-engineering-review.md; attached consolidated A/B report at bf26b53. Read findings through CR15 dispositions, not as four currently unresolved repairs.</w:t>
            </w:r>
          </w:p>
        </w:tc>
      </w:tr>
      <w:tr>
        <w:trPr>
          <w:cantSplit/>
        </w:trPr>
        <w:tc>
          <w:tcPr>
            <w:tcW w:type="dxa" w:w="1238"/>
            <w:vAlign w:val="top"/>
            <w:shd w:fill="F0F5F5"/>
            <w:tcMar>
              <w:top w:w="90" w:type="dxa"/>
              <w:left w:w="90" w:type="dxa"/>
              <w:bottom w:w="90" w:type="dxa"/>
              <w:right w:w="90" w:type="dxa"/>
            </w:tcMar>
          </w:tcPr>
          <w:p>
            <w:pPr>
              <w:pStyle w:val="TableText"/>
            </w:pPr>
            <w:r>
              <w:t>CR15</w:t>
            </w:r>
          </w:p>
        </w:tc>
        <w:tc>
          <w:tcPr>
            <w:tcW w:type="dxa" w:w="8421"/>
            <w:vAlign w:val="top"/>
            <w:shd w:fill="F0F5F5"/>
            <w:tcMar>
              <w:top w:w="90" w:type="dxa"/>
              <w:left w:w="90" w:type="dxa"/>
              <w:bottom w:w="90" w:type="dxa"/>
              <w:right w:w="90" w:type="dxa"/>
            </w:tcMar>
          </w:tcPr>
          <w:p>
            <w:pPr>
              <w:pStyle w:val="TableText"/>
            </w:pPr>
            <w:r>
              <w:t>docs/testing/pre-mvp-runtime-corrections-2026-10-14.md at 800fd41; initial correction, 15 October manual-address follow-up and final human promotion/publication addendum. Attached (1) copy predates the last addendum.</w:t>
            </w:r>
          </w:p>
        </w:tc>
      </w:tr>
      <w:tr>
        <w:trPr>
          <w:cantSplit/>
        </w:trPr>
        <w:tc>
          <w:tcPr>
            <w:tcW w:type="dxa" w:w="1238"/>
            <w:vAlign w:val="top"/>
            <w:shd w:fill="FAFBFC"/>
            <w:tcMar>
              <w:top w:w="90" w:type="dxa"/>
              <w:left w:w="90" w:type="dxa"/>
              <w:bottom w:w="90" w:type="dxa"/>
              <w:right w:w="90" w:type="dxa"/>
            </w:tcMar>
          </w:tcPr>
          <w:p>
            <w:pPr>
              <w:pStyle w:val="TableText"/>
            </w:pPr>
            <w:r>
              <w:t>WG</w:t>
            </w:r>
          </w:p>
        </w:tc>
        <w:tc>
          <w:tcPr>
            <w:tcW w:type="dxa" w:w="8421"/>
            <w:vAlign w:val="top"/>
            <w:shd w:fill="FAFBFC"/>
            <w:tcMar>
              <w:top w:w="90" w:type="dxa"/>
              <w:left w:w="90" w:type="dxa"/>
              <w:bottom w:w="90" w:type="dxa"/>
              <w:right w:w="90" w:type="dxa"/>
            </w:tcMar>
          </w:tcPr>
          <w:p>
            <w:pPr>
              <w:pStyle w:val="TableText"/>
            </w:pPr>
            <w:r>
              <w:t>docs/AI_WORKING_GUIDELINES.md at 800fd41; proportionate execution, focused evidence, one implementer/default contextual review and explicit publication boundary.</w:t>
            </w:r>
          </w:p>
        </w:tc>
      </w:tr>
      <w:tr>
        <w:trPr>
          <w:cantSplit/>
        </w:trPr>
        <w:tc>
          <w:tcPr>
            <w:tcW w:type="dxa" w:w="1238"/>
            <w:vAlign w:val="top"/>
            <w:shd w:fill="F0F5F5"/>
            <w:tcMar>
              <w:top w:w="90" w:type="dxa"/>
              <w:left w:w="90" w:type="dxa"/>
              <w:bottom w:w="90" w:type="dxa"/>
              <w:right w:w="90" w:type="dxa"/>
            </w:tcMar>
          </w:tcPr>
          <w:p>
            <w:pPr>
              <w:pStyle w:val="TableText"/>
            </w:pPr>
            <w:r>
              <w:t>SRC15</w:t>
            </w:r>
          </w:p>
        </w:tc>
        <w:tc>
          <w:tcPr>
            <w:tcW w:type="dxa" w:w="8421"/>
            <w:vAlign w:val="top"/>
            <w:shd w:fill="F0F5F5"/>
            <w:tcMar>
              <w:top w:w="90" w:type="dxa"/>
              <w:left w:w="90" w:type="dxa"/>
              <w:bottom w:w="90" w:type="dxa"/>
              <w:right w:w="90" w:type="dxa"/>
            </w:tcMar>
          </w:tcPr>
          <w:p>
            <w:pPr>
              <w:pStyle w:val="TableText"/>
            </w:pPr>
            <w:r>
              <w:t>item_definition.gd at 800fd41; read-only confirmation of Utility, contextual overrides, Bulk and separate Storage Category. No new content audit performed.</w:t>
            </w:r>
          </w:p>
        </w:tc>
      </w:tr>
      <w:tr>
        <w:trPr>
          <w:cantSplit/>
        </w:trPr>
        <w:tc>
          <w:tcPr>
            <w:tcW w:type="dxa" w:w="1238"/>
            <w:vAlign w:val="top"/>
            <w:shd w:fill="FAFBFC"/>
            <w:tcMar>
              <w:top w:w="90" w:type="dxa"/>
              <w:left w:w="90" w:type="dxa"/>
              <w:bottom w:w="90" w:type="dxa"/>
              <w:right w:w="90" w:type="dxa"/>
            </w:tcMar>
          </w:tcPr>
          <w:p>
            <w:pPr>
              <w:pStyle w:val="TableText"/>
            </w:pPr>
            <w:r>
              <w:t>R15</w:t>
            </w:r>
          </w:p>
        </w:tc>
        <w:tc>
          <w:tcPr>
            <w:tcW w:type="dxa" w:w="8421"/>
            <w:vAlign w:val="top"/>
            <w:shd w:fill="FAFBFC"/>
            <w:tcMar>
              <w:top w:w="90" w:type="dxa"/>
              <w:left w:w="90" w:type="dxa"/>
              <w:bottom w:w="90" w:type="dxa"/>
              <w:right w:w="90" w:type="dxa"/>
            </w:tcMar>
          </w:tcPr>
          <w:p>
            <w:pPr>
              <w:pStyle w:val="TableText"/>
            </w:pPr>
            <w:r>
              <w:t>Read-only GitHub main ref, commit metadata and publication record inspected during this draft. Exact full IDs appear on the next page.</w:t>
            </w:r>
          </w:p>
        </w:tc>
      </w:tr>
    </w:tbl>
    <w:p>
      <w:pPr>
        <w:pStyle w:val="Small"/>
        <w:spacing w:after="0"/>
      </w:pPr>
    </w:p>
    <w:p>
      <w:r>
        <w:br w:type="page"/>
      </w:r>
    </w:p>
    <w:p>
      <w:pPr>
        <w:pStyle w:val="Kicker"/>
      </w:pPr>
      <w:r>
        <w:t>B.2  PINNED STATE AND FUTURE EDITING</w:t>
      </w:r>
    </w:p>
    <w:p>
      <w:bookmarkStart w:id="28" w:name="mvp_28"/>
      <w:pPr>
        <w:pStyle w:val="Heading1"/>
      </w:pPr>
      <w:r>
        <w:t>Appendix B. Sources &amp; maintenance</w:t>
      </w:r>
      <w:bookmarkEnd w:id="28"/>
    </w:p>
    <w:p>
      <w:pPr>
        <w:pStyle w:val="Heading2"/>
      </w:pPr>
      <w:r>
        <w:t>Published and accepted checkpoints</w:t>
      </w:r>
    </w:p>
    <w:p>
      <w:pPr>
        <w:pStyle w:val="Small"/>
      </w:pPr>
      <w:r>
        <w:t>Published main verified for this draft</w:t>
      </w:r>
    </w:p>
    <w:p>
      <w:pPr>
        <w:pStyle w:val="Mono"/>
      </w:pPr>
      <w:r>
        <w:t>800fd41a3073208c146af93dc2b9c84118c5f6f5</w:t>
      </w:r>
    </w:p>
    <w:p>
      <w:pPr>
        <w:pStyle w:val="Small"/>
      </w:pPr>
      <w:r>
        <w:t>Manual-target follow-up, parent of publication commit</w:t>
      </w:r>
    </w:p>
    <w:p>
      <w:pPr>
        <w:pStyle w:val="Mono"/>
      </w:pPr>
      <w:r>
        <w:t>7005de7385f155dc0235bfdc685d858a5d7421c6</w:t>
      </w:r>
    </w:p>
    <w:p>
      <w:pPr>
        <w:pStyle w:val="Small"/>
      </w:pPr>
      <w:r>
        <w:t>Initial R-02 / R-01 / R-03 correction</w:t>
      </w:r>
    </w:p>
    <w:p>
      <w:pPr>
        <w:pStyle w:val="Mono"/>
      </w:pPr>
      <w:r>
        <w:t>a2afab1519448864146c5f0d1f8c03dc4a21856c</w:t>
      </w:r>
    </w:p>
    <w:p>
      <w:pPr>
        <w:pStyle w:val="Small"/>
      </w:pPr>
      <w:r>
        <w:t>Earlier three-master / pre-review base</w:t>
      </w:r>
    </w:p>
    <w:p>
      <w:pPr>
        <w:pStyle w:val="Mono"/>
      </w:pPr>
      <w:r>
        <w:t>bf26b5320653cd452e99592ed176d0163d9e286f</w:t>
      </w:r>
    </w:p>
    <w:p>
      <w:pPr>
        <w:pStyle w:val="Small"/>
      </w:pPr>
      <w:r>
        <w:t>Receiving Stage C published closure</w:t>
      </w:r>
    </w:p>
    <w:p>
      <w:pPr>
        <w:pStyle w:val="Mono"/>
      </w:pPr>
      <w:r>
        <w:t>bb6683d28539ff743bc480a9d5d68c4ef3d0ce87</w:t>
      </w:r>
    </w:p>
    <w:p>
      <w:pPr>
        <w:pStyle w:val="Heading2"/>
      </w:pPr>
      <w:r>
        <w:t>Relevant dated records retained through PF</w:t>
      </w:r>
    </w:p>
    <w:p>
      <w:r>
        <w:t>The established storage, ladder, Receiving and EAF validation records remain referenced by PF’s source registers. Key retained Receiving records include single-cycle validation (12 October), intentional lighting (13 October), queued deliveries (14 October) and Awaiting Lift validation (14 October), all under docs/testing and read through their final human dispositions. Their test runs, screenshots and costs were not reproduced to draft this master. [PF §§31–34]</w:t>
      </w:r>
    </w:p>
    <w:p>
      <w:pPr>
        <w:pStyle w:val="Heading2"/>
      </w:pPr>
      <w:r>
        <w:t>Maintain one active phase record</w:t>
      </w:r>
    </w:p>
    <w:p>
      <w:r>
        <w:t>Future MVP progress updates modify this master and regenerate its readable extract. Do not append MVP milestones to Prototype Findings. Keep the old master and its mirrors unchanged unless a separately authorized historical correction is needed; any such correction must not rewrite the original evidence state. [D10]</w:t>
      </w:r>
    </w:p>
    <w:p>
      <w:r>
        <w:t>On authorized publication, update docs/README.md and the appropriate operational authority pointers to distinguish the active MVP master from historical Prototype Findings. User plans to publish the edited DOCX and its generated Markdown companion before requesting the separate Codex M1 handoff. This document task itself makes no repository changes. [D10–D15; R15]</w:t>
      </w:r>
    </w:p>
    <w:p>
      <w:pPr>
        <w:pStyle w:val="Heading2"/>
      </w:pPr>
      <w:r>
        <w:t>Edition 0.2 boundary</w:t>
      </w:r>
    </w:p>
    <w:p>
      <w:r>
        <w:t>Edition v0.1 was approved in full by the developer and is retained as a previous document checkpoint. v0.2 integrates the subsequently confirmed M1 UX, save/continuation and Medical-interface decisions through 16 October, while preserving P01 and M2–M5 questions as provisional. The utility guideline is a candidate for future item authoring, not an authored catalogue-value update; loadout-overfill bonus removal is not yet approved. No game code, engine test, asset, historical-master edit, Git publication or M1 implementation is performed by this revision. The user will publish the DOCX/Markdown pair and then commission a bounded Codex handoff.</w:t>
      </w:r>
    </w:p>
    <w:sectPr w:rsidR="00FC693F" w:rsidRPr="0006063C" w:rsidSect="00034616">
      <w:headerReference w:type="default" r:id="rId9"/>
      <w:footerReference w:type="default" r:id="rId10"/>
      <w:footerReference w:type="first" r:id="rId11"/>
      <w:pgSz w:w="11905" w:h="16838"/>
      <w:pgMar w:top="1037" w:right="1123" w:bottom="965"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659" w:val="right"/>
      </w:tabs>
      <w:spacing w:before="0"/>
    </w:pPr>
    <w:r>
      <w:t>Foundation Design &amp; Progress v0.2  |  16 October 2026</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DESIGN &amp; EVIDENCE SERIES  /  SYSTEMS MVP  /  REVIEW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Bdr>
        <w:bottom w:val="single" w:sz="5" w:color="D6E0E2"/>
      </w:pBdr>
    </w:pPr>
    <w:r>
      <w:rPr>
        <w:b/>
        <w:sz w:val="17"/>
      </w:rPr>
      <w:t>SORTING APOCALYPSE  /  SYSTEMS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Lato" w:hAnsi="Lato" w:eastAsia="Lato"/>
      <w:color w:val="24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Lato" w:hAnsi="Lato" w:eastAsia="Lato"/>
      <w:b/>
      <w:bCs/>
      <w:color w:val="243944"/>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ato" w:hAnsi="Lato" w:eastAsia="Lato"/>
      <w:b/>
      <w:bCs/>
      <w:color w:val="23686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ato" w:hAnsi="Lato" w:eastAsia="Lato"/>
      <w:b/>
      <w:bCs/>
      <w:color w:val="2439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eastAsia="Lato"/>
      <w:b/>
      <w:color w:val="24394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eastAsia="Lato"/>
      <w:i/>
      <w:iCs/>
      <w:color w:val="24394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eastAsia="Lato"/>
      <w:color w:val="24394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eastAsia="Lato"/>
      <w:b/>
      <w:bCs/>
      <w:color w:val="2439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100" w:line="259" w:lineRule="auto"/>
    </w:pPr>
    <w:rPr>
      <w:rFonts w:ascii="Lato" w:hAnsi="Lato"/>
      <w:color w:val="586970"/>
      <w:sz w:val="18"/>
    </w:rPr>
  </w:style>
  <w:style w:type="paragraph" w:customStyle="1" w:styleId="Source">
    <w:name w:val="Source"/>
    <w:basedOn w:val="Normal"/>
    <w:pPr>
      <w:spacing w:after="100" w:line="259" w:lineRule="auto" w:before="180"/>
    </w:pPr>
    <w:rPr>
      <w:rFonts w:ascii="Lato" w:hAnsi="Lato"/>
      <w:color w:val="586970"/>
      <w:sz w:val="16"/>
    </w:rPr>
  </w:style>
  <w:style w:type="paragraph" w:customStyle="1" w:styleId="Kicker">
    <w:name w:val="Kicker"/>
    <w:basedOn w:val="Normal"/>
    <w:pPr>
      <w:spacing w:after="100" w:line="259" w:lineRule="auto"/>
    </w:pPr>
    <w:rPr>
      <w:rFonts w:ascii="Lato" w:hAnsi="Lato"/>
      <w:b/>
      <w:color w:val="23686B"/>
      <w:sz w:val="18"/>
    </w:rPr>
  </w:style>
  <w:style w:type="paragraph" w:customStyle="1" w:styleId="TableText">
    <w:name w:val="Table Text"/>
    <w:basedOn w:val="Normal"/>
    <w:pPr>
      <w:spacing w:after="60" w:line="259" w:lineRule="auto"/>
    </w:pPr>
    <w:rPr>
      <w:rFonts w:ascii="Lato" w:hAnsi="Lato"/>
      <w:color w:val="243944"/>
      <w:sz w:val="18"/>
    </w:rPr>
  </w:style>
  <w:style w:type="paragraph" w:customStyle="1" w:styleId="TableHead">
    <w:name w:val="Table Head"/>
    <w:basedOn w:val="Normal"/>
    <w:pPr>
      <w:spacing w:after="0" w:line="259" w:lineRule="auto"/>
    </w:pPr>
    <w:rPr>
      <w:rFonts w:ascii="Lato" w:hAnsi="Lato"/>
      <w:b/>
      <w:color w:val="FFFFFF"/>
      <w:sz w:val="18"/>
    </w:rPr>
  </w:style>
  <w:style w:type="paragraph" w:customStyle="1" w:styleId="Callout">
    <w:name w:val="Callout"/>
    <w:basedOn w:val="Normal"/>
    <w:pPr>
      <w:spacing w:after="100" w:line="259" w:lineRule="auto"/>
    </w:pPr>
    <w:rPr>
      <w:rFonts w:ascii="Lato" w:hAnsi="Lato"/>
      <w:color w:val="243944"/>
      <w:sz w:val="22"/>
    </w:rPr>
  </w:style>
  <w:style w:type="paragraph" w:customStyle="1" w:styleId="Mono">
    <w:name w:val="Mono"/>
    <w:basedOn w:val="Normal"/>
    <w:pPr>
      <w:spacing w:after="100" w:line="240" w:lineRule="auto"/>
    </w:pPr>
    <w:rPr>
      <w:rFonts w:ascii="DejaVu Sans Mono" w:hAnsi="DejaVu Sans Mono"/>
      <w:color w:val="5869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 Systems MVP Foundation Design &amp; Progress v0.2</dc:title>
  <dc:subject>Updated approved foundation decisions for M1, 16 October 2026</dc:subject>
  <dc:creator>Sorting Apocalypse</dc:creator>
  <cp:keywords>Sorting Apocalypse, Systems MVP, persistence, Medical, contribution preview</cp:keywords>
  <dc:description>v0.1 draft for developer review. No implementation or publication authorization.</dc:description>
  <cp:lastModifiedBy/>
  <cp:revision>1</cp:revision>
  <dcterms:created xsi:type="dcterms:W3CDTF">2013-12-23T23:15:00Z</dcterms:created>
  <dcterms:modified xsi:type="dcterms:W3CDTF">2013-12-23T23:15:00Z</dcterms:modified>
  <cp:category/>
</cp:coreProperties>
</file>