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0.8  |  17 September 2026</w:t>
      </w:r>
    </w:p>
    <w:p>
      <w:pPr>
        <w:pStyle w:val="CoverMeta"/>
        <w:widowControl/>
      </w:pPr>
      <w:r>
        <w:t>Living design | Greybox promoted; seeded storage integration is the next gameplay gate</w:t>
      </w:r>
    </w:p>
    <w:p>
      <w:pPr>
        <w:pStyle w:val="CoverSummary"/>
        <w:widowControl/>
      </w:pPr>
      <w:r>
        <w:t>Consolidates the accepted whole-wing greybox, three correction rounds, final Medical tuning and deferred abandoned-route policy. The next sequence is repository/documentation close-out, then functional shelves and pre-seeded interactive loot in the accepted wing, then physical Receiving. Greybox approval does not establish production art, furnished usability or game balance.</w:t>
      </w:r>
    </w:p>
    <w:p>
      <w:pPr>
        <w:pStyle w:val="CoverSummary"/>
        <w:widowControl/>
      </w:pPr>
      <w:r>
        <w:t>Companion documents: Prototype Findings v0.8; Visual Design &amp; World-Building Direction v0.5; Receiving/Elevator MVP Architecture Design (12 September 2026).</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v0.8 authority and evidence boundary</w:t>
      </w:r>
    </w:p>
    <w:p>
      <w:pPr>
        <w:widowControl/>
      </w:pPr>
      <w:r>
        <w:t>This GDD remains the overall design authority. Prototype Findings v0.8 records implementation and validation evidence; Visual Design &amp; World-Building Direction v0.5 supplies environmental rules and the accepted spatial baseline. The 12 September Receiving specification retains subsystem detail. The neutral whole-wing geometry is human-promoted; art, furnished interaction and balance remain separate gates. Explicit supersessions are recorded in Appendix C.</w:t>
      </w:r>
    </w:p>
    <w:p>
      <w:pPr>
        <w:widowControl/>
      </w:pPr>
      <w:r>
        <w:t>This update preserves v0.7 design mechanics and consolidates the supplied correction reports, final Medical evidence, developer acceptance and the new seeded-storage prerequisite. A read-only GitHub inspection is recorded separately from local Codex test claims. No new local Godot run, repository integration or gameplay migration is asserted by the document edit. [G07, P07, V04, W17, H17, A17, D17B, R17]</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w:t>
            </w:r>
          </w:p>
        </w:tc>
        <w:tc>
          <w:tcPr>
            <w:tcW w:type="dxa" w:w="6869"/>
            <w:vAlign w:val="top"/>
            <w:shd w:fill="F6F8F9"/>
          </w:tcPr>
          <w:p>
            <w:pPr>
              <w:pStyle w:val="TableText"/>
              <w:keepNext w:val="0"/>
              <w:widowControl/>
            </w:pPr>
            <w:r>
              <w:rPr>
                <w:rFonts w:ascii="Lato" w:hAnsi="Lato"/>
                <w:b w:val="0"/>
                <w:color w:val="25323A"/>
                <w:sz w:val="18"/>
              </w:rPr>
              <w:t>Intentionally outside the first-release target unless later reassessed.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pile,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now exist in a complete neutral greybox. Human review after round three and the Medical-only tuning promotes this as the working spatial baseline. The accepted builder, saved geometry and final overview govern subsequent dimensional work; they are not production-art or furnished-gameplay approval.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is committed upstream, prepared in an isolated hidden environment and frozen into ordinary WorldItems before reveal. The shutter controls visibility and interaction availability, while the permanent barrier controls player access. Section 11 defines the preparation, deposit, presentation and recovery contracts.</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an ordinary loot batch but at a dedicated safe marker rather than literally inside the pile.</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now the working dimensional authority, subordinate to later explicit decisions. Detailed Topology V3 and Basic Structural Schematic V2 remain unchanged historical intent references; do not revert approved in-engine refinements to match their pixels. Visual Direction v0.5 records the current service spaces, Kitchen-from-B routing, Medical alignment and abandoned-stub deferral. [V05,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top"/>
          </w:tcPr>
          <w:p>
            <w:pPr>
              <w:pStyle w:val="TableText"/>
              <w:keepNext w:val="0"/>
              <w:widowControl/>
            </w:pPr>
            <w:r>
              <w:rPr>
                <w:rFonts w:ascii="Lato" w:hAnsi="Lato"/>
                <w:b/>
                <w:color w:val="25323A"/>
                <w:sz w:val="18"/>
              </w:rPr>
              <w:t>Storage Footprint</w:t>
            </w:r>
          </w:p>
        </w:tc>
        <w:tc>
          <w:tcPr>
            <w:tcW w:type="dxa" w:w="6869"/>
            <w:vAlign w:val="top"/>
          </w:tcPr>
          <w:p>
            <w:pPr>
              <w:pStyle w:val="TableText"/>
              <w:keepNext w:val="0"/>
              <w:widowControl/>
            </w:pPr>
            <w:r>
              <w:rPr>
                <w:rFonts w:ascii="Lato" w:hAnsi="Lato"/>
                <w:b w:val="0"/>
                <w:color w:val="25323A"/>
                <w:sz w:val="18"/>
              </w:rPr>
              <w:t>Discrete 2D storage occupancy and compatibility used by shelves, boxes, drawers, racks, stacks, and snap systems. It is separate from Bulk and from physical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Frozen generated pile; items may be cherry-picked if visible. The player cannot add objects.</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oriented Footprint of the item directly below it. Stack dimensions therefore do not widen upward unless automatic base promotion first installs a larger compatible new base.</w:t>
      </w:r>
    </w:p>
    <w:p>
      <w:pPr>
        <w:pStyle w:val="ListBullet"/>
        <w:widowControl/>
      </w:pPr>
      <w:r>
        <w:t>Automatic placement is stack-first within each valid zone tier. It may smart-insert a compatible item at the highest valid position and may automatically promote a larger compatible incoming item to the base if the expanded reservation remains valid. Existing members keep their relative order and packing yaw.</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preferred elevator pile allows visual cherry-picking, but a more structured pile is acceptable if technical cost threatens reliability.</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Top-level contents must be reliably visible from normal supported viewpoints without introducing jumping or ladders. Crouch remains separate deferred work, not a repair for poorly composed shelving. Final furniture depth/height and capacity percentages are tested with actual catalogue items, not treated as exact art constants. [V03 §15]</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frozen loot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the bay is TAKE-only and is not a StorageSurface.</w:t>
      </w:r>
    </w:p>
    <w:p>
      <w:pPr>
        <w:widowControl/>
      </w:pPr>
      <w:r>
        <w:t>The platform and bay walls are static. A signal, transit delay, cable/motor/impact cues, lock release and shutter animation imply movement. The active batch is reconstructed behind the closed shutter, with pickup disabled until OPEN. No visible rigid-body settling or pop-in is part of delivery.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pile.</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Warning lights and arrival audio sequence.</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available behind the closed shutter; pickup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and short delay, pickup disabled and shutter closes.</w:t>
            </w:r>
          </w:p>
        </w:tc>
      </w:tr>
    </w:tbl>
    <w:p>
      <w:pPr>
        <w:spacing w:after="60" w:before="0" w:line="40" w:lineRule="exact"/>
      </w:pPr>
      <w:r>
        <w:rPr>
          <w:sz w:val="4"/>
        </w:rPr>
      </w:r>
    </w:p>
    <w:p>
      <w:pPr>
        <w:widowControl/>
      </w:pPr>
      <w:r>
        <w:t>Only after full shutter closure does Receiving retire the drained active batch and promote the FIFO head. Each next batch receives its own arrival/reveal sequence. ReceivingManager owns occupancy and promotion; FreightBayPresenter owns cues, shutter state and materialization. Neither owns upstream loot policy. [R12 §§8-10, 17-18]</w:t>
      </w:r>
    </w:p>
    <w:p>
      <w:pPr>
        <w:pStyle w:val="Heading2"/>
        <w:widowControl/>
      </w:pPr>
      <w:r>
        <w:t>11.2 Committed content, identity and preparation</w:t>
      </w:r>
    </w:p>
    <w:p>
      <w:pPr>
        <w:widowControl/>
      </w:pPr>
      <w:r>
        <w:t>LootBatch owns content and accepted arrangement, not queue position. CONTENT_COMMITTED fixes batch ID, one entry per item, durable item IDs, definition IDs, Bulk totals and content/presentation seeds. An accepted arrangement atomically records presentation-local frozen transforms plus profile ID/revision and advances to PREPARED. Transient ARRANGING work is disposable.</w:t>
      </w:r>
    </w:p>
    <w:p>
      <w:pPr>
        <w:widowControl/>
      </w:pPr>
      <w:r>
        <w:t>Repeating content seed, pool revision/configuration and Bulk budget reproduces ordered definitions and content, not a globally reusable batch identity. A newly committed batch gets unique batch/item IDs; reconstructing an existing commitment preserves its IDs. Representation changes and retries never mint replacement identities.</w:t>
      </w:r>
    </w:p>
    <w:p>
      <w:pPr>
        <w:widowControl/>
      </w:pPr>
      <w:r>
        <w:t>ItemDefinition remains gameplay truth; the authoring manifest is evidence truth. The prototype generator uses an explicit 40-ID approved pool excluding Gloves/Pants, not runtime manifest inspection. The later loot_000015 reimport debt requires reconciliation before clean catalogue-dependent pile validation; it does not justify silent runtime pool mutation. Prototype Bulk sampling is a test producer, not final expedition reward balance. [R12 §§4-7; D12A, D13B]</w:t>
      </w:r>
    </w:p>
    <w:p>
      <w:pPr>
        <w:pStyle w:val="Heading2"/>
        <w:widowControl/>
      </w:pPr>
      <w:r>
        <w:t>11.3 Preferred hidden-settle route</w:t>
      </w:r>
    </w:p>
    <w:p>
      <w:pPr>
        <w:pStyle w:val="Callout"/>
        <w:keepLines/>
        <w:shd w:fill="F0F4F5"/>
        <w:ind w:left="140" w:right="140"/>
      </w:pPr>
      <w:r>
        <w:rPr>
          <w:b/>
          <w:color w:val="96712D"/>
        </w:rPr>
        <w:t xml:space="preserve">CONFIRMED APPROACH / VALIDATE RESULT  </w:t>
      </w:r>
      <w:r>
        <w:t>Use seeded initial scatter, temporary simplified rigid bodies in an isolated staging environment, stability detection, bounded retries, and a conservative deterministic fallback. This implementation direction is approved; physical pile quality and performance are not yet validated.</w:t>
      </w:r>
    </w:p>
    <w:p>
      <w:pPr>
        <w:widowControl/>
      </w:pPr>
      <w:r>
        <w:t>Preparation is separate from the live freight-bay scene so it may run while another batch is visible. Async means work may be spread across time/frames before delivery; multithreaded physics is not required. Accepted transforms, not the physics trajectory, are authority.</w:t>
      </w:r>
    </w:p>
    <w:p>
      <w:pPr>
        <w:widowControl/>
      </w:pPr>
      <w:r>
        <w:t>Freeze means replacing proxies with ordinary deterministic WorldItems. Destroy every temporary physics body; no sleeping/dormant body, velocity or live contact remains. Preserve accepted local position and orientation rather than snapping the pile into shelf poses. Taking an item leaves every other frozen pile member in place; there is no re-settle or pile compression. [R12 §§11-16]</w:t>
      </w:r>
    </w:p>
    <w:p>
      <w:pPr>
        <w:pStyle w:val="Heading2"/>
        <w:widowControl/>
      </w:pPr>
      <w:r>
        <w:t>11.4 Pile acceptance, targeting and fallback</w:t>
      </w:r>
    </w:p>
    <w:p>
      <w:pPr>
        <w:pStyle w:val="ListBullet"/>
        <w:widowControl/>
      </w:pPr>
      <w:r>
        <w:t>Validate containment, tolerable penetration/support, finite valid transforms and exactly one result per committed remaining entry.</w:t>
      </w:r>
    </w:p>
    <w:p>
      <w:pPr>
        <w:pStyle w:val="ListBullet"/>
        <w:widowControl/>
      </w:pPr>
      <w:r>
        <w:t>Allow disorder and temporary layered occlusion, but require every entry to become visible/targetable through successive normal TAKE operations from reachable apron-side viewpoints.</w:t>
      </w:r>
    </w:p>
    <w:p>
      <w:pPr>
        <w:pStyle w:val="ListBullet"/>
        <w:widowControl/>
      </w:pPr>
      <w:r>
        <w:t>Start with conservative iterative targeting simulation: find targetable entries, virtually remove them, repeat; reject if entries remain with no progress. Do not build a general accessibility solver without failure evidence.</w:t>
      </w:r>
    </w:p>
    <w:p>
      <w:pPr>
        <w:pStyle w:val="ListBullet"/>
        <w:widowControl/>
      </w:pPr>
      <w:r>
        <w:t>Use the existing WorldItem targeting grammar. A bay/profile-specific reach is permitted; it must not extend storage reach globally or allow interaction through closed/revealing shutters.</w:t>
      </w:r>
    </w:p>
    <w:p>
      <w:pPr>
        <w:pStyle w:val="ListBullet"/>
        <w:widowControl/>
      </w:pPr>
      <w:r>
        <w:t>Fallback preserves all content and identities and must meet the same containment/drainability guarantees. A failed fallback is a reported development error, not permission to omit or reroll items.</w:t>
      </w:r>
    </w:p>
    <w:p>
      <w:pPr>
        <w:widowControl/>
      </w:pPr>
      <w:r>
        <w:t>Record seeds, Bulk/item count, attempts, preparation duration, rejection reasons, fallback use, drain iterations and profile revision. Review aggregate fallback rate, mean attempts and p95 preparation time; no arbitrary acceptance-rate target is locked yet. Separate backend cost from player-visible delivery delay. [R12 §§14-20]</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its arrival/reveal/closing lifecycle; at most one pile is visible.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arrangement commit, recovery preserves CONTENT_COMMITTED and discards incomplete settling. After commit, reconstruct exactly from saved local transforms and remaining-entry ownership. Profile mismatch fails closed pending an explicit migration or allowed unrevealed re-preparation; never reinterpret transforms against incompatible geometry or reroll a revealed pile.</w:t>
      </w:r>
    </w:p>
    <w:p>
      <w:pPr>
        <w:widowControl/>
      </w:pPr>
      <w:r>
        <w:t>TAKE transfers the exact existing ItemInstance into the carried bundle and releases its active batch entry as one ownership transaction. Failure leaves or restores prior ownership; duplicate/stale interaction cannot duplicate or lose an item. The last release notifies presentation to close. These are subsystem contracts, not evidence that full durable save/journal integration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Phased delivery boundary</w:t>
      </w:r>
    </w:p>
    <w:p>
      <w:pPr>
        <w:widowControl/>
      </w:pPr>
      <w:r>
        <w:t>Stage A proves data/identity/lifecycle contracts. Stage B validates one physically presented batch using manually/debug-triggered, reproducible deliveries. Stage C enables the full three-slot deposited flow and synthetic arrival-pressure tests. Neither Stage B nor C requires expedition simulation. The updated roadmap and actual milestone status appear in Section 20.</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settling, lock, and door sounds create anticipation and reveal weight.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Visual Design &amp; World-Building Direction v0.5 governs environment production and the current service-space/topology interpretation. Use low-complexity realism, readable silhouettes and layered materials rather than literal photorealistic concept-image detail.</w:t>
      </w:r>
    </w:p>
    <w:p>
      <w:pPr>
        <w:pStyle w:val="ListBullet"/>
        <w:widowControl/>
      </w:pPr>
      <w:r>
        <w:t>The shell is concrete/cement/masonry dominant, with localized old tile/paint and repairs. Metal principally belongs to equipment, shutters, barriers, pipes, gratings and other services.</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wear, localized moisture, sparse legacy signage, quiet surfaces and restrained dry humor. Serious abandonment is confined to peripheral dead spaces; occupied areas remain dependable.</w:t>
      </w:r>
    </w:p>
    <w:p>
      <w:pPr>
        <w:widowControl/>
      </w:pPr>
      <w:r>
        <w:t>Structural Shell and Applied Finish remain separate human production-art gates before services, furniture or atmosphere carry a finished composition. Neutral spatial proxies and a later bounded functional Receiving test are not production-art promotion and need not await finished materials. [D16P]</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implementation/testing and Blender available as an optional script-assisted authoring route. Godot 4.7 is the reported development baseline for this evidence window; exact installed executable/build is verified locally before tasks.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arrangement are committed separately; temporary isolated preparation proxies are destroyed before frozen WorldItems are presented. No live or dormant rigid-body loot survives in the playable bay.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Simple structural walls, slabs, ceilings, beams, pillars, trims and openings may use selected coherent meshes, Godot primitives for validation, or a repeatable Blender-generated modular kit.</w:t>
      </w:r>
    </w:p>
    <w:p>
      <w:pPr>
        <w:pStyle w:val="ListBullet"/>
        <w:widowControl/>
      </w:pPr>
      <w:r>
        <w:t>Ready PBR maps provide a potential common material layer for generated geometry. The inspected KitBash sample includes Base Color, Roughness, Metallic and Normal PNGs plus Height EXRs, USD material definitions and Substance sources/dependencies. Those files make the route plausible; a finished Blender -&gt; GLB -&gt; Godot structural-material workflow has not yet been validated.</w:t>
      </w:r>
    </w:p>
    <w:p>
      <w:pPr>
        <w:pStyle w:val="ListBullet"/>
        <w:widowControl/>
      </w:pPr>
      <w:r>
        <w:t>Check map conventions, texture scale, UV repetition and final Godot appearance in a focused pipeline proof. Optional height/displacement and arbitrary Blender/Substance shader graphs are not assumed to transfer automatically. Substance processing is not required for the proposed ready-map route.</w:t>
      </w:r>
    </w:p>
    <w:p>
      <w:pPr>
        <w:pStyle w:val="ListBullet"/>
        <w:widowControl/>
      </w:pPr>
      <w:r>
        <w:t>The collection of prefab architecture may be insufficient for the diversity of coherent concrete/paint/tile/repair finishes required by the visual direction. Inspect it against the Foundation Gate; do not force mismatched modules, buy more content blindly, or commit to a generation pipeline before the small proof.</w:t>
      </w:r>
    </w:p>
    <w:p>
      <w:pPr>
        <w:pStyle w:val="Heading2"/>
        <w:widowControl/>
      </w:pPr>
      <w:r>
        <w:t>18.7 Foundation Gate and evidence-driven production</w:t>
      </w:r>
    </w:p>
    <w:p>
      <w:pPr>
        <w:widowControl/>
      </w:pPr>
      <w:r>
        <w:t>The early ugly-room gate has established the representative no-drop storage/content premise. The September Receiving shell showed why technical fit is insufficient for environment approval. Each major space now passes two independent human reviews before later visual layers: [D13B, V03 §10]</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Applied Finish</w:t>
            </w:r>
          </w:p>
        </w:tc>
        <w:tc>
          <w:tcPr>
            <w:tcW w:type="dxa" w:w="4896"/>
            <w:vAlign w:val="top"/>
            <w:shd w:fill="F6F8F9"/>
          </w:tcPr>
          <w:p>
            <w:pPr>
              <w:pStyle w:val="TableText"/>
              <w:keepNext w:val="0"/>
              <w:widowControl/>
            </w:pPr>
            <w:r>
              <w:rPr>
                <w:rFonts w:ascii="Lato" w:hAnsi="Lato"/>
                <w:b w:val="0"/>
                <w:color w:val="25323A"/>
                <w:sz w:val="18"/>
              </w:rPr>
              <w:t>Coherent material families, scale/repetition, appropriate roughness, localized paint/tile/repair and maintained wear under reasonably neutral review light.</w:t>
            </w:r>
          </w:p>
        </w:tc>
        <w:tc>
          <w:tcPr>
            <w:tcW w:type="dxa" w:w="2880"/>
            <w:vAlign w:val="top"/>
            <w:shd w:fill="F6F8F9"/>
          </w:tcPr>
          <w:p>
            <w:pPr>
              <w:pStyle w:val="TableText"/>
              <w:keepNext w:val="0"/>
              <w:widowControl/>
            </w:pPr>
            <w:r>
              <w:rPr>
                <w:rFonts w:ascii="Lato" w:hAnsi="Lato"/>
                <w:b w:val="0"/>
                <w:color w:val="25323A"/>
                <w:sz w:val="18"/>
              </w:rPr>
              <w:t>Warm lighting used to hide gloss, pristine surfaces or mismatched textures.</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infrastructure and functional lighting; occupation/furniture;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Stage-B Receiving shell remains visually rejected and preserved separately; it predates the mature visual brief. The full-wing greybox has since converged through three correction rounds and a Medical-only tuning pass, followed by explicit human acceptance. Preserve the approved spatial arrangement and the original test-room fixture. This promotion does not approve production Structural Shell/Applied Finish, furnishings or physical Receiving. [W17, H17, A17]</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representative storage/content gate does not establish a functional Receiving source or broader Systems MVP. The accepted wing still uses noninteractive storage proxies and a review-oriented player configuration. Before physical Receiving, a separate integration gate must reuse existing shelves, item representations, carrying, zoning and stacking with a small pre-seeded interactive assortment. Full requests, saves/journals and economy remain later work; loot_000015 freshness remains bounded debt until explicitly reconciled. [A17, D17B]</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Promoted storage/content + promoted whole-wing spatial baseline -&gt; repository/documentation close-out and synchronization -&gt; seeded storage gameplay integration in the wing -&gt; functional Receiving -&gt; first real timed request/system slice -&gt; expedition-produced batches -&gt; broader Systems MVP.</w:t>
      </w:r>
    </w:p>
    <w:p>
      <w:pPr/>
      <w:r>
        <w:t>Greybox geometry is accepted. The current administrative gate records that acceptance, consolidates documents and publishes/integrates the accepted work from the authoritative local checkout after verification. Preserve history and ignored assets/import state; a clean repository must not be achieved by deleting local evidence or silently waiving known baseline diagnostics. Repository completion requires a separate local/remote verification record. [A17, D17B]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reviewed, merged and technically verified. No physical-pile or full-save claim.</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Representative bay geometry, barrier/shutter boundary, isolated settle/validation/fallback, WorldItem materialization, contextual TAKE, reproducible deliveries and human pile tests. Production-art gates remain separate.</w:t>
            </w:r>
          </w:p>
        </w:tc>
        <w:tc>
          <w:tcPr>
            <w:tcW w:type="dxa" w:w="2664"/>
            <w:vAlign w:val="top"/>
            <w:shd w:fill="F6F8F9"/>
          </w:tcPr>
          <w:p>
            <w:r>
              <w:rPr>
                <w:sz w:val="18"/>
              </w:rPr>
              <w:t>Physical piles remain unvalidated. Whole-wing spatial geometry is now PROMOTED after human review. Bookkeeping/synchronization and the seeded storage integration gate precede physical Receiving. Art approval remains separate. [A17, D17B]</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Enable three deposited slots, FIFO advancement after closure, rejected fourth deposit and repeated synthetic delivery/throughput tests.</w:t>
            </w:r>
          </w:p>
        </w:tc>
        <w:tc>
          <w:tcPr>
            <w:tcW w:type="dxa" w:w="2664"/>
            <w:vAlign w:val="top"/>
          </w:tcPr>
          <w:p>
            <w:pPr>
              <w:pStyle w:val="TableText"/>
              <w:keepNext w:val="0"/>
              <w:widowControl/>
            </w:pPr>
            <w:r>
              <w:rPr>
                <w:rFonts w:ascii="Lato" w:hAnsi="Lato"/>
                <w:b w:val="0"/>
                <w:color w:val="25323A"/>
                <w:sz w:val="18"/>
              </w:rPr>
              <w:t>Not started. Requires Stage B human promotion.</w:t>
            </w:r>
          </w:p>
        </w:tc>
      </w:tr>
    </w:tbl>
    <w:p>
      <w:pPr>
        <w:spacing w:after="60" w:before="0" w:line="40" w:lineRule="exact"/>
      </w:pPr>
      <w:r>
        <w:rPr>
          <w:sz w:val="4"/>
        </w:rPr>
      </w:r>
    </w:p>
    <w:p>
      <w:pPr>
        <w:widowControl/>
      </w:pPr>
      <w:r>
        <w:t>The next gameplay gate is seeded storage integration, not further general layout work. Bring several storage-capable shelves and existing functional loot into the accepted wing, using normal TAKE/carry/PUT/zoning/stacking/retrieval and a repeatable fixture. Preserve the old main test scene intact; its later role may become a legacy regression fixture. Exact scene composition, bootstrap reuse and any default-launch switch require local dependency inspection and a focused implementation handoff. No switch is performed by bookkeeping. [D17B]</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required bridge</w:t>
      </w:r>
    </w:p>
    <w:p>
      <w:pPr/>
      <w:r>
        <w:t>Entry condition: repository/documentation close-out is verified complete. Deliver a playable wing containing several existing storage-capable shelves and a bounded assortment of real, pre-seeded catalogue items. Preserve accepted geometry; fit the fixture into valid Storage/Sorting space rather than redesigning rooms or populating departmental service spaces.</w:t>
      </w:r>
    </w:p>
    <w:p>
      <w:pPr/>
      <w:r>
        <w:t>Reuse existing ItemDefinition/ItemInstance/WorldItem, per-level StorageSurface profiles, carrying, held/HUD presentation, zoning, placement and support stacking. Shelf meshes alone are insufficient. Confirm registration, unique runtime identities, reservations, scale isolation, collision layers and world-context clearance. Repeated copies should support stacking tests; include varied eligible shapes/categories without treating the fixture as production starting stock.</w:t>
      </w:r>
    </w:p>
    <w:p>
      <w:pPr/>
      <w:r>
        <w:t>Preserve main.tscn and its tunnel/test-room contents and original regression purpose. A separate gameplay scene composed from the accepted geometry is the recommended implementation candidate; local preflight must confirm its bootstrap/dependency details. Keep the neutral review/capture scene separately runnable. Do not instance the old room and delete/hide its shell, or place functional nodes inside a generated subtree that regeneration overwrites.</w:t>
      </w:r>
    </w:p>
    <w:p>
      <w:pPr/>
      <w:r>
        <w:t>Human gate: pick up seeded items; observe carrying/selection and held/HUD feedback; zone untouched shelves; auto-store and hold-to-store; manually place/rotate; retrieve visible stack members and re-store; confirm disabled cells and physical headroom; reproduce the fixture without duplicate items. Technical tests plus this in-game gate establish readiness for Receiving, not requests, live piles or full-game saves.</w:t>
      </w:r>
    </w:p>
    <w:p>
      <w:pPr/>
      <w:r>
        <w:t>Promoting the new wing gameplay scene to normal project launch is a deliberate later switch after this bridge works. The old main remains independently runnable and is not deleted, stripped or merged into the new environment. Neither launch switching nor seeded-fixture implementation occurs in the bookkeeping phase.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shd w:fill="F6F8F9"/>
          </w:tcPr>
          <w:p>
            <w:pPr>
              <w:pStyle w:val="TableText"/>
              <w:keepNext w:val="0"/>
              <w:widowControl/>
            </w:pPr>
            <w:r>
              <w:rPr>
                <w:rFonts w:ascii="Lato" w:hAnsi="Lato"/>
                <w:b/>
                <w:color w:val="25323A"/>
                <w:sz w:val="18"/>
              </w:rPr>
              <w:t>Frozen piles remain readable and performant</w:t>
            </w:r>
          </w:p>
        </w:tc>
        <w:tc>
          <w:tcPr>
            <w:tcW w:type="dxa" w:w="6869"/>
            <w:vAlign w:val="top"/>
            <w:shd w:fill="F6F8F9"/>
          </w:tcPr>
          <w:p>
            <w:pPr>
              <w:pStyle w:val="TableText"/>
              <w:keepNext w:val="0"/>
              <w:widowControl/>
            </w:pPr>
            <w:r>
              <w:rPr>
                <w:rFonts w:ascii="Lato" w:hAnsi="Lato"/>
                <w:b w:val="0"/>
                <w:color w:val="25323A"/>
                <w:sz w:val="18"/>
              </w:rPr>
              <w:t>Hybrid isolated settling and deterministic fallback must prove full progressive drainability from the apron, stable reconstruction, readability and tolerable cost; Stage A data tests are not this evidence.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Architectural/material coherence</w:t>
            </w:r>
          </w:p>
        </w:tc>
        <w:tc>
          <w:tcPr>
            <w:tcW w:type="dxa" w:w="6869"/>
            <w:vAlign w:val="top"/>
          </w:tcPr>
          <w:p>
            <w:pPr>
              <w:pStyle w:val="TableText"/>
              <w:keepNext w:val="0"/>
              <w:widowControl/>
            </w:pPr>
            <w:r>
              <w:rPr>
                <w:rFonts w:ascii="Lato" w:hAnsi="Lato"/>
                <w:b w:val="0"/>
                <w:color w:val="25323A"/>
                <w:sz w:val="18"/>
              </w:rPr>
              <w:t>Independent human Structural Shell and Applied Finish approval. A technically passing Godot scene can still be visually NO-GO.</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shd w:fill="F6F8F9"/>
          </w:tcPr>
          <w:p>
            <w:pPr>
              <w:pStyle w:val="TableText"/>
              <w:keepNext w:val="0"/>
              <w:widowControl/>
            </w:pPr>
            <w:r>
              <w:rPr>
                <w:rFonts w:ascii="Lato" w:hAnsi="Lato"/>
                <w:b/>
                <w:color w:val="25323A"/>
                <w:sz w:val="18"/>
              </w:rPr>
              <w:t>Generated pile implementation</w:t>
            </w:r>
          </w:p>
        </w:tc>
        <w:tc>
          <w:tcPr>
            <w:tcW w:type="dxa" w:w="6869"/>
            <w:vAlign w:val="top"/>
            <w:shd w:fill="F6F8F9"/>
          </w:tcPr>
          <w:p>
            <w:pPr>
              <w:pStyle w:val="TableText"/>
              <w:keepNext w:val="0"/>
              <w:widowControl/>
            </w:pPr>
            <w:r>
              <w:rPr>
                <w:rFonts w:ascii="Lato" w:hAnsi="Lato"/>
                <w:b w:val="0"/>
                <w:color w:val="25323A"/>
                <w:sz w:val="18"/>
              </w:rPr>
              <w:t>Approved direction: isolated hybrid hidden settling, conservative drainability validation, bounded retries, deterministic fallback, replacement with WorldItems. Actual quality/performance still Validate.</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builder/saved geometry and final overview are the working spatial baseline. Future furniture, bay lining, actual item visibility/reach and request travel may motivate specific revisions; they do not reopen the completed greybox by default. Seeded storage integration is required before Receiving.</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keepNext w:val="0"/>
              <w:widowControl/>
            </w:pPr>
            <w:r>
              <w:rPr>
                <w:rFonts w:ascii="Lato" w:hAnsi="Lato"/>
                <w:b/>
                <w:color w:val="25323A"/>
                <w:sz w:val="18"/>
              </w:rPr>
              <w:t>Material-kit route</w:t>
            </w:r>
          </w:p>
        </w:tc>
        <w:tc>
          <w:tcPr>
            <w:tcW w:type="dxa" w:w="6869"/>
            <w:vAlign w:val="top"/>
          </w:tcPr>
          <w:p>
            <w:pPr>
              <w:pStyle w:val="TableText"/>
              <w:keepNext w:val="0"/>
              <w:widowControl/>
            </w:pPr>
            <w:r>
              <w:rPr>
                <w:rFonts w:ascii="Lato" w:hAnsi="Lato"/>
                <w:b w:val="0"/>
                <w:color w:val="25323A"/>
                <w:sz w:val="18"/>
              </w:rPr>
              <w:t>Ready PBR maps inspected; generated structural-kit pipeline and in-game finish quality still require proof. No subscription purchase implied.</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bl>
    <w:p>
      <w:pPr>
        <w:spacing w:after="60" w:before="0" w:line="40" w:lineRule="exact"/>
      </w:pPr>
      <w:r>
        <w:rPr>
          <w:sz w:val="4"/>
        </w:rPr>
      </w:r>
    </w:p>
    <w:p>
      <w:pPr>
        <w:pStyle w:val="Heading2"/>
        <w:widowControl/>
      </w:pPr>
      <w:r>
        <w:t>21.3 Current next artifacts and bounded follow-ups</w:t>
      </w:r>
    </w:p>
    <w:p>
      <w:pPr>
        <w:widowControl/>
      </w:pPr>
      <w:r>
        <w:t>Current documents are GDD v0.8, Prototype Findings v0.8 and Visual Direction v0.5. Greybox spatial approval is closed; the accepted in-engine layout is the working baseline. Finish verified repository/documentation synchronization before beginning seeded storage integration, and human-validate that bridge before physical Receiving.</w:t>
      </w:r>
    </w:p>
    <w:p>
      <w:pPr>
        <w:pStyle w:val="ListBullet"/>
        <w:widowControl/>
      </w:pPr>
      <w:r>
        <w:t>Persist the 17 September acceptance and current-status index, retain dated reports, install the current documents and readable extracts, and verify that local main and the intended GitHub main contain the accepted source after the authorized close-out. Stop for unsafe divergence or new test failures; do not force-push, reset user work or merge the rejected shell.</w:t>
      </w:r>
    </w:p>
    <w:p>
      <w:pPr>
        <w:pStyle w:val="ListBullet"/>
        <w:widowControl/>
      </w:pPr>
      <w:r>
        <w:t>Preflight the scene/gameplay bridge: inspect main.tscn, the review player, shelf installation and clearances, item registration, HUD and fixture-reset dependencies. Implement in a later focused task with several real shelves and a bounded deterministic seed set. Preserve the original room, accepted geometry, review harness and established mechanics; no new Receiving behaviour yet.</w:t>
      </w:r>
    </w:p>
    <w:p>
      <w:pPr>
        <w:pStyle w:val="ListBullet"/>
        <w:widowControl/>
      </w:pPr>
      <w:r>
        <w:t>Keep the small architectural/material construction proof as a separate later production gate. It must establish repeatable coherent surfaces and asset integration before detailed art expands across the wing. It is not a prerequisite for the seeded-storage fixture or neutral physical Receiving prototype; neither gameplay gate promotes production art.</w:t>
      </w:r>
    </w:p>
    <w:p>
      <w:pPr>
        <w:pStyle w:val="ListBullet"/>
        <w:widowControl/>
      </w:pPr>
      <w:r>
        <w:t>Reconcile loot_000015 texture/reimport/fingerprint drift through the established authoring workflow before clean catalogue-scale Receiving pile playtests. Preserve intended scale, pose, Footprint, support role and Auto Group unless evidence requires an explicit new decision.</w:t>
      </w:r>
    </w:p>
    <w:p>
      <w:pPr>
        <w:pStyle w:val="ListBullet"/>
        <w:widowControl/>
      </w:pPr>
      <w:r>
        <w:t>Later complete and human-validate the physical Stage B pile/presentation gate, then Stage C queue pressure and the first genuine timed obligation. Item-economy sheets, request/Outcome Profile matrices, simulation and full save/crash work remain separate later gates. This documentation revision neither implements nor promotes them.</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Separate human production-art approval of Structural Shell and Applied Finish. Neutral gameplay fixtures and seeded-storage tests do not require finished art and do not promote it.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animated shutter; TAKE-only; no live/dormant rigid-body loot.</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current geometry status and roadmap superseded by V05/P08.</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current visual/spatial and evidence records.</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Publication of the local wing remains a local close-out action, not performed here.</w:t>
            </w:r>
          </w:p>
        </w:tc>
      </w:tr>
    </w:tbl>
    <w:p>
      <w:pPr>
        <w:spacing w:after="60" w:before="0" w:line="40" w:lineRule="exact"/>
      </w:pPr>
      <w:r>
        <w:rPr>
          <w:sz w:val="4"/>
        </w:rPr>
      </w:r>
    </w:p>
    <w:p>
      <w:pPr>
        <w:widowControl/>
      </w:pPr>
      <w:r>
        <w:t>This revision consolidates accepted spatial evidence and the developer-required seeded-storage prerequisite. It changes current status, abandoned-route scope and sequencing, not item, request, treatment, expedition, stacking, zoning or save mechanics. No local merge/push, Godot run, scene migration or functional Receiving implementation is claimed by this document preparation. [W17, H17, A17, D17B, R17]</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v0.8  |  17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0.8</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v0.8</dc:title>
  <dc:subject>Greybox acceptance, documentation close-out, and seeded storage integration gate</dc:subject>
  <dc:creator>Sorting Apocalypse project</dc:creator>
  <cp:keywords>Sorting Apocalypse; v0.5; Godot; Receiving; Foundation Gate</cp:keywords>
  <dc:description>Updated from the supplied source document and explicit project decisions. No repository or Godot execution is claimed.</dc:description>
  <cp:lastModifiedBy/>
  <cp:revision>8</cp:revision>
  <dcterms:created xsi:type="dcterms:W3CDTF">2013-12-23T23:15:00Z</dcterms:created>
  <dcterms:modified xsi:type="dcterms:W3CDTF">2026-09-17T12:00:00Z</dcterms:modified>
  <cp:category/>
  <cp:version>0.7</cp:version>
</cp:coreProperties>
</file>