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0.13 | 11 October 2026</w:t>
      </w:r>
    </w:p>
    <w:p>
      <w:pPr>
        <w:pStyle w:val="CoverMeta"/>
        <w:widowControl/>
      </w:pPr>
      <w:r>
        <w:t>Living design | Storage, fixed ladder, Receiving Stage A/B and EAF1–EAF5 remain promoted. Receiving C1 is CLOSED / HUMAN-PROMOTED as the production environment/art milestone; Stage C gameplay remains future.</w:t>
      </w:r>
    </w:p>
    <w:p>
      <w:pPr>
        <w:pStyle w:val="CoverSummary"/>
        <w:widowControl/>
      </w:pPr>
      <w:r>
        <w:t>The developer has accepted Receiving collectively as a completed room: compact P05_C02 envelope, fixed lift/deck, infrastructure and furnishings, mapped collision, initial manual wear, passive CRT, decorative emergency-stop plaque and A30WS lighting/reflections. Minor room-art adjustments remain normal authoring and do not automatically reopen C1.</w:t>
      </w:r>
    </w:p>
    <w:p>
      <w:pPr>
        <w:pStyle w:val="CoverSummary"/>
        <w:widowControl/>
      </w:pPr>
      <w:r>
        <w:t>Companion authorities: Prototype Findings v0.13; Visual Design &amp; World-Building Direction v0.10. Earlier editions and the 12 September Receiving architecture remain historical sources where later accepted records supersede them.</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v0.13 authority and evidence boundary</w:t>
      </w:r>
    </w:p>
    <w:p>
      <w:pPr>
        <w:widowControl/>
      </w:pPr>
      <w:r>
        <w:t>This GDD remains the overall gameplay, design and scope authority. Prototype Findings v0.13 records implementation, technical verification and human acceptance. VDD v0.10 governs environment, world, spatial and material direction. Current accepted in-engine geometry and focused close-outs govern prototype dimensions; historical schematics and appendices retain dated evidence.</w:t>
      </w:r>
    </w:p>
    <w:p>
      <w:pPr>
        <w:widowControl/>
      </w:pPr>
      <w:r>
        <w:t>This status/roadmap-only revision records the developer’s 11 October C1 closure and separately published A30WS promotion. Gameplay rules, economics and design balances remain unchanged. C1 completion does not complete Receiving Stage C: physical delivery activation, queue pressure, shutter gating and theatre require a future separately approved slice. [R11]</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 / later work</w:t>
            </w:r>
          </w:p>
        </w:tc>
        <w:tc>
          <w:tcPr>
            <w:tcW w:type="dxa" w:w="6869"/>
            <w:vAlign w:val="top"/>
            <w:shd w:fill="F6F8F9"/>
          </w:tcPr>
          <w:p>
            <w:pPr>
              <w:pStyle w:val="TableText"/>
              <w:keepNext w:val="0"/>
              <w:widowControl/>
            </w:pPr>
            <w:r>
              <w:rPr>
                <w:rFonts w:ascii="Lato" w:hAnsi="Lato"/>
                <w:b w:val="0"/>
                <w:color w:val="25323A"/>
                <w:sz w:val="18"/>
              </w:rPr>
              <w:t>Outside the current prototype/milestone; may still be intended for the initial release. The relevant roadmap or section determines release status; this label alone does not exclude it from launch.</w:t>
            </w:r>
          </w:p>
        </w:tc>
      </w:tr>
      <w:tr>
        <w:trPr>
          <w:cantSplit/>
        </w:trPr>
        <w:tc>
          <w:tcPr>
            <w:tcW w:type="dxa" w:w="2995"/>
            <w:vAlign w:val="top"/>
          </w:tcPr>
          <w:p>
            <w:pPr>
              <w:pStyle w:val="TableText"/>
              <w:keepNext w:val="0"/>
              <w:widowControl/>
            </w:pPr>
            <w:r>
              <w:rPr>
                <w:rFonts w:ascii="Lato" w:hAnsi="Lato"/>
                <w:b/>
                <w:color w:val="25323A"/>
                <w:sz w:val="18"/>
              </w:rPr>
              <w:t>Beyond first release</w:t>
            </w:r>
          </w:p>
        </w:tc>
        <w:tc>
          <w:tcPr>
            <w:tcW w:type="dxa" w:w="6869"/>
            <w:vAlign w:val="top"/>
          </w:tcPr>
          <w:p>
            <w:pPr>
              <w:pStyle w:val="TableText"/>
              <w:keepNext w:val="0"/>
              <w:widowControl/>
            </w:pPr>
            <w:r>
              <w:rPr>
                <w:rFonts w:ascii="Lato" w:hAnsi="Lato"/>
                <w:b w:val="0"/>
                <w:color w:val="25323A"/>
                <w:sz w:val="18"/>
              </w:rPr>
              <w:t>Explicitly outside the initial-release target unless separately reconsidered.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tcPr>
          <w:p>
            <w:pPr>
              <w:pStyle w:val="TableText"/>
              <w:keepNext w:val="0"/>
              <w:widowControl/>
            </w:pPr>
            <w:r>
              <w:rPr>
                <w:rFonts w:ascii="Lato" w:hAnsi="Lato"/>
                <w:b/>
                <w:color w:val="25323A"/>
                <w:sz w:val="18"/>
              </w:rPr>
              <w:t>11.1</w:t>
            </w:r>
          </w:p>
        </w:tc>
        <w:tc>
          <w:tcPr>
            <w:tcW w:type="dxa" w:w="8136"/>
            <w:vAlign w:val="top"/>
          </w:tcPr>
          <w:p>
            <w:pPr>
              <w:pStyle w:val="TableText"/>
              <w:keepNext w:val="0"/>
              <w:widowControl/>
            </w:pPr>
            <w:r>
              <w:rPr>
                <w:rFonts w:ascii="Lato" w:hAnsi="Lato"/>
                <w:b w:val="0"/>
                <w:color w:val="25323A"/>
                <w:sz w:val="18"/>
              </w:rPr>
              <w:t>Spatial boundary and incoming sequence</w:t>
            </w:r>
          </w:p>
        </w:tc>
      </w:tr>
      <w:tr>
        <w:trPr>
          <w:cantSplit/>
        </w:trPr>
        <w:tc>
          <w:tcPr>
            <w:tcW w:type="dxa" w:w="1728"/>
            <w:vAlign w:val="top"/>
          </w:tcPr>
          <w:p>
            <w:pPr>
              <w:pStyle w:val="TableText"/>
              <w:keepNext w:val="0"/>
              <w:widowControl/>
            </w:pPr>
            <w:r>
              <w:rPr>
                <w:rFonts w:ascii="Lato" w:hAnsi="Lato"/>
                <w:b/>
                <w:color w:val="25323A"/>
                <w:sz w:val="18"/>
              </w:rPr>
              <w:t>11.2</w:t>
            </w:r>
          </w:p>
        </w:tc>
        <w:tc>
          <w:tcPr>
            <w:tcW w:type="dxa" w:w="8136"/>
            <w:vAlign w:val="top"/>
          </w:tcPr>
          <w:p>
            <w:pPr>
              <w:pStyle w:val="TableText"/>
              <w:keepNext w:val="0"/>
              <w:widowControl/>
            </w:pPr>
            <w:r>
              <w:rPr>
                <w:rFonts w:ascii="Lato" w:hAnsi="Lato"/>
                <w:b w:val="0"/>
                <w:color w:val="25323A"/>
                <w:sz w:val="18"/>
              </w:rPr>
              <w:t>Committed content, identity and preparation</w:t>
            </w:r>
          </w:p>
        </w:tc>
      </w:tr>
      <w:tr>
        <w:trPr>
          <w:cantSplit/>
        </w:trPr>
        <w:tc>
          <w:tcPr>
            <w:tcW w:type="dxa" w:w="1728"/>
            <w:vAlign w:val="top"/>
          </w:tcPr>
          <w:p>
            <w:pPr>
              <w:pStyle w:val="TableText"/>
              <w:keepNext w:val="0"/>
              <w:widowControl/>
            </w:pPr>
            <w:r>
              <w:rPr>
                <w:rFonts w:ascii="Lato" w:hAnsi="Lato"/>
                <w:b/>
                <w:color w:val="25323A"/>
                <w:sz w:val="18"/>
              </w:rPr>
              <w:t>11.3</w:t>
            </w:r>
          </w:p>
        </w:tc>
        <w:tc>
          <w:tcPr>
            <w:tcW w:type="dxa" w:w="8136"/>
            <w:vAlign w:val="top"/>
          </w:tcPr>
          <w:p>
            <w:pPr>
              <w:pStyle w:val="TableText"/>
              <w:keepNext w:val="0"/>
              <w:widowControl/>
            </w:pPr>
            <w:r>
              <w:rPr>
                <w:rFonts w:ascii="Lato" w:hAnsi="Lato"/>
                <w:b w:val="0"/>
                <w:color w:val="25323A"/>
                <w:sz w:val="18"/>
              </w:rPr>
              <w:t>Deterministic deck and freight-fixture presentation</w:t>
            </w:r>
          </w:p>
        </w:tc>
      </w:tr>
      <w:tr>
        <w:trPr>
          <w:cantSplit/>
        </w:trPr>
        <w:tc>
          <w:tcPr>
            <w:tcW w:type="dxa" w:w="1728"/>
            <w:vAlign w:val="top"/>
          </w:tcPr>
          <w:p>
            <w:pPr>
              <w:pStyle w:val="TableText"/>
              <w:keepNext w:val="0"/>
              <w:widowControl/>
            </w:pPr>
            <w:r>
              <w:rPr>
                <w:rFonts w:ascii="Lato" w:hAnsi="Lato"/>
                <w:b/>
                <w:color w:val="25323A"/>
                <w:sz w:val="18"/>
              </w:rPr>
              <w:t>11.4</w:t>
            </w:r>
          </w:p>
        </w:tc>
        <w:tc>
          <w:tcPr>
            <w:tcW w:type="dxa" w:w="8136"/>
            <w:vAlign w:val="top"/>
          </w:tcPr>
          <w:p>
            <w:pPr>
              <w:pStyle w:val="TableText"/>
              <w:keepNext w:val="0"/>
              <w:widowControl/>
            </w:pPr>
            <w:r>
              <w:rPr>
                <w:rFonts w:ascii="Lato" w:hAnsi="Lato"/>
                <w:b w:val="0"/>
                <w:color w:val="25323A"/>
                <w:sz w:val="18"/>
              </w:rPr>
              <w:t>Targeting, TAKE and presentation constraints</w:t>
            </w:r>
          </w:p>
        </w:tc>
      </w:tr>
      <w:tr>
        <w:trPr>
          <w:cantSplit/>
        </w:trPr>
        <w:tc>
          <w:tcPr>
            <w:tcW w:type="dxa" w:w="1728"/>
            <w:vAlign w:val="top"/>
          </w:tcPr>
          <w:p>
            <w:pPr>
              <w:pStyle w:val="TableText"/>
              <w:keepNext w:val="0"/>
              <w:widowControl/>
            </w:pPr>
            <w:r>
              <w:rPr>
                <w:rFonts w:ascii="Lato" w:hAnsi="Lato"/>
                <w:b/>
                <w:color w:val="25323A"/>
                <w:sz w:val="18"/>
              </w:rPr>
              <w:t>11.5</w:t>
            </w:r>
          </w:p>
        </w:tc>
        <w:tc>
          <w:tcPr>
            <w:tcW w:type="dxa" w:w="8136"/>
            <w:vAlign w:val="top"/>
          </w:tcPr>
          <w:p>
            <w:pPr>
              <w:pStyle w:val="TableText"/>
              <w:keepNext w:val="0"/>
              <w:widowControl/>
            </w:pPr>
            <w:r>
              <w:rPr>
                <w:rFonts w:ascii="Lato" w:hAnsi="Lato"/>
                <w:b w:val="0"/>
                <w:color w:val="25323A"/>
                <w:sz w:val="18"/>
              </w:rPr>
              <w:t>Deposited capacity and Awaiting Lift</w:t>
            </w:r>
          </w:p>
        </w:tc>
      </w:tr>
      <w:tr>
        <w:trPr>
          <w:cantSplit/>
        </w:trPr>
        <w:tc>
          <w:tcPr>
            <w:tcW w:type="dxa" w:w="1728"/>
            <w:vAlign w:val="top"/>
          </w:tcPr>
          <w:p>
            <w:pPr>
              <w:pStyle w:val="TableText"/>
              <w:keepNext w:val="0"/>
              <w:widowControl/>
            </w:pPr>
            <w:r>
              <w:rPr>
                <w:rFonts w:ascii="Lato" w:hAnsi="Lato"/>
                <w:b/>
                <w:color w:val="25323A"/>
                <w:sz w:val="18"/>
              </w:rPr>
              <w:t>11.6</w:t>
            </w:r>
          </w:p>
        </w:tc>
        <w:tc>
          <w:tcPr>
            <w:tcW w:type="dxa" w:w="8136"/>
            <w:vAlign w:val="top"/>
          </w:tcPr>
          <w:p>
            <w:pPr>
              <w:pStyle w:val="TableText"/>
              <w:keepNext w:val="0"/>
              <w:widowControl/>
            </w:pPr>
            <w:r>
              <w:rPr>
                <w:rFonts w:ascii="Lato" w:hAnsi="Lato"/>
                <w:b w:val="0"/>
                <w:color w:val="25323A"/>
                <w:sz w:val="18"/>
              </w:rPr>
              <w:t>Recovery and transactional TAKE</w:t>
            </w:r>
          </w:p>
        </w:tc>
      </w:tr>
      <w:tr>
        <w:trPr>
          <w:cantSplit/>
        </w:trPr>
        <w:tc>
          <w:tcPr>
            <w:tcW w:type="dxa" w:w="1728"/>
            <w:vAlign w:val="top"/>
          </w:tcPr>
          <w:p>
            <w:pPr>
              <w:pStyle w:val="TableText"/>
              <w:keepNext w:val="0"/>
              <w:widowControl/>
            </w:pPr>
            <w:r>
              <w:rPr>
                <w:rFonts w:ascii="Lato" w:hAnsi="Lato"/>
                <w:b/>
                <w:color w:val="25323A"/>
                <w:sz w:val="18"/>
              </w:rPr>
              <w:t>11.7</w:t>
            </w:r>
          </w:p>
        </w:tc>
        <w:tc>
          <w:tcPr>
            <w:tcW w:type="dxa" w:w="8136"/>
            <w:vAlign w:val="top"/>
          </w:tcPr>
          <w:p>
            <w:pPr>
              <w:pStyle w:val="TableText"/>
              <w:keepNext w:val="0"/>
              <w:widowControl/>
            </w:pPr>
            <w:r>
              <w:rPr>
                <w:rFonts w:ascii="Lato" w:hAnsi="Lato"/>
                <w:b w:val="0"/>
                <w:color w:val="25323A"/>
                <w:sz w:val="18"/>
              </w:rPr>
              <w:t>Future expedition precomputation</w:t>
            </w:r>
          </w:p>
        </w:tc>
      </w:tr>
      <w:tr>
        <w:trPr>
          <w:cantSplit/>
        </w:trPr>
        <w:tc>
          <w:tcPr>
            <w:tcW w:type="dxa" w:w="1728"/>
            <w:vAlign w:val="top"/>
          </w:tcPr>
          <w:p>
            <w:pPr>
              <w:pStyle w:val="TableText"/>
              <w:keepNext w:val="0"/>
              <w:widowControl/>
            </w:pPr>
            <w:r>
              <w:rPr>
                <w:rFonts w:ascii="Lato" w:hAnsi="Lato"/>
                <w:b/>
                <w:color w:val="25323A"/>
                <w:sz w:val="18"/>
              </w:rPr>
              <w:t>11.8</w:t>
            </w:r>
          </w:p>
        </w:tc>
        <w:tc>
          <w:tcPr>
            <w:tcW w:type="dxa" w:w="8136"/>
            <w:vAlign w:val="top"/>
          </w:tcPr>
          <w:p>
            <w:pPr>
              <w:pStyle w:val="TableText"/>
              <w:keepNext w:val="0"/>
              <w:widowControl/>
            </w:pPr>
            <w:r>
              <w:rPr>
                <w:rFonts w:ascii="Lato" w:hAnsi="Lato"/>
                <w:b w:val="0"/>
                <w:color w:val="25323A"/>
                <w:sz w:val="18"/>
              </w:rPr>
              <w:t>Stage C delivery, queue and theatre boundary</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r>
        <w:tc>
          <w:tcPr>
            <w:tcW w:type="dxa" w:w="1728"/>
          </w:tcPr>
          <w:p>
            <w:r>
              <w:t>Appendix D</w:t>
            </w:r>
          </w:p>
        </w:tc>
        <w:tc>
          <w:tcPr>
            <w:tcW w:type="dxa" w:w="8136"/>
          </w:tcPr>
          <w:p>
            <w:r>
              <w:t>v0.9 Storage Authoring Consolidation</w:t>
            </w:r>
          </w:p>
        </w:tc>
      </w:tr>
      <w:tr>
        <w:tc>
          <w:tcPr>
            <w:tcW w:type="dxa" w:w="1728"/>
            <w:vAlign w:val="center"/>
          </w:tcPr>
          <w:p>
            <w:r>
              <w:t>Appendix E</w:t>
            </w:r>
          </w:p>
        </w:tc>
        <w:tc>
          <w:tcPr>
            <w:tcW w:type="dxa" w:w="8136"/>
            <w:vAlign w:val="center"/>
          </w:tcPr>
          <w:p>
            <w:r>
              <w:t>v0.10 Storage Authoring, Orientation and Item-Pose Closure</w:t>
            </w:r>
          </w:p>
        </w:tc>
      </w:tr>
      <w:tr>
        <w:tc>
          <w:tcPr>
            <w:tcW w:type="dxa" w:w="1728"/>
            <w:vAlign w:val="center"/>
          </w:tcPr>
          <w:p>
            <w:r>
              <w:t>Appendix F</w:t>
            </w:r>
          </w:p>
        </w:tc>
        <w:tc>
          <w:tcPr>
            <w:tcW w:type="dxa" w:w="8136"/>
            <w:vAlign w:val="center"/>
          </w:tcPr>
          <w:p>
            <w:r>
              <w:t>v0.11 Ladder, Receiving Stage B, and Environment Authoring Closure</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r>
        <w:t>Risky systems should advance through bounded evidence gates. Validate spatial gameplay separately from environment art, and preserve accepted gameplay geometry when a visual-shell substitution is sufficient.</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delivery,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have accepted whole-wing geometry. Functional storage, the bounded fixed ladder and Wing ModularRack bridge, and the promoted Receiving Stage B deck and freight fixtures now coexist in the playable development composition. This is a spatial and gameplay baseline, not completion of Receiving Stage C or production furnishing. The accepted builder, saved geometry and overview govern dimensional work.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and durable item identities are committed upstream. Receiving arranges those exact items deterministically on private presentation surfaces and reveals ordinary WorldItems when the shutter is open. The permanent barrier controls player access; the shutter controls visibility and TAKE availability. Section 11 separates the promoted Stage B presentation from later Stage C choreography and queue theatre.</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ordinary freight at a dedicated safe marker rather than within the cargo arrangement.</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the working dimensional authority, subordinate to later explicit decisions. Detailed Topology V3 and Basic Structural Schematic V2 remain unchanged historical intent references; do not revert approved in-engine refinements to match their pixels. VDD v0.10 is the current visual and spatial companion. Earlier Visual Direction v0.5 recorded service spaces, Kitchen-from-B routing, Medical alignment and abandoned-stub deferral at its checkpoint. [V05, V08,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r>
        <w:t>Future save/load must persist each committed item's placed orientation state. Loading must restore that state and must not recompute item orientation from the storage unit's current Front. Any later four-way display rotation must also be saved explicitly.</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center"/>
          </w:tcPr>
          <w:p>
            <w:r>
              <w:t>Storage Footprint</w:t>
            </w:r>
          </w:p>
        </w:tc>
        <w:tc>
          <w:tcPr>
            <w:tcW w:type="dxa" w:w="6869"/>
            <w:vAlign w:val="center"/>
          </w:tcPr>
          <w:p>
            <w:r>
              <w:t>Item-authored canonical width/depth occupancy for the approved +Z-front pose. The physical reservation follows storage-unit orientation plus the separate packing turn. It remains separate from Bulk and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r>
        <w:trPr>
          <w:cantSplit/>
        </w:trPr>
        <w:tc>
          <w:tcPr>
            <w:tcW w:type="dxa" w:w="2995"/>
            <w:vAlign w:val="center"/>
            <w:shd w:fill="F6F8F9"/>
          </w:tcPr>
          <w:p>
            <w:r>
              <w:t>Canonical Storage Pose</w:t>
            </w:r>
          </w:p>
        </w:tc>
        <w:tc>
          <w:tcPr>
            <w:tcW w:type="dxa" w:w="6869"/>
            <w:vAlign w:val="center"/>
            <w:shd w:fill="F6F8F9"/>
          </w:tcPr>
          <w:p>
            <w:r>
              <w:t>Full pitch/yaw/roll correction stored on ItemDefinition. In the canonical stance the intended item Front faces +Z; runtime aligns that pose to unit Front before applying optional 90-degree packing.</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p>
      <w:pPr/>
      <w:r>
        <w:t>Every storage unit owns one semantic Front/Right/Back/Left state shared by all of its surfaces. State 0 is Front +Z, Back -Z, Right +X and Left -X; states 1-3 quarter-turn that basis. The physical grid remains authoritative and unrotated. New canonical placements align item Front to unit Front, while packing_rotated adds one separate +90-degree turn.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Deterministic TAKE-only cargo on private presentation surfaces with ordinary WorldItems and functional Receiving crates/pallets. No PUT, zoning, labels or manual placement; exact committed content must drain from the apron.</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final physical Footprint of the item directly below it after unit orientation and the optional packing turn are combined. Stack dimensions therefore do not widen upward unless automatic base promotion first installs a larger compatible new base.</w:t>
      </w:r>
    </w:p>
    <w:p>
      <w:pPr>
        <w:pStyle w:val="ListBullet"/>
        <w:widowControl/>
      </w:pPr>
      <w:r>
        <w:t>Automatic placement is stack-first within each valid zone tier. It tries canonical/front-facing placement first and the packing alternative second. It may smart-insert a compatible item at the highest valid position and may automatically promote a larger compatible incoming item to the base if the expanded reservation remains valid. Existing members keep their relative order and their committed placed orientation.</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pPr>
      <w:r>
        <w:t>Reusable ModularRack is a shelf-empty authoring scaffold. The developer adds, duplicates, moves or deletes parent-scene-local shelf wrappers under its editable Levels container; one root controller derives dimensions, insets, collision, preview and runtime surfaces. The current three-level starter is a review reference, not a universal storage standard.</w:t>
      </w:r>
    </w:p>
    <w:p>
      <w:pPr>
        <w:pStyle w:val="ListBullet"/>
      </w:pPr>
      <w:r>
        <w:t>The developer owns physical installation authoring: model, placement, dimensions, level count/distribution, unit Front and ladder availability/placement. The player owns zones, labels and day-to-day organization. No player-facing free-build follows from the authoring workflow.</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pStyle w:val="ListBullet"/>
      </w:pPr>
      <w:r>
        <w:t>The zoning editor always presents a surface from its authored unit Front: Back is at the top, Front at the bottom, and the semantic aspect rotates with the unit state. Player viewpoint does not alter the view.</w:t>
      </w:r>
    </w:p>
    <w:p>
      <w:pPr>
        <w:pStyle w:val="ListBullet"/>
      </w:pPr>
      <w:r>
        <w:t>Semantic paint maps to the existing physical cell array. F6 and the physical grid remain diagnostics of physical truth. Changing orientation metadata reinterprets existing zone cells; it does not migrate, rotate or reorder them.</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pPr>
      <w:r>
        <w:t>Default new storage placement should present an item's human-authored canonical Front toward the storage unit's Front. A 90-degree packing choice may intentionally turn that presentation sideways.</w:t>
      </w:r>
    </w:p>
    <w:p>
      <w:pPr>
        <w:pStyle w:val="ListBullet"/>
      </w:pPr>
      <w:r>
        <w:t>A committed item's orientation is stable. Later changes to shelf Front affect new placements only; they do not rotate stored items already in place.</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deterministic Receiving delivery supports legible choice among exposed items. Every committed item must become reachable through normal progressive TAKE from the apron.</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Ordinary ground-access storage must keep intended contents visible, targetable and retrievable from supported standing approaches without a ladder. Fixed ladders are a promoted authored access option for selected taller installations, including the real-wing ModularRack bridge. They are installation-specific infrastructure, not universal coverage or a general movement system. No general climbing, jumping, mantling, movable/sliding ladders, shelf-top traversal or broad fall-system expansion follows from this decision. Crouch remains separate deferred work. Final furniture depth, openings, level count and usable-area insets are tested with actual catalogue items and installation geometry rather than treated as universal percentages.</w:t>
      </w:r>
    </w:p>
    <w:p>
      <w:pPr/>
      <w:r>
        <w:t>Functional storage authoring may reuse one furniture grammar across installations, but each instance retains its own dimensions, edge insets, level distribution and semantic Front. Mesh appearance must not be used to infer Front, and no per-item shelf-family rotation hack may compensate for installation authoring.</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committed cargo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Receiving is TAKE-only; its private presentation surfaces are not player storage.</w:t>
      </w:r>
    </w:p>
    <w:p>
      <w:pPr>
        <w:widowControl/>
      </w:pPr>
      <w:r>
        <w:t>The deck and bay walls remain static. The intended arrival sequence uses warning, sound, lock and shutter cues to imply unseen travel. Promoted Stage B presents exact committed items behind the barrier. Closed/revealing pickup gating is a future contract: the current collisionless shutter visual does not enforce it. The state table below describes intended Stage C choreography, not completed shutter or queue theatre.</w:t>
      </w:r>
    </w:p>
    <w:p>
      <w:pPr>
        <w:widowControl/>
      </w:pPr>
      <w:r>
        <w:t>Current compact room: Receiving nominal 8.00 × 7.50 m / 60 m² (clear 7.70 × 7.20 m), floor Y 0, height 4.20 m and structure 0.30 m. Dispatch is 6.50 × 3.50 m (clear approximately 6.20 × 3.20 m), with a 2.40 m doorway. The centred Backlog opening is 2.84 × 3.40 m at X −28.50; its threshold geometry and circulation are resolved, while walking-surface material awaits the corridor floor choice. Dispatch furnishing remains provisional. [R10: compact retrofit]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Presenter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no interactive cargo.</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Intended warning and arrival cues; final theatre remains Stage C work.</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Committed WorldItems staged behind the closed shutter; TAKE disabled.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Shutter opens; pickup still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Ordinary WorldItem targeting and TAKE enabled for the active batch.</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After final TAKE, pickup is disabled and the delivery closes; final timing is Stage C work.</w:t>
            </w:r>
          </w:p>
        </w:tc>
      </w:tr>
    </w:tbl>
    <w:p>
      <w:pPr>
        <w:spacing w:after="60" w:before="0" w:line="40" w:lineRule="exact"/>
      </w:pPr>
      <w:r>
        <w:rPr>
          <w:sz w:val="4"/>
        </w:rPr>
      </w:r>
    </w:p>
    <w:p>
      <w:pPr>
        <w:widowControl/>
      </w:pPr>
      <w:r>
        <w:t>The design closes a drained active batch before FIFO promotion; ReceivingManager owns deposited occupancy and lifecycle, while the presenter owns cargo display. Stage A data/lifecycle and Stage B one-batch presentation are existing foundations. Arrival/reveal phases and physical queue pressure remain future Stage C integration. Neither owner controls upstream loot policy. [R12 §§8–10, 17–18; R10]</w:t>
      </w:r>
    </w:p>
    <w:p>
      <w:pPr>
        <w:pStyle w:val="Heading2"/>
        <w:widowControl/>
      </w:pPr>
      <w:r>
        <w:t>11.2 Committed content, identity and preparation</w:t>
      </w:r>
    </w:p>
    <w:p>
      <w:pPr>
        <w:widowControl/>
      </w:pPr>
      <w:r>
        <w:t>Expedition or another upstream source owns the exact committed loot outcome. LootBatch preserves a durable identity for each ItemInstance and the committed content independently of deposit position. Receiving may arrange and present that content, but it may not add filler, omit awkward items, replace entries, reroll an inconvenient result or bias the expedition outcome.</w:t>
      </w:r>
    </w:p>
    <w:p>
      <w:pPr>
        <w:widowControl/>
      </w:pPr>
      <w:r>
        <w:t>A repeated prototype content seed can reproduce an ordered definition selection without reusing unique batch or item identities. Reconstruction of an existing commitment preserves its identities. Presentation changes do not mint replacement items.</w:t>
      </w:r>
    </w:p>
    <w:p>
      <w:pPr>
        <w:widowControl/>
      </w:pPr>
      <w:r>
        <w:t>ItemDefinition remains gameplay truth. Fuel is eligible in the current approved prototype pool; Gloves and Pants remain excluded pending separate content work. Prototype generation is evidence, not final expedition loot balance.</w:t>
      </w:r>
    </w:p>
    <w:p>
      <w:pPr>
        <w:pStyle w:val="Heading2"/>
        <w:widowControl/>
      </w:pPr>
      <w:r>
        <w:t>11.3 Deterministic deck and freight-fixture presentation</w:t>
      </w:r>
    </w:p>
    <w:p>
      <w:pPr>
        <w:pStyle w:val="Callout"/>
        <w:keepLines/>
        <w:shd w:fill="F0F4F5"/>
        <w:ind w:left="140" w:right="140"/>
      </w:pPr>
      <w:r>
        <w:rPr>
          <w:b/>
          <w:color w:val="96712D"/>
        </w:rPr>
        <w:t xml:space="preserve">PROMOTED STAGE B  </w:t>
      </w:r>
      <w:r>
        <w:t>The current presentation uses a deterministic TAKE-only cargo arrangement on private Receiving surfaces. Ordinary WorldItems preserve exact committed ItemInstance identity. Legal TAKE and StorageStack behavior applies where the presentation uses stacks; no hidden rigid-body settle or irregular frozen pile is part of the active design.</w:t>
      </w:r>
    </w:p>
    <w:p>
      <w:pPr>
        <w:widowControl/>
      </w:pPr>
      <w:r>
        <w:t>The freight composition places crates toward the player-facing FRONT, pallets toward the REAR, and useful loose MainDeck cargo between. No enabled fixture begins empty. A fixture emptied by TAKE may remain visibly present until the delivery closes. Fixtures present freight; they are not player storage.</w:t>
      </w:r>
    </w:p>
    <w:p>
      <w:pPr>
        <w:widowControl/>
      </w:pPr>
      <w:r>
        <w:t>Private Receiving surfaces expose no PUT, zoning, labels, manual placement, visible storage grid or ordinary functional-storage registration. The promoted MainDeck is 3.30 × 2.00 m / 33 × 20 cells at 0.10 m, on approximately 3.441 × 2.100 m support, with 0.0705 m side and approximately 0.05 m front/rear margins. Receiving fixture TAKE reach remains 3.4 m; loose reach 1.4 m and ordinary storage/manual reach 2.3 m remain separate. These are prototype values, not fixed shipped dimensions or loot-balance changes. [R10: 1 October lift/deck close-out]</w:t>
      </w:r>
    </w:p>
    <w:p>
      <w:pPr>
        <w:pStyle w:val="Heading2"/>
        <w:widowControl/>
      </w:pPr>
      <w:r>
        <w:t>11.4 Targeting, TAKE and presentation constraints</w:t>
      </w:r>
    </w:p>
    <w:p>
      <w:pPr>
        <w:pStyle w:val="ListBullet"/>
        <w:widowControl/>
      </w:pPr>
      <w:r>
        <w:t>Intended Stage C contract: OPEN enables ordinary WorldItem targeting and TAKE; closed/revealing phases disable pickup. Current shutter gating remains deferred.</w:t>
      </w:r>
    </w:p>
    <w:p>
      <w:pPr>
        <w:pStyle w:val="ListBullet"/>
        <w:widowControl/>
      </w:pPr>
      <w:r>
        <w:t>Every committed item must become reachable and drainable through progressive normal TAKE from apron-side player positions; the player never enters the freight bay.</w:t>
      </w:r>
    </w:p>
    <w:p>
      <w:pPr>
        <w:pStyle w:val="ListBullet"/>
        <w:widowControl/>
      </w:pPr>
      <w:r>
        <w:t>Receiving-specific fixture reach may differ from ordinary loose and storage reach without changing those ordinary interactions.</w:t>
      </w:r>
    </w:p>
    <w:p>
      <w:pPr>
        <w:pStyle w:val="ListBullet"/>
        <w:widowControl/>
      </w:pPr>
      <w:r>
        <w:t>Remaining cargo does not physics-resettle after TAKE. On fixture stacks, ordinary legal removal, base promotion and compression may apply.</w:t>
      </w:r>
    </w:p>
    <w:p>
      <w:pPr>
        <w:pStyle w:val="ListBullet"/>
        <w:widowControl/>
      </w:pPr>
      <w:r>
        <w:t>Presentation failure must preserve the exact committed content and identity; it is never permission to drop or reroll an item.</w:t>
      </w:r>
    </w:p>
    <w:p>
      <w:pPr>
        <w:widowControl/>
      </w:pPr>
      <w:r>
        <w:t>The hidden-settle and irregular frozen-pile experiment remains completed research and human-rejected for production. Prototype Findings v0.13 preserves its evidence; no support-graph rescue is approved.</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Deposited active batch, including arrival/reveal/closing lifecycle; only one delivery can be presented at a time.</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Backend commitments are not Receiving occupancy or player-accessible storage.</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Returned team state until midnight</w:t>
            </w:r>
          </w:p>
        </w:tc>
        <w:tc>
          <w:tcPr>
            <w:tcW w:type="dxa" w:w="6048"/>
            <w:vAlign w:val="top"/>
            <w:shd w:fill="F6F8F9"/>
          </w:tcPr>
          <w:p>
            <w:pPr>
              <w:pStyle w:val="TableText"/>
              <w:keepNext w:val="0"/>
              <w:widowControl/>
            </w:pPr>
            <w:r>
              <w:rPr>
                <w:rFonts w:ascii="Lato" w:hAnsi="Lato"/>
                <w:b w:val="0"/>
                <w:color w:val="25323A"/>
                <w:sz w:val="18"/>
              </w:rPr>
              <w:t>Deposit is blocked while active + two queued slots are occupied.</w:t>
            </w:r>
          </w:p>
        </w:tc>
      </w:tr>
    </w:tbl>
    <w:p>
      <w:pPr>
        <w:spacing w:after="60" w:before="0" w:line="40" w:lineRule="exact"/>
      </w:pPr>
      <w:r>
        <w:rPr>
          <w:sz w:val="4"/>
        </w:rPr>
      </w:r>
    </w:p>
    <w:p>
      <w:pPr>
        <w:widowControl/>
      </w:pPr>
      <w:r>
        <w:t>A valid PREPARED batch becomes active if that slot is empty, otherwise joins the queue if capacity exists. A fourth deposit fails without mutation. Empty fresh batches and already-drained deposits are rejected, avoiding unusable occupancy. The active slot is released after closing acknowledgement, not merely at the instant the last item leaves.</w:t>
      </w:r>
    </w:p>
    <w:p>
      <w:pPr>
        <w:widowControl/>
      </w:pPr>
      <w:r>
        <w:t>Retain the intended oldest-Awaiting-Lift admission and midnight forfeiture gameplay. A team still awaiting deposit at midnight loses its haul and returns through the existing population logic; its loadout/opportunity is spent. Its committed content may already exist backend-side: forfeiture makes it unavailable for later deposit rather than requiring that it was never generated.</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presentation commitment, recovery preserves exact committed content and identities. Once a deterministic presentation is committed, reconstruction must restore its accepted arrangement and remaining-entry ownership. Incompatible profile data fails closed pending an explicit migration or allowed unrevealed re-preparation; a revealed delivery is never rerolled.</w:t>
      </w:r>
    </w:p>
    <w:p>
      <w:pPr>
        <w:widowControl/>
      </w:pPr>
      <w:r>
        <w:t>TAKE transfers the exact existing ItemInstance into the carried bundle and releases its active-batch entry as one ownership transaction. Failure leaves or restores prior ownership; duplicate or stale interaction cannot duplicate or lose the item. Final TAKE drains the active delivery, followed by proper close, retirement and queued promotion. These are design contracts, not a claim that full durable save, journal or crash recovery has shipped. [R12 §§6, 18, 20]</w:t>
      </w:r>
    </w:p>
    <w:p>
      <w:pPr>
        <w:pStyle w:val="Heading2"/>
        <w:widowControl/>
      </w:pPr>
      <w:r>
        <w:t>11.7 Future expedition precomputation</w:t>
      </w:r>
    </w:p>
    <w:p>
      <w:pPr>
        <w:widowControl/>
      </w:pPr>
      <w:r>
        <w:t>Once an expedition outcome is committed and no longer player-influenceable, final content and its presentation may be prepared at any convenient time before its return. This is an optional performance route, not a new gameplay rule or implemented expedition feature. Preparation must not consume deposit slots, reveal information early, change return timing or otherwise spill backend optimization into gameplay. [R12 §26]</w:t>
      </w:r>
    </w:p>
    <w:p>
      <w:pPr>
        <w:pStyle w:val="Heading2"/>
        <w:widowControl/>
      </w:pPr>
      <w:r>
        <w:t>11.8 Stage C delivery, queue and theatre boundary</w:t>
      </w:r>
    </w:p>
    <w:p>
      <w:pPr>
        <w:widowControl/>
      </w:pPr>
      <w:r>
        <w:t>Stage A exact committed-content, identity and deposited lifecycle and Stage B deterministic TAKE-only deck/freight presentation remain promoted. Receiving C1 is CLOSED / HUMAN-PROMOTED as the production environment/art milestone. Stage C is the next distinct Receiving gameplay slice when separately authorized: physical delivery activation, one-active/two-queued physical pressure, arrival/backpressure/close-promote feedback, shutter pickup gating, settled-shutter reflection refresh, warning/light/audio theatre and real lift/queue screen data remain future. C1 closure does not ship Stage C. [R11]</w:t>
      </w:r>
    </w:p>
    <w:p>
      <w:pPr>
        <w:widowControl/>
      </w:pPr>
      <w:r>
        <w:t>The accepted room baseline includes two warm apron fixtures and two warm-neutral cage task strips, manual furnishings with mapped movement-only collision, and a passive curved 704 × 400 green CRT showing static IDLE/CLEAR/00. Its independent EMERGENCY STOP plaque is visual signage, not a control. Initial manual wear is accepted/merged. Screen data and final UI requirements remain future; minor room-art adjustment is ordinary authoring and does not automatically reopen completed C1. [R10; R11]</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lock and shutter sounds create anticipation and imply unseen freight movement.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VDD v0.10 governs environment, world, spatial and material direction. Preserve low-complexity realism, readable silhouettes and layered survivor adaptation.</w:t>
      </w:r>
    </w:p>
    <w:p>
      <w:pPr>
        <w:pStyle w:val="ListBullet"/>
        <w:widowControl/>
      </w:pPr>
      <w:r>
        <w:t>The building envelope remains mineral and structurally legible. UV mapping is the default; coherent exposed structure may need no applied finish. Receiving now uses P05_C02. Earlier EAF5 P01_C02/P05_C03 proof selections remain historical room-role evidence. VDD v0.10 owns material and wear grammar.</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contextual wear, localized moisture, sparse legacy signage, quiet surfaces and restrained dry humor. Serious abandonment is confined to peripheral dead spaces; occupied areas remain dependable.</w:t>
      </w:r>
    </w:p>
    <w:p>
      <w:pPr>
        <w:widowControl/>
      </w:pPr>
      <w:r>
        <w:t>Structural Shell and coherent structural surface/material composition are separate human production-art gates; applied finish is optional. Lighting and later dressing cannot rescue weak architecture or materials. Neutral spatial gameplay validation remains separate from art validation, and the accepted wing geometry remains the spatial authority for Receiving C1. [VDD v0.10]</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 and testing. Godot 4.7 is the reported development baseline for this evidence window; each task verifies the installed executable and branch state. Future architect and Codex sessions begin with docs/AI_WORKING_GUIDELINES.md, docs/CURRENT_STATE.md and docs/CODEX_BOOTSTRAP.md, then consult the current master documents and only the records relevant to the active gate.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deterministic arrangement are committed separately. Private TAKE-only surfaces present ordinary WorldItems and may use legal StorageStack behavior. The rejected irregular frozen-pile route is historical research, not a runtime production dependency.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r>
        <w:t>The retained canonical workbench is res://gameplay/dev/item_storage_pose/item_storage_pose_authoring.tscn. It edits actual ItemDefinition pose metadata, exposes authored and suggested canonical Footprints plus warning and packing-preview states, and writes a suggestion only through an explicit action that preserves Footprint z and pose. All 40 eligible definitions have been human-reviewed: 21 default and 19 custom pose approvals; 27 geometry and 13 deliberate override Footprint approvals. Gloves and Pants remain blocked.</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r>
        <w:t>Placed-item records must preserve the orientation chosen at commit time. Load reconstruction must restore each placed item's saved orientation and never derive it again from the current shelf Front. Optional future 0/90/180/270 display rotation expands the saved placement state rather than the ItemDefinition's canonical pose.</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Metric structural walls, slabs, ceilings, beams, pillars and openings now have a promoted reusable authoring route.</w:t>
      </w:r>
    </w:p>
    <w:p>
      <w:pPr>
        <w:pStyle w:val="ListBullet"/>
        <w:widowControl/>
      </w:pPr>
      <w:r>
        <w:t>EAF1–EAF5 remain promoted in their scopes: standardized lookdev, metric structural authoring, curated PBR review, wear authoring and the isolated Receiving proof. EAF4 live editor authoring is completed/human-accepted: eleven conventional presets and sixteen approved scalar patterns. Source/use approval remains distinct from room-placement acceptance. [R10]</w:t>
      </w:r>
    </w:p>
    <w:p>
      <w:pPr>
        <w:pStyle w:val="ListBullet"/>
        <w:widowControl/>
      </w:pPr>
      <w:r>
        <w:t>UV mapping and physical material scale are the environment default. Review material suitability on standardized geometry and in context. Lighting cannot rescue a weak material composition.</w:t>
      </w:r>
    </w:p>
    <w:p>
      <w:pPr>
        <w:pStyle w:val="ListBullet"/>
        <w:widowControl/>
      </w:pPr>
      <w:r>
        <w:t>C1 is CLOSED / HUMAN-PROMOTED as the completed Receiving production environment/art milestone, preserving spatial/gameplay ownership. The isolated EAF5 proof remains historical specification/evidence. Later minor room-art changes do not automatically reopen C1 or completed EAF4 tooling. [R11]</w:t>
      </w:r>
    </w:p>
    <w:p>
      <w:pPr>
        <w:widowControl/>
      </w:pPr>
      <w:r>
        <w:t>Normal EAF4 room authoring uses live independent preset/scalar root controls, duplication and safe save/reopen without launching gameplay. Sixteen scalar patterns sample exactly eleven opacity.red and five roughness.red maps. Approved uses are flat tinted-opacity layers and modulation of only the two established soft Leakage overlays; grayscale is diagnostic and roughness.red is a repurposed scalar pattern. Neither workflow edits base material or establishes true substrate roughness/normal changes. [R10]</w:t>
      </w:r>
    </w:p>
    <w:p>
      <w:pPr>
        <w:pStyle w:val="Heading2"/>
        <w:widowControl/>
      </w:pPr>
      <w:r>
        <w:t>18.7 Foundation Gate and evidence-driven production</w:t>
      </w:r>
    </w:p>
    <w:p>
      <w:pPr>
        <w:widowControl/>
      </w:pPr>
      <w:r>
        <w:t>The representative storage/content gate and EAF1–EAF5 remain promoted foundations. The Foundation Gate remains the review protocol for each space. The developer has accepted Receiving collectively through its structural/material, lighting/reflection, furnishing/collision and initial wear slices, closing C1 on 11 October. [VDD v0.10; R11]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Structural surface/material composition</w:t>
            </w:r>
          </w:p>
        </w:tc>
        <w:tc>
          <w:tcPr>
            <w:tcW w:type="dxa" w:w="4896"/>
            <w:vAlign w:val="top"/>
            <w:shd w:fill="F6F8F9"/>
          </w:tcPr>
          <w:p>
            <w:pPr>
              <w:pStyle w:val="TableText"/>
              <w:keepNext w:val="0"/>
              <w:widowControl/>
            </w:pPr>
            <w:r>
              <w:rPr>
                <w:rFonts w:ascii="Lato" w:hAnsi="Lato"/>
                <w:b w:val="0"/>
                <w:color w:val="25323A"/>
                <w:sz w:val="18"/>
              </w:rPr>
              <w:t>Coherent structural materials at credible physical scale under useful review light, with applied finish only when the room calls for it. Receiving's accepted base uses no applied finish.</w:t>
            </w:r>
          </w:p>
        </w:tc>
        <w:tc>
          <w:tcPr>
            <w:tcW w:type="dxa" w:w="2880"/>
            <w:vAlign w:val="top"/>
            <w:shd w:fill="F6F8F9"/>
          </w:tcPr>
          <w:p>
            <w:pPr>
              <w:pStyle w:val="TableText"/>
              <w:keepNext w:val="0"/>
              <w:widowControl/>
            </w:pPr>
            <w:r>
              <w:rPr>
                <w:rFonts w:ascii="Lato" w:hAnsi="Lato"/>
                <w:b w:val="0"/>
                <w:color w:val="25323A"/>
                <w:sz w:val="18"/>
              </w:rPr>
              <w:t>Lighting that hides weak material scale or composition, or a paint/plaster/tile layer added only to satisfy a checklist.</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services and functional lighting; occupation and furniture; contextual wear and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asset-led Receiving shell remains historically rejected and C1A stays parked/unpromoted. Receiving C1 is now CLOSED / HUMAN-PROMOTED in its bounded production environment/art scope. Dispatch final furnishing and Receiving–Backlog sill walking-surface material are non-blocking adjacent follow-ups; later minor art changes do not automatically reopen C1. [R11]</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interaction/content prototype is complete in its promoted representative scope. The accepted wing supplies functional storage and the saved editor-authored palette. Fixed ladders are promoted for selected taller installations; the Gallery B rack/ladder bridge is the promoted real-wing Stage B storage-destination baseline. Receiving Stage B's deterministic deck and functional freight fixtures are promoted, while the irregular frozen pile is rejected. EAF1–EAF5 are promoted and EAF5 closed. None of this establishes the broader Systems MVP; timed obligations, economy and full save/journal work remain later.</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One visible elevator batch, two queued batches, Awaiting Lift state, and midnight loot forfeit.</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Receiving C1 is completed. The next eligible planned Receiving gameplay gate is separately scoped Stage C, subject to future design/implementation approval; the first timed obligation and broader Systems MVP follow the existing roadmap when the Receiving gate permits. This documentation revision starts none of those implementations. [R11]</w:t>
      </w:r>
    </w:p>
    <w:p>
      <w:pPr/>
      <w:r>
        <w:t>The continuing wing, compact accepted geometry, normal project entry, editor-authored palette and promoted storage foundation remain baseline. GDD v0.13, Findings v0.13 and VDD v0.10 are current masters. Preserve dated evidence and ignored licensed asset/import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technically verified and human-promoted in Stage A scope. Full durable save/journal integration remains future.</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Deterministic TAKE-only deck, ordinary WorldItems on private Receiving surfaces, functional crates and pallets, exact committed content and progressive apron-side drainability. Production art and Stage C theatre remain separate.</w:t>
            </w:r>
          </w:p>
        </w:tc>
        <w:tc>
          <w:tcPr>
            <w:tcW w:type="dxa" w:w="2664"/>
            <w:vAlign w:val="top"/>
            <w:shd w:fill="F6F8F9"/>
          </w:tcPr>
          <w:p>
            <w:r>
              <w:rPr>
                <w:sz w:val="18"/>
              </w:rPr>
              <w:t>Implemented, technically verified and human-promoted in tested Stage B scope. Irregular frozen piles were human-rejected for production. Current authored dimensions and reach are prototype values.</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Three deposited slots, FIFO close/promote, rejected fourth deposit and arrival/backpressure feedback; the data foundation exists. Physical queue pressure, activation and theatre remain a separate future Stage C slice after completed C1.</w:t>
            </w:r>
          </w:p>
        </w:tc>
        <w:tc>
          <w:tcPr>
            <w:tcW w:type="dxa" w:w="2664"/>
            <w:vAlign w:val="top"/>
          </w:tcPr>
          <w:p>
            <w:pPr>
              <w:pStyle w:val="TableText"/>
              <w:keepNext w:val="0"/>
              <w:widowControl/>
            </w:pPr>
            <w:r>
              <w:rPr>
                <w:rFonts w:ascii="Lato" w:hAnsi="Lato"/>
                <w:b w:val="0"/>
                <w:color w:val="25323A"/>
                <w:sz w:val="18"/>
              </w:rPr>
              <w:t>FUTURE / NOT IMPLEMENTED in physical Stage C scope; next eligible Receiving gameplay gate when separately authorized. C1 production environment/art is CLOSED / HUMAN-PROMOTED.</w:t>
            </w:r>
          </w:p>
        </w:tc>
      </w:tr>
    </w:tbl>
    <w:p>
      <w:pPr>
        <w:spacing w:after="60" w:before="0" w:line="40" w:lineRule="exact"/>
      </w:pPr>
      <w:r>
        <w:rPr>
          <w:sz w:val="4"/>
        </w:rPr>
      </w:r>
    </w:p>
    <w:p>
      <w:pPr>
        <w:widowControl/>
      </w:pPr>
      <w:r>
        <w:t>Storage authoring, canonical item pose, orientation/zoning, fixed ladder, rack/ladder bridge, Receiving Stage A/B and EAF1–EAF5 remain promoted. C1 is CLOSED / HUMAN-PROMOTED; C1A stays parked. Minor wear, furnishing and lighting adjustments remain ordinary scene authoring and do not automatically reopen C1.</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completed bridge</w:t>
      </w:r>
    </w:p>
    <w:p>
      <w:pPr/>
      <w:r>
        <w:t>The completed bridge provides a playable continuing wing with existing storage-capable shelves and a bounded editor-authored assortment of real catalogue items. It preserves the accepted geometry and keeps the functional setup within valid Storage and Sorting space rather than redesigning rooms or populating departmental service spaces.</w:t>
      </w:r>
    </w:p>
    <w:p>
      <w:pPr/>
      <w:r>
        <w:t>The continuing scene reuses ItemDefinition, ItemInstance, WorldItem, per-level StorageSurface profiles, carrying, held/HUD presentation, zoning, placement and support stacking. Shelf meshes alone remain insufficient. The editor-authored palette supplies varied eligible shapes and categories without defining production starting stock; the fixed twelve-host fixture remains separate regression evidence.</w:t>
      </w:r>
    </w:p>
    <w:p>
      <w:pPr/>
      <w:r>
        <w:t>main.tscn and its tunnel/test-room contents retain their original mechanics-fixture purpose. res://gameplay/logistics_wing/wing_gameplay.tscn is the accepted continuing composition built from the promoted geometry. The neutral wing review and shelf-ergonomics review scenes remain separately runnable, and functional authoring remains outside generated geometry subtrees.</w:t>
      </w:r>
    </w:p>
    <w:p>
      <w:pPr/>
      <w:r>
        <w:t>The developer accepted the continuing wing's broad handling and editor-authorship review, including the saved item arrangement, carrying and storage behavior, and focused F6 checks. The later fixed-ladder, rack/ladder, Receiving Stage B and EAF promotions extend that bounded foundation. They do not validate timed requests, Stage C queue theatre or full-game saves.</w:t>
      </w:r>
    </w:p>
    <w:p>
      <w:pPr/>
      <w:r>
        <w:t>The continuing wing is now the normal project launch through UID uid://bljf1nlhijej. The old main remains independently runnable and is not deleted, stripped or merged into the new environment. F6 developer grids remain available and default off in the continuing scene; F7 is suppressed there.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Receiving C1 production composition</w:t>
            </w:r>
          </w:p>
        </w:tc>
        <w:tc>
          <w:tcPr>
            <w:tcW w:type="dxa" w:w="6869"/>
            <w:vAlign w:val="top"/>
          </w:tcPr>
          <w:p>
            <w:pPr>
              <w:pStyle w:val="TableText"/>
              <w:keepNext w:val="0"/>
              <w:widowControl/>
            </w:pPr>
            <w:r>
              <w:rPr>
                <w:rFonts w:ascii="Lato" w:hAnsi="Lato"/>
                <w:b w:val="0"/>
                <w:color w:val="25323A"/>
                <w:sz w:val="18"/>
              </w:rPr>
              <w:t>CLOSED / HUMAN-PROMOTED by the developer on 11 October. Preserve the accepted room; later art changes require ordinary focused clearance, sightline and visual review. Dispatch furnishing and the Receiving–Backlog sill material are non-blocking adjacent follow-ups. [R11]</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r>
        <w:trPr>
          <w:cantSplit/>
        </w:trPr>
        <w:tc>
          <w:tcPr>
            <w:tcW w:type="dxa" w:w="2995"/>
            <w:vAlign w:val="top"/>
            <w:shd w:fill="F6F8F9"/>
          </w:tcPr>
          <w:p>
            <w:pPr>
              <w:pStyle w:val="TableText"/>
              <w:keepNext w:val="0"/>
              <w:widowControl/>
            </w:pPr>
            <w:r>
              <w:rPr>
                <w:rFonts w:ascii="Lato" w:hAnsi="Lato"/>
                <w:b/>
                <w:color w:val="25323A"/>
                <w:sz w:val="18"/>
              </w:rPr>
              <w:t>Stage C delivery pressure and theatre</w:t>
            </w:r>
          </w:p>
        </w:tc>
        <w:tc>
          <w:tcPr>
            <w:tcW w:type="dxa" w:w="6869"/>
            <w:vAlign w:val="top"/>
            <w:shd w:fill="F6F8F9"/>
          </w:tcPr>
          <w:p>
            <w:pPr>
              <w:pStyle w:val="TableText"/>
              <w:keepNext w:val="0"/>
              <w:widowControl/>
            </w:pPr>
            <w:r>
              <w:rPr>
                <w:rFonts w:ascii="Lato" w:hAnsi="Lato"/>
                <w:b w:val="0"/>
                <w:color w:val="25323A"/>
                <w:sz w:val="18"/>
              </w:rPr>
              <w:t>Validate queue/backpressure, close/promote, arrival/rejection feedback and final shutter/light/audio choreography without hidden extra capacity.</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compact wing geometry and the reviewed lift/deck and furnished circulation remain the prototype baseline. Later furnishing changes require focused clearance/sightline review and matching collision-proxy refit. Final shipped lift dimensions remain provisional; current Stage B deck measurements are accepted prototype values.</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r>
        <w:trPr>
          <w:cantSplit/>
        </w:trPr>
        <w:tc>
          <w:tcPr>
            <w:tcW w:type="dxa" w:w="2995"/>
            <w:vAlign w:val="top"/>
          </w:tcPr>
          <w:p>
            <w:pPr>
              <w:pStyle w:val="TableText"/>
            </w:pPr>
            <w:r>
              <w:rPr>
                <w:sz w:val="18"/>
              </w:rPr>
              <w:t>Freight fixtures and lift theatre</w:t>
            </w:r>
          </w:p>
        </w:tc>
        <w:tc>
          <w:tcPr>
            <w:tcW w:type="dxa" w:w="6869"/>
            <w:vAlign w:val="top"/>
          </w:tcPr>
          <w:p>
            <w:pPr>
              <w:pStyle w:val="TableText"/>
            </w:pPr>
            <w:r>
              <w:rPr>
                <w:sz w:val="18"/>
              </w:rPr>
              <w:t>Final fixture art and counts for future profiles, and final shutter/light/audio presentation remain Stage C and production-content decisions.</w:t>
            </w:r>
          </w:p>
        </w:tc>
      </w:tr>
      <w:tr>
        <w:trPr>
          <w:cantSplit/>
        </w:trPr>
        <w:tc>
          <w:tcPr>
            <w:tcW w:type="dxa" w:w="2995"/>
            <w:vAlign w:val="top"/>
          </w:tcPr>
          <w:p>
            <w:pPr>
              <w:pStyle w:val="TableText"/>
            </w:pPr>
            <w:r>
              <w:rPr>
                <w:sz w:val="18"/>
              </w:rPr>
              <w:t>Receiving C1 completed milestone and adjacent follow-ups</w:t>
            </w:r>
          </w:p>
        </w:tc>
        <w:tc>
          <w:tcPr>
            <w:tcW w:type="dxa" w:w="6869"/>
            <w:vAlign w:val="top"/>
          </w:tcPr>
          <w:p>
            <w:pPr>
              <w:pStyle w:val="TableText"/>
            </w:pPr>
            <w:r>
              <w:rPr>
                <w:sz w:val="18"/>
              </w:rPr>
              <w:t>C1 production environment/art is CLOSED / HUMAN-PROMOTED; C1A stays parked/unpromoted. Dispatch final furnishing and Receiving–Backlog sill material remain non-blocking adjacent authoring decisions. Stage C physical pressure, activation, shutter gating and theatre remain future. [R11]</w:t>
            </w:r>
          </w:p>
        </w:tc>
      </w:tr>
    </w:tbl>
    <w:p>
      <w:pPr>
        <w:spacing w:after="60" w:before="0" w:line="40" w:lineRule="exact"/>
      </w:pPr>
      <w:r>
        <w:rPr>
          <w:sz w:val="4"/>
        </w:rPr>
      </w:r>
    </w:p>
    <w:p>
      <w:pPr>
        <w:pStyle w:val="Heading2"/>
        <w:widowControl/>
      </w:pPr>
      <w:r>
        <w:t>21.3 Current next artifacts and bounded follow-ups</w:t>
      </w:r>
    </w:p>
    <w:p>
      <w:pPr>
        <w:widowControl/>
      </w:pPr>
      <w:r>
        <w:t>GDD v0.13, Findings v0.13 and VDD v0.10 are current authorities. C1 is CLOSED / HUMAN-PROMOTED; C1A stays parked. Stage C is the next distinct Receiving gameplay slice when separately authorized. Minor room-art edits do not automatically reopen C1. [R11]</w:t>
      </w:r>
    </w:p>
    <w:p>
      <w:pPr>
        <w:pStyle w:val="ListBullet"/>
        <w:widowControl/>
      </w:pPr>
      <w:r>
        <w:t>Preserve the promoted Storage Authoring Foundation, canonical item pose and bounded fixed ladder, including the real-wing rack/ladder bridge.</w:t>
      </w:r>
    </w:p>
    <w:p>
      <w:pPr>
        <w:pStyle w:val="ListBullet"/>
        <w:widowControl/>
      </w:pPr>
      <w:r>
        <w:t>Preserve Stage A exact-content and identity ownership and Stage B's deterministic TAKE-only deck and functional freight fixtures; do not revive the rejected irregular frozen pile.</w:t>
      </w:r>
    </w:p>
    <w:p>
      <w:pPr>
        <w:pStyle w:val="ListBullet"/>
        <w:widowControl/>
      </w:pPr>
      <w:r>
        <w:t>Reuse the completed EAF authoring workflow for ordinary Receiving adjustments and later rooms. Broad restrained editable scalar variation may break material repetition; local layers convey use and servicing. The accepted 18-layer initial composition is a baseline, not a quota or permanent art freeze.</w:t>
      </w:r>
    </w:p>
    <w:p>
      <w:pPr>
        <w:pStyle w:val="ListBullet"/>
        <w:widowControl/>
      </w:pPr>
      <w:r>
        <w:t>When separately authorized, validate Stage C physical delivery activation, one-active/two-queued pressure, arrival/backpressure/close-promote feedback, shutter pickup gating, settled-shutter reflection refresh, state-driven warning/light/audio theatre and real lift/queue screen data.</w:t>
      </w:r>
    </w:p>
    <w:p>
      <w:pPr>
        <w:pStyle w:val="ListBullet"/>
        <w:widowControl/>
      </w:pPr>
      <w:r>
        <w:t>The first timed obligation, economy integration and full save/journal/crash guarantees remain broader Systems MVP work under the existing roadmap.</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The final clamped expedition arrives and the elevator queue reaches three batches.</w:t>
            </w:r>
          </w:p>
        </w:tc>
        <w:tc>
          <w:tcPr>
            <w:tcW w:type="dxa" w:w="4565"/>
            <w:vAlign w:val="top"/>
          </w:tcPr>
          <w:p>
            <w:pPr>
              <w:pStyle w:val="TableText"/>
              <w:keepNext w:val="0"/>
              <w:widowControl/>
            </w:pPr>
            <w:r>
              <w:rPr>
                <w:rFonts w:ascii="Lato" w:hAnsi="Lato"/>
                <w:b w:val="0"/>
                <w:color w:val="25323A"/>
                <w:sz w:val="18"/>
              </w:rPr>
              <w:t>Unload enough to prevent an Awaiting Lift team from abandoning its loot at midnight.</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Human production-art approval of Layer 1 structural shell and Layer 2 coherent structural surface/material composition. Applied finish is optional; neutral gameplay validation does not promote art.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r>
        <w:trPr>
          <w:cantSplit/>
        </w:trPr>
        <w:tc>
          <w:tcPr>
            <w:tcW w:type="dxa" w:w="2995"/>
            <w:vAlign w:val="center"/>
            <w:shd w:fill="F6F8F9"/>
          </w:tcPr>
          <w:p>
            <w:r>
              <w:t>Storage unit Front</w:t>
            </w:r>
          </w:p>
        </w:tc>
        <w:tc>
          <w:tcPr>
            <w:tcW w:type="dxa" w:w="6869"/>
            <w:vAlign w:val="center"/>
            <w:shd w:fill="F6F8F9"/>
          </w:tcPr>
          <w:p>
            <w:r>
              <w:t>Developer-authored semantic direction shared by every surface in one storage unit. It controls zoning presentation and new canonical item alignment without rotating the physical grid.</w:t>
            </w:r>
          </w:p>
        </w:tc>
      </w:tr>
      <w:tr>
        <w:trPr>
          <w:cantSplit/>
        </w:trPr>
        <w:tc>
          <w:tcPr>
            <w:tcW w:type="dxa" w:w="2995"/>
            <w:vAlign w:val="center"/>
            <w:shd w:fill="F6F8F9"/>
          </w:tcPr>
          <w:p>
            <w:r>
              <w:t>Canonical item storage pose</w:t>
            </w:r>
          </w:p>
        </w:tc>
        <w:tc>
          <w:tcPr>
            <w:tcW w:type="dxa" w:w="6869"/>
            <w:vAlign w:val="center"/>
            <w:shd w:fill="F6F8F9"/>
          </w:tcPr>
          <w:p>
            <w:r>
              <w:t>ItemDefinition-authored full pitch/yaw/roll correction whose intended item Front faces +Z before runtime unit alignment and optional packing rotation.</w:t>
            </w:r>
          </w:p>
        </w:tc>
      </w:tr>
      <w:tr>
        <w:trPr>
          <w:cantSplit/>
        </w:trPr>
        <w:tc>
          <w:tcPr>
            <w:tcW w:type="dxa" w:w="2995"/>
            <w:vAlign w:val="center"/>
            <w:shd w:fill="F6F8F9"/>
          </w:tcPr>
          <w:p>
            <w:r>
              <w:t>Packing rotation</w:t>
            </w:r>
          </w:p>
        </w:tc>
        <w:tc>
          <w:tcPr>
            <w:tcW w:type="dxa" w:w="6869"/>
            <w:vAlign w:val="center"/>
            <w:shd w:fill="F6F8F9"/>
          </w:tcPr>
          <w:p>
            <w:r>
              <w:t>Per-placement optional +90-degree turn kept separate from unit Front and the canonical item pose.</w:t>
            </w:r>
          </w:p>
        </w:tc>
      </w:tr>
      <w:tr>
        <w:trPr>
          <w:cantSplit/>
        </w:trPr>
        <w:tc>
          <w:tcPr>
            <w:tcW w:type="dxa" w:w="2995"/>
            <w:vAlign w:val="center"/>
            <w:shd w:fill="F6F8F9"/>
          </w:tcPr>
          <w:p>
            <w:r>
              <w:t>Receiving presentation surface</w:t>
            </w:r>
          </w:p>
        </w:tc>
        <w:tc>
          <w:tcPr>
            <w:tcW w:type="dxa" w:w="6869"/>
            <w:vAlign w:val="center"/>
            <w:shd w:fill="F6F8F9"/>
          </w:tcPr>
          <w:p>
            <w:r>
              <w:t>Private deterministic TAKE-only cargo surface; no PUT, zoning, labels, manual placement, visible grid or ordinary storage registration.</w:t>
            </w:r>
          </w:p>
        </w:tc>
      </w:tr>
      <w:tr>
        <w:trPr>
          <w:cantSplit/>
        </w:trPr>
        <w:tc>
          <w:tcPr>
            <w:tcW w:type="dxa" w:w="2995"/>
            <w:vAlign w:val="center"/>
            <w:shd w:fill="F6F8F9"/>
          </w:tcPr>
          <w:p>
            <w:r>
              <w:t>FixedLadder</w:t>
            </w:r>
          </w:p>
        </w:tc>
        <w:tc>
          <w:tcPr>
            <w:tcW w:type="dxa" w:w="6869"/>
            <w:vAlign w:val="center"/>
            <w:shd w:fill="F6F8F9"/>
          </w:tcPr>
          <w:p>
            <w:r>
              <w:t>Developer-authored access infrastructure for selected taller storage installations, not general climbing or universal ladder coverage.</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powered shutter; deterministic TAKE-only presentation with no live pile physics.</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r>
        <w:trPr>
          <w:cantSplit/>
        </w:trPr>
        <w:tc>
          <w:tcPr>
            <w:tcW w:type="dxa" w:w="2995"/>
            <w:vAlign w:val="center"/>
          </w:tcPr>
          <w:p>
            <w:r>
              <w:t>Storage orientation state 0</w:t>
            </w:r>
          </w:p>
        </w:tc>
        <w:tc>
          <w:tcPr>
            <w:tcW w:type="dxa" w:w="6869"/>
            <w:vAlign w:val="center"/>
          </w:tcPr>
          <w:p>
            <w:r>
              <w:t>Front +Z, Back -Z, Right +X, Left -X; states 1/2/3 quarter-turn this basis.</w:t>
            </w:r>
          </w:p>
        </w:tc>
      </w:tr>
      <w:tr>
        <w:trPr>
          <w:cantSplit/>
        </w:trPr>
        <w:tc>
          <w:tcPr>
            <w:tcW w:type="dxa" w:w="2995"/>
            <w:vAlign w:val="center"/>
          </w:tcPr>
          <w:p>
            <w:r>
              <w:t>Zoning view</w:t>
            </w:r>
          </w:p>
        </w:tc>
        <w:tc>
          <w:tcPr>
            <w:tcW w:type="dxa" w:w="6869"/>
            <w:vAlign w:val="center"/>
          </w:tcPr>
          <w:p>
            <w:r>
              <w:t>Always viewed from authored Front: Back at top, Front at bottom; physical F6/grid state remains unchanged.</w:t>
            </w:r>
          </w:p>
        </w:tc>
      </w:tr>
      <w:tr>
        <w:trPr>
          <w:cantSplit/>
        </w:trPr>
        <w:tc>
          <w:tcPr>
            <w:tcW w:type="dxa" w:w="2995"/>
            <w:vAlign w:val="center"/>
          </w:tcPr>
          <w:p>
            <w:r>
              <w:t>Canonical item Front</w:t>
            </w:r>
          </w:p>
        </w:tc>
        <w:tc>
          <w:tcPr>
            <w:tcW w:type="dxa" w:w="6869"/>
            <w:vAlign w:val="center"/>
          </w:tcPr>
          <w:p>
            <w:r>
              <w:t>+Z in the ItemDefinition authoring reference; default new placement aligns it to unit Front.</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r>
        <w:trPr>
          <w:cantSplit/>
        </w:trPr>
        <w:tc>
          <w:tcPr>
            <w:tcW w:type="dxa" w:w="1584"/>
            <w:vAlign w:val="top"/>
          </w:tcPr>
          <w:p>
            <w:pPr>
              <w:pStyle w:val="TableText"/>
              <w:keepNext w:val="0"/>
              <w:widowControl/>
            </w:pPr>
            <w:r>
              <w:rPr>
                <w:sz w:val="18"/>
              </w:rPr>
              <w:t>v0.11: 7; 20–21; Appendix E</w:t>
            </w:r>
          </w:p>
        </w:tc>
        <w:tc>
          <w:tcPr>
            <w:tcW w:type="dxa" w:w="8280"/>
            <w:vAlign w:val="top"/>
          </w:tcPr>
          <w:p>
            <w:pPr>
              <w:pStyle w:val="TableText"/>
              <w:keepNext w:val="0"/>
              <w:widowControl/>
            </w:pPr>
            <w:r>
              <w:rPr>
                <w:sz w:val="18"/>
              </w:rPr>
              <w:t>The pending fixed-ladder proof and human decision in v0.10 are historical. FixedLadder and the Wing ModularRack + FixedLadder bridge are promoted only for selected authored taller installations.</w:t>
            </w:r>
          </w:p>
        </w:tc>
      </w:tr>
      <w:tr>
        <w:trPr>
          <w:cantSplit/>
        </w:trPr>
        <w:tc>
          <w:tcPr>
            <w:tcW w:type="dxa" w:w="1584"/>
            <w:vAlign w:val="top"/>
          </w:tcPr>
          <w:p>
            <w:pPr>
              <w:pStyle w:val="TableText"/>
              <w:keepNext w:val="0"/>
              <w:widowControl/>
            </w:pPr>
            <w:r>
              <w:rPr>
                <w:sz w:val="18"/>
              </w:rPr>
              <w:t>v0.11: 4; 7; 11; 20–21</w:t>
            </w:r>
          </w:p>
        </w:tc>
        <w:tc>
          <w:tcPr>
            <w:tcW w:type="dxa" w:w="8280"/>
            <w:vAlign w:val="top"/>
          </w:tcPr>
          <w:p>
            <w:pPr>
              <w:pStyle w:val="TableText"/>
              <w:keepNext w:val="0"/>
              <w:widowControl/>
            </w:pPr>
            <w:r>
              <w:rPr>
                <w:sz w:val="18"/>
              </w:rPr>
              <w:t>The preferred hidden-settle/irregular frozen-pile route is superseded after human rejection. Deterministic TAKE-only Stage B deck and functional freight fixtures are the promoted presentation; Stage C queue and theatre remain open.</w:t>
            </w:r>
          </w:p>
        </w:tc>
      </w:tr>
      <w:tr>
        <w:trPr>
          <w:cantSplit/>
        </w:trPr>
        <w:tc>
          <w:tcPr>
            <w:tcW w:type="dxa" w:w="1584"/>
            <w:vAlign w:val="top"/>
          </w:tcPr>
          <w:p>
            <w:pPr>
              <w:pStyle w:val="TableText"/>
              <w:keepNext w:val="0"/>
              <w:widowControl/>
            </w:pPr>
            <w:r>
              <w:rPr>
                <w:sz w:val="18"/>
              </w:rPr>
              <w:t>v0.11: 16; 18; 20–21</w:t>
            </w:r>
          </w:p>
        </w:tc>
        <w:tc>
          <w:tcPr>
            <w:tcW w:type="dxa" w:w="8280"/>
            <w:vAlign w:val="top"/>
          </w:tcPr>
          <w:p>
            <w:pPr>
              <w:pStyle w:val="TableText"/>
              <w:keepNext w:val="0"/>
              <w:widowControl/>
            </w:pPr>
            <w:r>
              <w:rPr>
                <w:sz w:val="18"/>
              </w:rPr>
              <w:t>Pre-EAF uncertainty about a structural/PBR route is superseded. EAF1–EAF5 are promoted; EAF5 is closed with an accepted Receiving recipe. Production C1 migration and room-specific visual review remain.</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their then-current geometry status and roadmap were superseded by V05/P08 and later by V06/P09.</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historical records of the then-current visual, spatial and evidence state, superseded by V06/P09.</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At that historical checkpoint, publication of the local wing remained a local close-out action and had not been performed.</w:t>
            </w:r>
          </w:p>
        </w:tc>
      </w:tr>
      <w:tr>
        <w:trPr>
          <w:cantSplit/>
        </w:trPr>
        <w:tc>
          <w:tcPr>
            <w:tcW w:type="dxa" w:w="1224"/>
          </w:tcPr>
          <w:p>
            <w:pPr/>
            <w:r>
              <w:rPr>
                <w:sz w:val="18"/>
              </w:rPr>
              <w:t>P11</w:t>
            </w:r>
          </w:p>
        </w:tc>
        <w:tc>
          <w:tcPr>
            <w:tcW w:type="dxa" w:w="8640"/>
          </w:tcPr>
          <w:p>
            <w:pPr/>
            <w:r>
              <w:rPr>
                <w:sz w:val="18"/>
              </w:rPr>
              <w:t>Prototype Findings v0.11, 29 September 2026: reviewed implementation and human evidence companion for fixed ladder, Receiving Stage B and EAF1–EAF5. Historical checkpoints remain dated.</w:t>
            </w:r>
          </w:p>
        </w:tc>
      </w:tr>
      <w:tr>
        <w:trPr>
          <w:cantSplit/>
        </w:trPr>
        <w:tc>
          <w:tcPr>
            <w:tcW w:type="dxa" w:w="1224"/>
          </w:tcPr>
          <w:p>
            <w:pPr/>
            <w:r>
              <w:rPr>
                <w:sz w:val="18"/>
              </w:rPr>
              <w:t>V08</w:t>
            </w:r>
          </w:p>
        </w:tc>
        <w:tc>
          <w:tcPr>
            <w:tcW w:type="dxa" w:w="8640"/>
          </w:tcPr>
          <w:p>
            <w:pPr/>
            <w:r>
              <w:rPr>
                <w:sz w:val="18"/>
              </w:rPr>
              <w:t>Visual Design &amp; World-Building Direction v0.8, 29 September 2026: reviewed environment, spatial and material companion, including the Receiving recipe and C1 boundary.</w:t>
            </w:r>
          </w:p>
        </w:tc>
      </w:tr>
      <w:tr>
        <w:trPr>
          <w:cantSplit/>
        </w:trPr>
        <w:tc>
          <w:tcPr>
            <w:tcW w:type="dxa" w:w="1224"/>
          </w:tcPr>
          <w:p>
            <w:pPr/>
            <w:r>
              <w:rPr>
                <w:sz w:val="18"/>
              </w:rPr>
              <w:t>EAF5</w:t>
            </w:r>
          </w:p>
        </w:tc>
        <w:tc>
          <w:tcPr>
            <w:tcW w:type="dxa" w:w="8640"/>
          </w:tcPr>
          <w:p>
            <w:pPr/>
            <w:r>
              <w:rPr>
                <w:sz w:val="18"/>
              </w:rPr>
              <w:t>EAF5 promotion validation and data/environment/receiving_proof/eaf5_c1_handoff.json: closed architectural proof, room palette and production migration boundary.</w:t>
            </w:r>
          </w:p>
        </w:tc>
      </w:tr>
    </w:tbl>
    <w:p>
      <w:pPr>
        <w:spacing w:after="60" w:before="0" w:line="40" w:lineRule="exact"/>
      </w:pPr>
      <w:r>
        <w:rPr>
          <w:sz w:val="4"/>
        </w:rPr>
      </w:r>
    </w:p>
    <w:p>
      <w:pPr>
        <w:widowControl/>
      </w:pPr>
      <w:r>
        <w:t>This v0.8 consolidation recorded accepted spatial evidence and the then-required seeded-storage prerequisite. At that checkpoint it changed status, abandoned-route scope and sequencing, not item, request, treatment, expedition, stacking, zoning or save mechanics. It made no local merge/push, Godot-run, scene-migration or functional-Receiving claim. [W17, H17, A17, D17B, R17]</w:t>
      </w:r>
    </w:p>
    <w:p>
      <w:r>
        <w:br/>
      </w:r>
    </w:p>
    <w:p>
      <w:pPr>
        <w:pStyle w:val="Heading1"/>
      </w:pPr>
      <w:r>
        <w:t>APPENDIX D  v0.9 STORAGE AUTHORING CONSOLIDATION</w:t>
      </w:r>
    </w:p>
    <w:p>
      <w:pPr>
        <w:pStyle w:val="SourceNote"/>
      </w:pPr>
      <w:r>
        <w:t>HISTORICAL CHECKPOINT. Appendix D retains the 20 September v0.9 state and its then-pending gates. Appendix E supersedes its current-status claims after the promoted 20-21 September foundation milestones.</w:t>
      </w:r>
    </w:p>
    <w:p>
      <w:pPr>
        <w:pStyle w:val="Heading2"/>
      </w:pPr>
      <w:r>
        <w:t>D.1 Current playable composition and palette</w:t>
      </w:r>
    </w:p>
    <w:p>
      <w:r>
        <w:t>res://gameplay/logistics_wing/wing_gameplay.tscn is the normal development and playable composition. It combines the accepted wing geometry, normal player and HUD, three functional storage units, twelve functional surfaces, and the saved DevelopmentSetup palette. Legacy main.tscn remains an explicit mechanics fixture and the neutral review scene remains available for spatial review. In the continuing scene F6 developer grids are retained and default off, while F7 is suppressed.</w:t>
      </w:r>
    </w:p>
    <w:p>
      <w:r>
        <w:t>The saved DevelopmentSetup/SeedItems composition is the palette authority. It contains at least one direct editor-authored host for every currently approved eligible type, retains the separate fixed twelve-host regression fixture, and preserves the developer's table and item arrangement. Fuel (loot_000015) is eligible for correctly authored development hosts after its maintenance reconciliation. Gloves (loot_000034) and Pants (loot_000036) remain blocked. This palette is development authoring support, not a production starting inventory decision.</w:t>
      </w:r>
    </w:p>
    <w:p>
      <w:pPr>
        <w:pStyle w:val="Heading2"/>
      </w:pPr>
      <w:r>
        <w:t>D.2 Storage installation and authoring authority</w:t>
      </w:r>
    </w:p>
    <w:p>
      <w:r>
        <w:t>Storage usability belongs to the complete installation: furniture model, authored dimensions and level distribution, room placement, approach space, usable depth and insets, player viewpoint, interaction reach, lighting, target visibility and obstruction. Technical cell capacity alone is not proof that a person can see, target and manually place items.</w:t>
      </w:r>
    </w:p>
    <w:p>
      <w:pPr>
        <w:pStyle w:val="ListBullet"/>
      </w:pPr>
      <w:r>
        <w:t>Use a mixed storage family. Predominantly open modular racks form the general backbone; shallow wall storage, specialist units and deliberately absent top decks solve specific conditions. Cabinets and other opaque storage remain selective rather than the default.</w:t>
      </w:r>
    </w:p>
    <w:p>
      <w:pPr>
        <w:pStyle w:val="ListBullet"/>
      </w:pPr>
      <w:r>
        <w:t>Open racks may tolerate greater usable depth where players can approach from more sides. Wall and corner installations generally require shallower usable depth and clear shelf openings.</w:t>
      </w:r>
    </w:p>
    <w:p>
      <w:pPr>
        <w:pStyle w:val="ListBullet"/>
      </w:pPr>
      <w:r>
        <w:t>A slim authored usable-area inset may be evaluated independently at each edge. Do not impose one universal percentage or silently remove useful front-edge capacity.</w:t>
      </w:r>
    </w:p>
    <w:p>
      <w:pPr>
        <w:pStyle w:val="ListBullet"/>
      </w:pPr>
      <w:r>
        <w:t>The developer retains final authority over functional storage installation authoring: model selection, installation placement, unit dimensions, level count and distribution, and ladder availability and placement. Codex may assist with tooling, validation, decoration and later synthetic checks. This is a development-authoring responsibility, not a player-facing furniture-construction permission. The in-game player retains ownership of storage taxonomy, zoning, labels and day-to-day organization within the authored installations.</w:t>
      </w:r>
    </w:p>
    <w:p>
      <w:pPr>
        <w:pStyle w:val="Heading2"/>
      </w:pPr>
      <w:r>
        <w:t>D.3 Ground access evidence and fixed ladder proof</w:t>
      </w:r>
    </w:p>
    <w:p>
      <w:r>
        <w:t>The A, B and C review experiment is completed evidence and its explicit review scene is retained. Uniformly compressing existing multi-level furniture is rejected as the general solution. In the tested corner-mounted modular-rack context, more than three ground-access levels produced unacceptable compromises in visibility and manual targeting unless the shelves became too shallow or squat. The developer's manually authored three-level modular-rack configuration is a useful ground-access reference, not a universal production template. SM_Rack01.glb and SM_Rack02.glb remain static review assets without functional storage surfaces.</w:t>
      </w:r>
    </w:p>
    <w:p>
      <w:r>
        <w:t>A 1.80 m eye height improved some upper-level cases but did not solve deep shelves or opaque dividers and could worsen low-shelf viewing. A 2.8 m ordinary ceiling looked more proportionate in the tested context. Both remain trial observations; neither changes the wing camera or ceilings.</w:t>
      </w:r>
    </w:p>
    <w:p>
      <w:r>
        <w:t>Fixed shelf-serving ladders are approved only for a bounded proof based on the current ergonomics evidence. This does not approve production ladders, general climbing or jumping, movable or sliding ladders, animations, visible hands, a fall system or shelf-adjustment interaction. Player-adjustable shelf levels remain a post-release or expansion possibility with no weight in the current ladder decision.</w:t>
      </w:r>
    </w:p>
    <w:p>
      <w:pPr>
        <w:pStyle w:val="Heading2"/>
      </w:pPr>
      <w:r>
        <w:t>D.4 Current gate order and supersessions</w:t>
      </w:r>
    </w:p>
    <w:p>
      <w:pPr>
        <w:pStyle w:val="ListNumber"/>
      </w:pPr>
      <w:r>
        <w:t>Reuse the accepted review-scene supply and item presentation where it reduces duplicate setup without changing the normal palette authority.</w:t>
      </w:r>
    </w:p>
    <w:p>
      <w:pPr>
        <w:pStyle w:val="ListNumber"/>
      </w:pPr>
      <w:r>
        <w:t>Create reusable functional modular-rack authoring that preserves player ownership of each installation.</w:t>
      </w:r>
    </w:p>
    <w:p>
      <w:pPr>
        <w:pStyle w:val="ListNumber"/>
      </w:pPr>
      <w:r>
        <w:t>Run one fixed shelf-serving ladder proof on a single rack.</w:t>
      </w:r>
    </w:p>
    <w:p>
      <w:pPr>
        <w:pStyle w:val="ListNumber"/>
      </w:pPr>
      <w:r>
        <w:t>Make the human ladder decision from that proof.</w:t>
      </w:r>
    </w:p>
    <w:p>
      <w:pPr>
        <w:pStyle w:val="ListNumber"/>
      </w:pPr>
      <w:r>
        <w:t>Resume Receiving unless storage ergonomics exposes another concrete blocker.</w:t>
      </w:r>
    </w:p>
    <w:p>
      <w:r>
        <w:t>This order supersedes the v0.8 sequence that treated seeded storage, Fuel reconciliation and shelf ergonomics as pending. Receiving remains the next systems feature after the Storage Authoring and Testbed Foundation and ladder decision. Production palette reuse, functional modular racks, ladders, camera or ceiling promotion, gallery furnishing, crouch, height-aware auto-placement and player-adjustable shelves are not implemented by this revision.</w:t>
      </w:r>
    </w:p>
    <w:p>
      <w:pPr>
        <w:pStyle w:val="Heading2"/>
      </w:pPr>
      <w:r>
        <w:t>D.5 Current evidence</w:t>
      </w:r>
    </w:p>
    <w:p>
      <w:r>
        <w:t>Current repo-local records are docs/testing/wing-gameplay-default-entry-closeout-validation.md, docs/testing/wing-gameplay-foundation-acceptance-2026-09-18.md, docs/testing/locker-fuel-maintenance-validation.md, docs/testing/expanded-item-palette-validation.md and docs/testing/shelf-ceiling-ergonomics-comparison.md. Process guidance is docs/AI_WORKING_GUIDELINES.md. Historical reports retain the status they had when written.</w:t>
      </w:r>
    </w:p>
    <w:p>
      <w:pPr>
        <w:pStyle w:val="Heading1"/>
      </w:pPr>
      <w:r>
        <w:t>APPENDIX E  v0.10 STORAGE AUTHORING, ORIENTATION AND ITEM-POSE CLOSURE</w:t>
      </w:r>
    </w:p>
    <w:p>
      <w:pPr>
        <w:pStyle w:val="Heading2"/>
      </w:pPr>
      <w:r>
        <w:t>E.1 Reusable installation authoring</w:t>
      </w:r>
    </w:p>
    <w:p>
      <w:r>
        <w:t>Review-scene supply reuse and reusable functional ModularRack authoring are promoted. The retained shelf ergonomics review reuses the composed DevelopmentSetup from wing_gameplay.tscn and no longer activates the cabinet-only sample fixture.</w:t>
      </w:r>
    </w:p>
    <w:p>
      <w:r>
        <w:t>ModularRack is a shelf-empty reusable scaffold with an editable Levels container. Parent-scene-local shelf wrappers support normal add, duplicate, move and delete operations. One root @tool controller owns dimensions, per-edge usable-area insets, calibrated visuals, collision, preview and runtime surfaces. Rack02 deck calibration and F6 alignment are promoted; the three-level starter remains a review reference rather than a universal standard.</w:t>
      </w:r>
    </w:p>
    <w:p>
      <w:r>
        <w:t>The developer owns model, installation placement, dimensions, level count/distribution, unit Front and ladder availability/placement. The player owns zones, labels and daily organization. No player-facing free-build is approved.</w:t>
      </w:r>
    </w:p>
    <w:p>
      <w:pPr>
        <w:pStyle w:val="Heading2"/>
      </w:pPr>
      <w:r>
        <w:t>E.2 Unit Front and semantic zoning</w:t>
      </w:r>
    </w:p>
    <w:p>
      <w:r>
        <w:t>Semantic orientation belongs to the storage unit. Every surface in one unit shares its state, and the developer authors Front manually. Mesh appearance, wall location and player approach do not infer it.</w:t>
      </w:r>
    </w:p>
    <w:tbl>
      <w:tblPr>
        <w:tblW w:type="auto" w:w="0"/>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Pr>
          <w:p>
            <w:r>
              <w:t>State</w:t>
            </w:r>
          </w:p>
        </w:tc>
        <w:tc>
          <w:tcPr>
            <w:tcW w:type="dxa" w:w="1973"/>
            <w:vAlign w:val="center"/>
          </w:tcPr>
          <w:p>
            <w:r>
              <w:t>Front</w:t>
            </w:r>
          </w:p>
        </w:tc>
        <w:tc>
          <w:tcPr>
            <w:tcW w:type="dxa" w:w="1973"/>
            <w:vAlign w:val="center"/>
          </w:tcPr>
          <w:p>
            <w:r>
              <w:t>Back</w:t>
            </w:r>
          </w:p>
        </w:tc>
        <w:tc>
          <w:tcPr>
            <w:tcW w:type="dxa" w:w="1973"/>
            <w:vAlign w:val="center"/>
          </w:tcPr>
          <w:p>
            <w:r>
              <w:t>Right</w:t>
            </w:r>
          </w:p>
        </w:tc>
        <w:tc>
          <w:tcPr>
            <w:tcW w:type="dxa" w:w="1973"/>
            <w:vAlign w:val="center"/>
          </w:tcPr>
          <w:p>
            <w:r>
              <w:t>Left</w:t>
            </w:r>
          </w:p>
        </w:tc>
      </w:tr>
      <w:tr>
        <w:tc>
          <w:tcPr>
            <w:tcW w:type="dxa" w:w="1973"/>
            <w:vAlign w:val="center"/>
          </w:tcPr>
          <w:p>
            <w:r>
              <w:t>0</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1</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r>
        <w:tc>
          <w:tcPr>
            <w:tcW w:type="dxa" w:w="1973"/>
            <w:vAlign w:val="center"/>
          </w:tcPr>
          <w:p>
            <w:r>
              <w:t>2</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3</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bl>
    <w:p>
      <w:r>
        <w:t>Zoning always presents the surface from authored Front, with Back at the top and Front at the bottom. Semantic coordinates map reversibly to the unchanged physical cell array. F6 and the physical grid remain diagnostics; changing orientation metadata does not migrate existing physical zone cells.</w:t>
      </w:r>
    </w:p>
    <w:p>
      <w:pPr>
        <w:pStyle w:val="Heading2"/>
      </w:pPr>
      <w:r>
        <w:t>E.3 Canonical item pose and packing</w:t>
      </w:r>
    </w:p>
    <w:p>
      <w:r>
        <w:t>ItemDefinition.storage_rotation_degrees remains the full pitch/yaw/roll correction from untouched imported visual to canonical stored presentation. Canonical item Front is authored against +Z. A new default placement aligns that Front to storage-unit Front; packing_rotated remains separate and adds +90 degrees.</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Canonical placement</w:t>
            </w:r>
          </w:p>
        </w:tc>
        <w:tc>
          <w:tcPr>
            <w:tcW w:type="dxa" w:w="2466"/>
            <w:vAlign w:val="center"/>
          </w:tcPr>
          <w:p>
            <w:r>
              <w:t>Packing placement</w:t>
            </w:r>
          </w:p>
        </w:tc>
      </w:tr>
      <w:tr>
        <w:tc>
          <w:tcPr>
            <w:tcW w:type="dxa" w:w="2466"/>
            <w:vAlign w:val="center"/>
          </w:tcPr>
          <w:p>
            <w:r>
              <w:t>0</w:t>
            </w:r>
          </w:p>
        </w:tc>
        <w:tc>
          <w:tcPr>
            <w:tcW w:type="dxa" w:w="2466"/>
            <w:vAlign w:val="center"/>
          </w:tcPr>
          <w:p>
            <w:r>
              <w:t>+Z</w:t>
            </w:r>
          </w:p>
        </w:tc>
        <w:tc>
          <w:tcPr>
            <w:tcW w:type="dxa" w:w="2466"/>
            <w:vAlign w:val="center"/>
          </w:tcPr>
          <w:p>
            <w:r>
              <w:t>0 degrees / width x depth</w:t>
            </w:r>
          </w:p>
        </w:tc>
        <w:tc>
          <w:tcPr>
            <w:tcW w:type="dxa" w:w="2466"/>
            <w:vAlign w:val="center"/>
          </w:tcPr>
          <w:p>
            <w:r>
              <w:t>90 degrees / depth x width</w:t>
            </w:r>
          </w:p>
        </w:tc>
      </w:tr>
      <w:tr>
        <w:tc>
          <w:tcPr>
            <w:tcW w:type="dxa" w:w="2466"/>
            <w:vAlign w:val="center"/>
          </w:tcPr>
          <w:p>
            <w:r>
              <w:t>1</w:t>
            </w:r>
          </w:p>
        </w:tc>
        <w:tc>
          <w:tcPr>
            <w:tcW w:type="dxa" w:w="2466"/>
            <w:vAlign w:val="center"/>
          </w:tcPr>
          <w:p>
            <w:r>
              <w:t>+X</w:t>
            </w:r>
          </w:p>
        </w:tc>
        <w:tc>
          <w:tcPr>
            <w:tcW w:type="dxa" w:w="2466"/>
            <w:vAlign w:val="center"/>
          </w:tcPr>
          <w:p>
            <w:r>
              <w:t>90 degrees / depth x width</w:t>
            </w:r>
          </w:p>
        </w:tc>
        <w:tc>
          <w:tcPr>
            <w:tcW w:type="dxa" w:w="2466"/>
            <w:vAlign w:val="center"/>
          </w:tcPr>
          <w:p>
            <w:r>
              <w:t>180 degrees / width x depth</w:t>
            </w:r>
          </w:p>
        </w:tc>
      </w:tr>
      <w:tr>
        <w:tc>
          <w:tcPr>
            <w:tcW w:type="dxa" w:w="2466"/>
            <w:vAlign w:val="center"/>
          </w:tcPr>
          <w:p>
            <w:r>
              <w:t>2</w:t>
            </w:r>
          </w:p>
        </w:tc>
        <w:tc>
          <w:tcPr>
            <w:tcW w:type="dxa" w:w="2466"/>
            <w:vAlign w:val="center"/>
          </w:tcPr>
          <w:p>
            <w:r>
              <w:t>-Z</w:t>
            </w:r>
          </w:p>
        </w:tc>
        <w:tc>
          <w:tcPr>
            <w:tcW w:type="dxa" w:w="2466"/>
            <w:vAlign w:val="center"/>
          </w:tcPr>
          <w:p>
            <w:r>
              <w:t>180 degrees / width x depth</w:t>
            </w:r>
          </w:p>
        </w:tc>
        <w:tc>
          <w:tcPr>
            <w:tcW w:type="dxa" w:w="2466"/>
            <w:vAlign w:val="center"/>
          </w:tcPr>
          <w:p>
            <w:r>
              <w:t>270 degrees / depth x width</w:t>
            </w:r>
          </w:p>
        </w:tc>
      </w:tr>
      <w:tr>
        <w:tc>
          <w:tcPr>
            <w:tcW w:type="dxa" w:w="2466"/>
            <w:vAlign w:val="center"/>
          </w:tcPr>
          <w:p>
            <w:r>
              <w:t>3</w:t>
            </w:r>
          </w:p>
        </w:tc>
        <w:tc>
          <w:tcPr>
            <w:tcW w:type="dxa" w:w="2466"/>
            <w:vAlign w:val="center"/>
          </w:tcPr>
          <w:p>
            <w:r>
              <w:t>-X</w:t>
            </w:r>
          </w:p>
        </w:tc>
        <w:tc>
          <w:tcPr>
            <w:tcW w:type="dxa" w:w="2466"/>
            <w:vAlign w:val="center"/>
          </w:tcPr>
          <w:p>
            <w:r>
              <w:t>270 degrees / depth x width</w:t>
            </w:r>
          </w:p>
        </w:tc>
        <w:tc>
          <w:tcPr>
            <w:tcW w:type="dxa" w:w="2466"/>
            <w:vAlign w:val="center"/>
          </w:tcPr>
          <w:p>
            <w:r>
              <w:t>0 degrees / width x depth</w:t>
            </w:r>
          </w:p>
        </w:tc>
      </w:tr>
    </w:tbl>
    <w:p>
      <w:r>
        <w:t>Automatic placement remains canonical/front-facing first and packing alternative second. Reservation Footprint follows the combined unit-plus-packing parity. Committed items retain their placed orientation when shelf Front later changes. Future save/load must restore that placed orientation rather than recomputing it; optional 0/90/180/270 display rotation remains deferred UX debt.</w:t>
      </w:r>
    </w:p>
    <w:p>
      <w:pPr>
        <w:pStyle w:val="Heading2"/>
      </w:pPr>
      <w:r>
        <w:t>E.4 Catalogue authoring workflow and status</w:t>
      </w:r>
    </w:p>
    <w:p>
      <w:r>
        <w:t>The retained fixture res://gameplay/dev/item_storage_pose/item_storage_pose_authoring.tscn edits actual ItemDefinition pose metadata and refreshes live after the bounded correction. It exposes Authored Footprint, Suggested Canonical Footprint, warning state and preview packing Footprint. Apply Suggested Footprint writes x/y only while preserving z and pose. Suggestions use canonical posed bounds and the 0.10 m cell convention; authored Footprint remains explicit gameplay metadata rather than a silent mesh-derived value. Source GLB/FBX transforms remain untouched.</w:t>
      </w:r>
    </w:p>
    <w:p>
      <w:r>
        <w:t>The catalogue contains 42 definitions. Forty are eligible and fully human-reviewed; Gloves loot_000034 and Pants loot_000036 remain blocked. Current approvals are 21 default and 19 custom poses, with 27 geometry and 13 deliberate override Footprints. Twenty-six ItemDefinition resources changed during the human pass. The workbench reduced the full eligible-catalogue pose/Footprint review to roughly 10 minutes versus roughly two hours under the prior in-game review and handoff process.</w:t>
      </w:r>
    </w:p>
    <w:p>
      <w:pPr>
        <w:pStyle w:val="Heading2"/>
      </w:pPr>
      <w:r>
        <w:t>E.5 Single-rack fixed-ladder proof boundary and current gate order</w:t>
      </w:r>
    </w:p>
    <w:p>
      <w:pPr/>
      <w:r>
        <w:t>HISTORICAL CHECKPOINT (21 September 2026). The v0.10 gate order was single-rack proof, human ladder decision, then Receiving. It is superseded by current Sections 7, 20 and 21 and Appendix F; the selected fixed ladder and real-wing bridge were subsequently human-promoted.</w:t>
      </w:r>
    </w:p>
    <w:p>
      <w:r>
        <w:t>The single-rack fixed-ladder proof is the active gate. No ladder implementation is promoted. The target is a fixed floor-position ladder serving selected taller racks, not universal ladder coverage or a general reach solution.</w:t>
      </w:r>
    </w:p>
    <w:p>
      <w:pPr>
        <w:pStyle w:val="ListBullet"/>
      </w:pPr>
      <w:r>
        <w:t>Frontal approach plus forward input begins attach/climb; side-walking through the trigger must not capture.</w:t>
      </w:r>
    </w:p>
    <w:p>
      <w:pPr>
        <w:pStyle w:val="ListBullet"/>
      </w:pPr>
      <w:r>
        <w:t>W/S climbs up/down independent of camera pitch; releasing movement holds current height; A/D does not move laterally while attached.</w:t>
      </w:r>
    </w:p>
    <w:p>
      <w:pPr>
        <w:pStyle w:val="ListBullet"/>
      </w:pPr>
      <w:r>
        <w:t>Mouse look remains available for shelf inspection, with yaw clamped relative to the ladder. Exact clamp is Validate/provisional.</w:t>
      </w:r>
    </w:p>
    <w:p>
      <w:pPr>
        <w:pStyle w:val="ListBullet"/>
      </w:pPr>
      <w:r>
        <w:t>A top stop prevents ceiling/camera clipping and does not imply rack-top dismount. 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 is included.</w:t>
      </w:r>
    </w:p>
    <w:p>
      <w:pPr>
        <w:pStyle w:val="ListBullet"/>
      </w:pPr>
      <w:r>
        <w:t>The purpose is reliable vertical access to additional storage. The ladder does not solve shelf depth, brace/rung occlusion, rear reach or every low/high shelf ergonomics problem.</w:t>
      </w:r>
    </w:p>
    <w:p>
      <w:r>
        <w:br w:type="page"/>
      </w:r>
    </w:p>
    <w:p>
      <w:pPr>
        <w:pStyle w:val="Heading1"/>
      </w:pPr>
      <w:r>
        <w:t>APPENDIX F  v0.11 LADDER, RECEIVING STAGE B, AND ENVIRONMENT AUTHORING CLOSURE</w:t>
      </w:r>
    </w:p>
    <w:p>
      <w:pPr>
        <w:widowControl/>
      </w:pPr>
      <w:r>
        <w:t>HISTORICAL 29 SEPTEMBER v0.11 CHECKPOINT. Appendix F retains original proof dimensions, palettes and then-next gates. Current §11.8, §20.6, §21.3 and the v0.13 register supersede its C1-future statements: C1 closed on 11 October, while Stage C remains future. This appendix is not current production guidance.</w:t>
      </w:r>
    </w:p>
    <w:p>
      <w:pPr>
        <w:pStyle w:val="Heading2"/>
      </w:pPr>
      <w:r>
        <w:t>F.1 Fixed-ladder promotion boundary</w:t>
      </w:r>
    </w:p>
    <w:p>
      <w:r>
        <w:t>FixedLadder is human-promoted as an authored access option for selected taller storage installations. The independent ladder and Gallery B ModularRack bridge are the current bounded proof. This does not authorize universal traversal, general climbing, movable ladders, jumping, mantling, shelf-top movement, a general fall system or a final ladder-art roster. The developer authors the installation; the player still owns zoning, labels and organization within it.</w:t>
      </w:r>
    </w:p>
    <w:p>
      <w:pPr>
        <w:pStyle w:val="Heading2"/>
      </w:pPr>
      <w:r>
        <w:t>F.2 Receiving Stage B deterministic presentation</w:t>
      </w:r>
    </w:p>
    <w:p>
      <w:r>
        <w:t>Stage A preserves exact committed content and durable ItemInstance identity. Human-promoted Stage B presents that content on a deterministic TAKE-only deck with private surfaces, ordinary WorldItems and functional Receiving-only crates and pallets. Crates read at the front, pallets at the rear and loose MainDeck cargo between; no fixture begins empty, while emptied visuals may persist until delivery close. The irregular frozen-pile route is completed research and human-rejected for production.</w:t>
      </w:r>
    </w:p>
    <w:p>
      <w:r>
        <w:t>The current prototype proof uses a 3.00 m × 2.00 m usable deck, 3.10 m × 2.10 m physical support, a 0.05 m non-reservable border and 3.4 m fixture-integrated Receiving TAKE reach. Ordinary loose and storage/manual reaches remain 1.4 m and 2.3 m. These authored proof values do not fix shipped lift dimensions or future balance.</w:t>
      </w:r>
    </w:p>
    <w:p>
      <w:pPr>
        <w:pStyle w:val="Heading2"/>
      </w:pPr>
      <w:r>
        <w:t>F.3 Environment Authoring Foundation and EAF5 result</w:t>
      </w:r>
    </w:p>
    <w:p>
      <w:r>
        <w:t>EAF1–EAF5 are human-promoted in their bounded scopes, and EAF5 is closed. The environment foundation now supports standardized lookdev, metric structural authoring, curated material and causal wear workflows. EAF5 supplies an accepted, dimensionally faithful Receiving production recipe, not a finished production room. VDD v0.8 owns the material and composition details.</w:t>
      </w:r>
    </w:p>
    <w:p>
      <w:r>
        <w:t>Receiving's PRIMARY structural palette is P01_C02; its reviewed ALTERNATE is P05_C03. BASE APPLIED FINISH = NONE (NO_FINISH); STRUCTURAL SECONDARY = NONE by default; FIXED BASE WEAR PRESET = NONE. These are room-specific choices and do not prohibit locally caused finish, secondary structure or contextual wear after review.</w:t>
      </w:r>
    </w:p>
    <w:p>
      <w:pPr>
        <w:pStyle w:val="Heading2"/>
      </w:pPr>
      <w:r>
        <w:t>F.4 Current Receiving production boundary</w:t>
      </w:r>
    </w:p>
    <w:p>
      <w:r>
        <w:t>The accepted greybox remains spatial and gameplay authority. Stage C1 owns production visual-shell migration while keeping accepted topology, circulation, gameplay and runtime ownership stable. The isolated EAF5 proof scene is a source of specifications, not a runtime dependency. C1A is parked and unpromoted. Contextual wear follows substantially present infrastructure, furniture, freight equipment and representative lighting. Furnished clearances, sightlines and the inaccessible enclosure's visual oddity require C1 review.</w:t>
      </w:r>
    </w:p>
    <w:p>
      <w:pPr>
        <w:pStyle w:val="Heading2"/>
      </w:pPr>
      <w:r>
        <w:t>F.5 Current gate order and companion authorities</w:t>
      </w:r>
    </w:p>
    <w:p>
      <w:r>
        <w:t>GDD v0.11, Prototype Findings v0.11 and VDD v0.8 are reconciled current masters. Receiving Stage C1 production environment migration is the next implementation gate. Remaining Receiving Stage C gameplay follows C1.</w:t>
      </w:r>
    </w:p>
    <w:p>
      <w:pPr>
        <w:widowControl/>
        <w:pStyle w:val="Heading1"/>
      </w:pPr>
      <w:r>
        <w:t>Historical v0.12 revision and source register</w:t>
      </w:r>
    </w:p>
    <w:p>
      <w:pPr>
        <w:widowControl/>
      </w:pPr>
      <w:r>
        <w:t>HISTORICAL 10 OCTOBER CHECKPOINT. The retained register records that edition’s sources and then-open C1 status. R11 below supersedes current gate/roadmap claims only; previous evidence and gameplay design remain intact.</w:t>
      </w:r>
    </w:p>
    <w:p>
      <w:pPr>
        <w:widowControl/>
      </w:pPr>
      <w:r>
        <w:t>10 October 2026. Targeted consistency update to the authority preface, §11 Receiving, §16.9 visual direction, §18 production, §20.6 roadmap and §21.3 next evidence. Established pillars, player fantasy, mechanics, balance, deferrals and historical appendices remain. Editorially updated does not mean a new gameplay or visual milestone approval.</w:t>
      </w:r>
    </w:p>
    <w:p>
      <w:pPr>
        <w:widowControl/>
      </w:pPr>
      <w:r>
        <w:t>R10 — Current prototype/acceptance sources: docs/testing/receiving-c1-structural-material-envelope-closeout-2026-09-30.md; receiving-c1-lift-enclosure-deck-closeout-2026-10-01.md; receiving-c1-lighting-baseline-closeout-2026-10-03.md; receiving-c1-compact-retrofit-closeout-2026-10-03.md; receiving-c1-set-dressing-collision-closeout-2026-10-09.md; receiving-c1-lift-crt-visual-closeout-2026-10-09.md; environment-authoring-eaf4-imperfection-authoring-milestone-closeout-2026-10-10.md. All shortened filenames in this register are under docs/testing/.</w:t>
      </w:r>
    </w:p>
    <w:p>
      <w:pPr>
        <w:widowControl/>
      </w:pPr>
      <w:r>
        <w:t>R10 — EAF4 scope/provenance: docs/environment-authoring/eaf4-wear-authoring-guide.md; eaf4-imperfection-audition-guide.md; data/environment/wear_catalog/decisions/2026-10-10-eaf4-imperfection-scoped-human-review.json; approved_specs/approved_masks.json. Preserve guarded commercial staging, reviewed fingerprints and Compatibility rendering.</w:t>
      </w:r>
    </w:p>
    <w:p>
      <w:pPr>
        <w:widowControl/>
      </w:pPr>
      <w:r>
        <w:t>R10 — Initial committed composition: human confirmation on 10 October; manual art commit c160ae8684c0037091503232d0645281f85365fd, merged by e314c41ef9acfde45632bd8ad4275702e103dcc4 into live main. Current saved scene has 18 layers (17 scalar plus one conventional preset), an editable initial baseline rather than a quota. Dated reconciliation/QA: docs/testing/three-master-document-reconciliation-2026-10-10.md and three-master-document-qa-2026-10-10.md. New editions are subject to documentation review; no push or merge authorized here.</w:t>
      </w:r>
    </w:p>
    <w:p>
      <w:pPr>
        <w:widowControl/>
        <w:pStyle w:val="Heading1"/>
      </w:pPr>
      <w:r>
        <w:t>v0.13 revision and source register</w:t>
      </w:r>
    </w:p>
    <w:p>
      <w:pPr>
        <w:widowControl/>
      </w:pPr>
      <w:r>
        <w:t>11 October 2026. Records the developer’s explicit Receiving C1 CLOSED / HUMAN-PROMOTED decision as a bounded production environment/art milestone. Repairs current cover, §11.8, §18, §20.6 and §21 gate/roadmap statements only; historical appendices/registers remain dated and visibly superseded. No gameplay, economy or balance rule changes; no Stage C implementation or publication is authorized.</w:t>
      </w:r>
    </w:p>
    <w:p>
      <w:pPr>
        <w:widowControl/>
      </w:pPr>
      <w:r>
        <w:t>R11 — Human C1 decision and scope: docs/testing/receiving-c1-human-promotion-documentation-closeout-2026-10-11.md. A30WS evidence and later human PROMOTE: docs/testing/receiving-a30ws-reflection-integration-2026-10-11.md, including Later human disposition. VDD v0.10 owns accepted lighting/reflection direction; Findings v0.13 §33 preserves measured cost, prior REVISE, later human acceptance and verification limits. GDD deliberately adds no technical probe tuning.</w:t>
      </w:r>
    </w:p>
    <w:p>
      <w:pPr>
        <w:widowControl/>
      </w:pPr>
      <w:r>
        <w:t>Current companions: VDD v0.10 and Findings v0.13. The 30 September–10 October records in R10 remain dated sources for accepted individual slices. Dispatch furnishing, sill walking-surface material, shipped lift dimensions, later freight fixtures, optional emitter treatment and performance optimization remain separately scoped debt. Stage A/B remain promoted; C1A stays parked and frozen-pile research stays rejected.</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v0.13  |  11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0.13</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v0.13</dc:title>
  <dc:subject>Overall gameplay, design and scope authority draft</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2026-10-11T00:00:00Z</dcterms:modified>
  <cp:category/>
  <cp:version>0.7</cp:version>
</cp:coreProperties>
</file>